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emf" ContentType="image/x-emf"/>
  <Default Extension="jpeg" ContentType="image/jpeg"/>
  <Default Extension="wmf" ContentType="image/x-w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85094" w:rsidRPr="003A4461" w:rsidRDefault="00B2471C" w:rsidP="00617E31">
      <w:pPr>
        <w:rPr>
          <w:rFonts w:ascii="Arial" w:hAnsi="Arial" w:cs="Arial"/>
          <w:sz w:val="22"/>
          <w:szCs w:val="22"/>
        </w:rPr>
      </w:pPr>
      <w:r w:rsidRPr="00B2471C">
        <w:rPr>
          <w:noProof/>
        </w:rPr>
        <w:pict>
          <v:rect id="_x0000_s1026" style="position:absolute;margin-left:0;margin-top:44.05pt;width:459pt;height:208.6pt;z-index:251640320;mso-position-horizontal:center" stroked="f">
            <v:textbox style="mso-next-textbox:#_x0000_s1026">
              <w:txbxContent>
                <w:p w:rsidR="00366909" w:rsidRDefault="00366909" w:rsidP="0087219B">
                  <w:pPr>
                    <w:jc w:val="center"/>
                    <w:rPr>
                      <w:rFonts w:ascii="Arial" w:hAnsi="Arial"/>
                      <w:b/>
                      <w:sz w:val="48"/>
                    </w:rPr>
                  </w:pPr>
                </w:p>
                <w:p w:rsidR="00366909" w:rsidRDefault="00366909" w:rsidP="0087219B">
                  <w:pPr>
                    <w:jc w:val="center"/>
                    <w:rPr>
                      <w:rFonts w:ascii="Arial" w:hAnsi="Arial"/>
                      <w:b/>
                      <w:sz w:val="48"/>
                    </w:rPr>
                  </w:pPr>
                  <w:r>
                    <w:rPr>
                      <w:rFonts w:ascii="Arial" w:hAnsi="Arial"/>
                      <w:b/>
                      <w:sz w:val="48"/>
                    </w:rPr>
                    <w:t xml:space="preserve">Integrated Water Quality Assessment for Florida:  </w:t>
                  </w:r>
                </w:p>
                <w:p w:rsidR="00366909" w:rsidRDefault="00366909" w:rsidP="0087219B">
                  <w:pPr>
                    <w:jc w:val="center"/>
                    <w:rPr>
                      <w:rFonts w:ascii="Arial" w:hAnsi="Arial"/>
                      <w:b/>
                      <w:i/>
                      <w:sz w:val="48"/>
                    </w:rPr>
                  </w:pPr>
                  <w:r w:rsidRPr="006D5E4A">
                    <w:rPr>
                      <w:rFonts w:ascii="Arial" w:hAnsi="Arial"/>
                      <w:b/>
                      <w:i/>
                      <w:sz w:val="48"/>
                    </w:rPr>
                    <w:t>20</w:t>
                  </w:r>
                  <w:r>
                    <w:rPr>
                      <w:rFonts w:ascii="Arial" w:hAnsi="Arial"/>
                      <w:b/>
                      <w:i/>
                      <w:sz w:val="48"/>
                    </w:rPr>
                    <w:t>10</w:t>
                  </w:r>
                  <w:r w:rsidRPr="006D5E4A">
                    <w:rPr>
                      <w:rFonts w:ascii="Arial" w:hAnsi="Arial"/>
                      <w:b/>
                      <w:i/>
                      <w:sz w:val="48"/>
                    </w:rPr>
                    <w:t xml:space="preserve"> 305(b) Report </w:t>
                  </w:r>
                </w:p>
                <w:p w:rsidR="00366909" w:rsidRPr="006D5E4A" w:rsidRDefault="00366909" w:rsidP="0087219B">
                  <w:pPr>
                    <w:jc w:val="center"/>
                    <w:rPr>
                      <w:rFonts w:ascii="Arial" w:hAnsi="Arial"/>
                      <w:b/>
                      <w:i/>
                      <w:sz w:val="48"/>
                    </w:rPr>
                  </w:pPr>
                  <w:r w:rsidRPr="006D5E4A">
                    <w:rPr>
                      <w:rFonts w:ascii="Arial" w:hAnsi="Arial"/>
                      <w:b/>
                      <w:i/>
                      <w:sz w:val="48"/>
                    </w:rPr>
                    <w:t>and 303(d) List Update</w:t>
                  </w:r>
                </w:p>
                <w:p w:rsidR="00366909" w:rsidRDefault="00366909" w:rsidP="0087219B">
                  <w:pPr>
                    <w:jc w:val="center"/>
                    <w:rPr>
                      <w:rFonts w:ascii="Arial" w:hAnsi="Arial"/>
                      <w:b/>
                      <w:sz w:val="48"/>
                    </w:rPr>
                  </w:pPr>
                </w:p>
                <w:p w:rsidR="00366909" w:rsidRDefault="00366909" w:rsidP="0087219B">
                  <w:pPr>
                    <w:jc w:val="center"/>
                    <w:rPr>
                      <w:rFonts w:ascii="Arial" w:hAnsi="Arial"/>
                      <w:sz w:val="40"/>
                    </w:rPr>
                  </w:pPr>
                  <w:r>
                    <w:rPr>
                      <w:rFonts w:ascii="Arial" w:hAnsi="Arial"/>
                      <w:sz w:val="40"/>
                    </w:rPr>
                    <w:t>September 2010</w:t>
                  </w:r>
                </w:p>
              </w:txbxContent>
            </v:textbox>
          </v:rect>
        </w:pict>
      </w:r>
    </w:p>
    <w:p w:rsidR="00485094" w:rsidRPr="003A4461" w:rsidRDefault="00B2471C" w:rsidP="00617E31">
      <w:pPr>
        <w:autoSpaceDE w:val="0"/>
        <w:autoSpaceDN w:val="0"/>
        <w:adjustRightInd w:val="0"/>
        <w:rPr>
          <w:rFonts w:ascii="Arial" w:hAnsi="Arial" w:cs="Arial"/>
          <w:b/>
          <w:bCs/>
          <w:sz w:val="22"/>
          <w:szCs w:val="22"/>
        </w:rPr>
      </w:pPr>
      <w:r w:rsidRPr="00B2471C">
        <w:rPr>
          <w:noProof/>
        </w:rPr>
        <w:pict>
          <v:shapetype id="_x0000_t202" coordsize="21600,21600" o:spt="202" path="m,l,21600r21600,l21600,xe">
            <v:stroke joinstyle="miter"/>
            <v:path gradientshapeok="t" o:connecttype="rect"/>
          </v:shapetype>
          <v:shape id="_x0000_s1027" type="#_x0000_t202" style="position:absolute;margin-left:0;margin-top:505.35pt;width:415.25pt;height:75pt;z-index:251641344;mso-position-horizontal:center" stroked="f">
            <v:textbox style="mso-next-textbox:#_x0000_s1027">
              <w:txbxContent>
                <w:p w:rsidR="00366909" w:rsidRDefault="00366909" w:rsidP="007F7069">
                  <w:pPr>
                    <w:jc w:val="center"/>
                    <w:rPr>
                      <w:rFonts w:ascii="Arial Black" w:hAnsi="Arial Black"/>
                    </w:rPr>
                  </w:pPr>
                  <w:r>
                    <w:rPr>
                      <w:rFonts w:ascii="Arial Black" w:hAnsi="Arial Black"/>
                    </w:rPr>
                    <w:t xml:space="preserve">Florida Department of Environmental Protection </w:t>
                  </w:r>
                </w:p>
                <w:p w:rsidR="00366909" w:rsidRDefault="00366909" w:rsidP="007F7069">
                  <w:pPr>
                    <w:jc w:val="center"/>
                    <w:rPr>
                      <w:rFonts w:ascii="Arial Black" w:hAnsi="Arial Black"/>
                    </w:rPr>
                  </w:pPr>
                  <w:r>
                    <w:rPr>
                      <w:rFonts w:ascii="Arial Black" w:hAnsi="Arial Black"/>
                    </w:rPr>
                    <w:t>Division of Environmental Assessment and Restoration</w:t>
                  </w:r>
                </w:p>
                <w:p w:rsidR="00366909" w:rsidRDefault="00366909" w:rsidP="007F7069">
                  <w:pPr>
                    <w:jc w:val="center"/>
                    <w:rPr>
                      <w:rFonts w:ascii="Arial Black" w:hAnsi="Arial Black"/>
                    </w:rPr>
                  </w:pPr>
                  <w:r>
                    <w:rPr>
                      <w:rFonts w:ascii="Arial Black" w:hAnsi="Arial Black"/>
                    </w:rPr>
                    <w:t xml:space="preserve">Tallahassee, </w:t>
                  </w:r>
                  <w:smartTag w:uri="urn:schemas-microsoft-com:office:smarttags" w:element="State">
                    <w:r>
                      <w:rPr>
                        <w:rFonts w:ascii="Arial Black" w:hAnsi="Arial Black"/>
                      </w:rPr>
                      <w:t>Florida</w:t>
                    </w:r>
                  </w:smartTag>
                </w:p>
              </w:txbxContent>
            </v:textbox>
          </v:shape>
        </w:pict>
      </w:r>
    </w:p>
    <w:p w:rsidR="00485094" w:rsidRPr="003A4461" w:rsidRDefault="001717CD" w:rsidP="0020337B">
      <w:pPr>
        <w:pStyle w:val="TOAHeading"/>
        <w:rPr>
          <w:rFonts w:cs="Arial"/>
          <w:sz w:val="22"/>
          <w:szCs w:val="22"/>
        </w:rPr>
      </w:pPr>
      <w:r>
        <w:rPr>
          <w:noProof/>
        </w:rPr>
        <w:drawing>
          <wp:anchor distT="0" distB="0" distL="114300" distR="114300" simplePos="0" relativeHeight="251648512" behindDoc="0" locked="0" layoutInCell="1" allowOverlap="1">
            <wp:simplePos x="0" y="0"/>
            <wp:positionH relativeFrom="column">
              <wp:align>center</wp:align>
            </wp:positionH>
            <wp:positionV relativeFrom="paragraph">
              <wp:posOffset>3546475</wp:posOffset>
            </wp:positionV>
            <wp:extent cx="3063240" cy="2010410"/>
            <wp:effectExtent l="19050" t="0" r="3810" b="0"/>
            <wp:wrapTopAndBottom/>
            <wp:docPr id="52" name="Picture 4" descr="FDEP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DEP logo"/>
                    <pic:cNvPicPr>
                      <a:picLocks noChangeAspect="1" noChangeArrowheads="1"/>
                    </pic:cNvPicPr>
                  </pic:nvPicPr>
                  <pic:blipFill>
                    <a:blip r:embed="rId7"/>
                    <a:srcRect/>
                    <a:stretch>
                      <a:fillRect/>
                    </a:stretch>
                  </pic:blipFill>
                  <pic:spPr bwMode="auto">
                    <a:xfrm>
                      <a:off x="0" y="0"/>
                      <a:ext cx="3063240" cy="2010410"/>
                    </a:xfrm>
                    <a:prstGeom prst="rect">
                      <a:avLst/>
                    </a:prstGeom>
                    <a:noFill/>
                    <a:ln w="9525">
                      <a:noFill/>
                      <a:miter lim="800000"/>
                      <a:headEnd/>
                      <a:tailEnd/>
                    </a:ln>
                  </pic:spPr>
                </pic:pic>
              </a:graphicData>
            </a:graphic>
          </wp:anchor>
        </w:drawing>
      </w:r>
      <w:r w:rsidR="00B2471C" w:rsidRPr="00B2471C">
        <w:rPr>
          <w:noProof/>
        </w:rPr>
        <w:pict>
          <v:shape id="_x0000_s1029" type="#_x0000_t202" style="position:absolute;margin-left:0;margin-top:-8.8pt;width:495pt;height:593.3pt;z-index:-251665920;mso-position-horizontal:center;mso-position-horizontal-relative:text;mso-position-vertical-relative:text" strokeweight="3pt">
            <v:stroke linestyle="thinThin"/>
            <v:textbox style="mso-next-textbox:#_x0000_s1029">
              <w:txbxContent>
                <w:p w:rsidR="00366909" w:rsidRPr="00EA52DB" w:rsidRDefault="00366909" w:rsidP="00EA52DB"/>
              </w:txbxContent>
            </v:textbox>
            <w10:wrap type="topAndBottom"/>
          </v:shape>
        </w:pict>
      </w:r>
      <w:r w:rsidR="00B2471C" w:rsidRPr="00B2471C">
        <w:rPr>
          <w:noProof/>
        </w:rPr>
        <w:pict>
          <v:shape id="_x0000_s1030" type="#_x0000_t202" style="position:absolute;margin-left:103.15pt;margin-top:414.95pt;width:277.2pt;height:108pt;z-index:251649536;mso-position-horizontal-relative:text;mso-position-vertical-relative:text" stroked="f">
            <v:textbox style="mso-next-textbox:#_x0000_s1030">
              <w:txbxContent>
                <w:p w:rsidR="00366909" w:rsidRPr="00016A28" w:rsidRDefault="00366909" w:rsidP="0087219B">
                  <w:pPr>
                    <w:jc w:val="center"/>
                    <w:rPr>
                      <w:rFonts w:ascii="Arial Black" w:hAnsi="Arial Black"/>
                      <w:sz w:val="20"/>
                      <w:szCs w:val="20"/>
                    </w:rPr>
                  </w:pPr>
                  <w:r w:rsidRPr="00016A28">
                    <w:rPr>
                      <w:rFonts w:ascii="Arial Black" w:hAnsi="Arial Black"/>
                      <w:b/>
                      <w:sz w:val="20"/>
                    </w:rPr>
                    <w:t xml:space="preserve">Florida Department of Environmental Protection </w:t>
                  </w:r>
                </w:p>
                <w:p w:rsidR="00366909" w:rsidRPr="00016A28" w:rsidRDefault="00366909" w:rsidP="0087219B">
                  <w:pPr>
                    <w:jc w:val="center"/>
                    <w:rPr>
                      <w:rFonts w:ascii="Arial Black" w:hAnsi="Arial Black"/>
                      <w:sz w:val="20"/>
                      <w:szCs w:val="20"/>
                    </w:rPr>
                  </w:pPr>
                  <w:r w:rsidRPr="00016A28">
                    <w:rPr>
                      <w:rFonts w:ascii="Arial Black" w:hAnsi="Arial Black"/>
                      <w:b/>
                      <w:sz w:val="20"/>
                    </w:rPr>
                    <w:t>Division of Water Resource Management</w:t>
                  </w:r>
                </w:p>
                <w:p w:rsidR="00366909" w:rsidRPr="00016A28" w:rsidRDefault="00366909" w:rsidP="0087219B">
                  <w:pPr>
                    <w:jc w:val="center"/>
                    <w:rPr>
                      <w:rFonts w:ascii="Arial Black" w:hAnsi="Arial Black"/>
                      <w:sz w:val="20"/>
                      <w:szCs w:val="20"/>
                    </w:rPr>
                  </w:pPr>
                  <w:r w:rsidRPr="00016A28">
                    <w:rPr>
                      <w:rFonts w:ascii="Arial Black" w:hAnsi="Arial Black"/>
                      <w:b/>
                      <w:sz w:val="20"/>
                    </w:rPr>
                    <w:t>Bureau of Watershed Management</w:t>
                  </w:r>
                </w:p>
                <w:p w:rsidR="00366909" w:rsidRPr="00016A28" w:rsidRDefault="00366909" w:rsidP="0087219B">
                  <w:pPr>
                    <w:jc w:val="center"/>
                    <w:rPr>
                      <w:rFonts w:ascii="Arial Black" w:hAnsi="Arial Black"/>
                      <w:sz w:val="20"/>
                      <w:szCs w:val="20"/>
                    </w:rPr>
                  </w:pPr>
                  <w:smartTag w:uri="urn:schemas-microsoft-com:office:smarttags" w:element="address">
                    <w:smartTag w:uri="urn:schemas-microsoft-com:office:smarttags" w:element="Street">
                      <w:r w:rsidRPr="00016A28">
                        <w:rPr>
                          <w:rFonts w:ascii="Arial Black" w:hAnsi="Arial Black"/>
                          <w:b/>
                          <w:sz w:val="20"/>
                        </w:rPr>
                        <w:t>2600 Blair Stone Road</w:t>
                      </w:r>
                    </w:smartTag>
                  </w:smartTag>
                </w:p>
                <w:p w:rsidR="00366909" w:rsidRPr="00016A28" w:rsidRDefault="00366909" w:rsidP="0087219B">
                  <w:pPr>
                    <w:jc w:val="center"/>
                    <w:rPr>
                      <w:rFonts w:ascii="Arial Black" w:hAnsi="Arial Black"/>
                      <w:sz w:val="20"/>
                      <w:szCs w:val="20"/>
                    </w:rPr>
                  </w:pPr>
                  <w:smartTag w:uri="urn:schemas-microsoft-com:office:smarttags" w:element="City">
                    <w:smartTag w:uri="urn:schemas-microsoft-com:office:smarttags" w:element="place">
                      <w:r w:rsidRPr="00016A28">
                        <w:rPr>
                          <w:rFonts w:ascii="Arial Black" w:hAnsi="Arial Black"/>
                          <w:b/>
                          <w:sz w:val="20"/>
                        </w:rPr>
                        <w:t>Tallahassee</w:t>
                      </w:r>
                    </w:smartTag>
                    <w:r w:rsidRPr="00016A28">
                      <w:rPr>
                        <w:rFonts w:ascii="Arial Black" w:hAnsi="Arial Black"/>
                        <w:b/>
                        <w:sz w:val="20"/>
                      </w:rPr>
                      <w:t xml:space="preserve">, </w:t>
                    </w:r>
                    <w:smartTag w:uri="urn:schemas-microsoft-com:office:smarttags" w:element="PostalCode">
                      <w:r w:rsidRPr="00016A28">
                        <w:rPr>
                          <w:rFonts w:ascii="Arial Black" w:hAnsi="Arial Black"/>
                          <w:b/>
                          <w:sz w:val="20"/>
                        </w:rPr>
                        <w:t>Florida</w:t>
                      </w:r>
                    </w:smartTag>
                    <w:r w:rsidRPr="00016A28">
                      <w:rPr>
                        <w:rFonts w:ascii="Arial Black" w:hAnsi="Arial Black"/>
                        <w:b/>
                        <w:sz w:val="20"/>
                      </w:rPr>
                      <w:t xml:space="preserve"> </w:t>
                    </w:r>
                    <w:smartTag w:uri="urn:schemas-microsoft-com:office:smarttags" w:element="PostalCode">
                      <w:r w:rsidRPr="00016A28">
                        <w:rPr>
                          <w:rFonts w:ascii="Arial Black" w:hAnsi="Arial Black"/>
                          <w:b/>
                          <w:sz w:val="20"/>
                        </w:rPr>
                        <w:t>32399-2400</w:t>
                      </w:r>
                    </w:smartTag>
                  </w:smartTag>
                </w:p>
                <w:p w:rsidR="00366909" w:rsidRPr="00016A28" w:rsidRDefault="00366909" w:rsidP="0087219B">
                  <w:pPr>
                    <w:jc w:val="center"/>
                    <w:rPr>
                      <w:rFonts w:ascii="Arial Black" w:hAnsi="Arial Black"/>
                      <w:sz w:val="20"/>
                      <w:szCs w:val="20"/>
                    </w:rPr>
                  </w:pPr>
                  <w:r w:rsidRPr="00016A28">
                    <w:rPr>
                      <w:rFonts w:ascii="Arial Black" w:hAnsi="Arial Black"/>
                      <w:b/>
                      <w:sz w:val="20"/>
                    </w:rPr>
                    <w:t>www2.dep.state.fl.us/water/</w:t>
                  </w:r>
                </w:p>
                <w:p w:rsidR="00366909" w:rsidRPr="00016A28" w:rsidRDefault="00366909" w:rsidP="0087219B">
                  <w:pPr>
                    <w:jc w:val="center"/>
                    <w:rPr>
                      <w:rFonts w:ascii="Arial Black" w:hAnsi="Arial Black"/>
                      <w:sz w:val="20"/>
                      <w:szCs w:val="20"/>
                    </w:rPr>
                  </w:pPr>
                </w:p>
              </w:txbxContent>
            </v:textbox>
          </v:shape>
        </w:pict>
      </w:r>
    </w:p>
    <w:p w:rsidR="00485094" w:rsidRDefault="00485094" w:rsidP="0087219B">
      <w:pPr>
        <w:autoSpaceDE w:val="0"/>
        <w:autoSpaceDN w:val="0"/>
        <w:adjustRightInd w:val="0"/>
        <w:rPr>
          <w:rFonts w:ascii="Arial" w:hAnsi="Arial" w:cs="Arial"/>
          <w:sz w:val="22"/>
          <w:szCs w:val="22"/>
        </w:rPr>
        <w:sectPr w:rsidR="00485094" w:rsidSect="006167C5">
          <w:headerReference w:type="default" r:id="rId8"/>
          <w:footerReference w:type="even" r:id="rId9"/>
          <w:footerReference w:type="default" r:id="rId10"/>
          <w:footnotePr>
            <w:numFmt w:val="lowerLetter"/>
          </w:footnotePr>
          <w:pgSz w:w="12240" w:h="15840" w:code="1"/>
          <w:pgMar w:top="1440" w:right="1440" w:bottom="1440" w:left="1440" w:header="720" w:footer="720" w:gutter="0"/>
          <w:paperSrc w:first="261"/>
          <w:pgNumType w:fmt="lowerRoman"/>
          <w:cols w:space="720"/>
          <w:titlePg/>
          <w:docGrid w:linePitch="360"/>
        </w:sectPr>
      </w:pPr>
    </w:p>
    <w:p w:rsidR="00485094" w:rsidRDefault="00485094" w:rsidP="00A553DE">
      <w:pPr>
        <w:pStyle w:val="Bodytextreduced"/>
      </w:pPr>
    </w:p>
    <w:p w:rsidR="00485094" w:rsidRPr="0041391B" w:rsidRDefault="00485094" w:rsidP="0041391B">
      <w:pPr>
        <w:jc w:val="center"/>
        <w:rPr>
          <w:rFonts w:ascii="Arial" w:hAnsi="Arial" w:cs="Arial"/>
          <w:b/>
          <w:sz w:val="32"/>
          <w:szCs w:val="32"/>
        </w:rPr>
      </w:pPr>
      <w:r w:rsidRPr="0041391B">
        <w:rPr>
          <w:rFonts w:ascii="Arial" w:hAnsi="Arial" w:cs="Arial"/>
          <w:b/>
          <w:sz w:val="32"/>
          <w:szCs w:val="32"/>
        </w:rPr>
        <w:t>ACKNOWLEDGMENTS</w:t>
      </w:r>
    </w:p>
    <w:p w:rsidR="00485094" w:rsidRDefault="00485094" w:rsidP="00A553DE">
      <w:pPr>
        <w:pStyle w:val="Bodytextreduced"/>
      </w:pPr>
    </w:p>
    <w:p w:rsidR="00485094" w:rsidRDefault="00485094" w:rsidP="009565BD">
      <w:pPr>
        <w:pStyle w:val="Bodytext"/>
      </w:pPr>
      <w:r>
        <w:t>This document was prepared by staff in the following bureaus of the Division of Environmental Assessment and Restoration, within the Florida Department of Environmental Protection:</w:t>
      </w:r>
    </w:p>
    <w:p w:rsidR="00485094" w:rsidRDefault="00485094" w:rsidP="009565BD">
      <w:pPr>
        <w:pStyle w:val="Bodytext"/>
      </w:pPr>
    </w:p>
    <w:p w:rsidR="00485094" w:rsidRPr="00A039C4" w:rsidRDefault="00485094" w:rsidP="0081133F">
      <w:pPr>
        <w:pStyle w:val="ListBullet"/>
        <w:rPr>
          <w:b/>
        </w:rPr>
      </w:pPr>
      <w:r w:rsidRPr="00A039C4">
        <w:rPr>
          <w:b/>
        </w:rPr>
        <w:t>Bureau of Assessment and Restoration Support:</w:t>
      </w:r>
    </w:p>
    <w:p w:rsidR="00485094" w:rsidRDefault="00485094" w:rsidP="00665048">
      <w:pPr>
        <w:pStyle w:val="Listbulletsub"/>
        <w:tabs>
          <w:tab w:val="left" w:pos="990"/>
        </w:tabs>
        <w:ind w:left="990"/>
      </w:pPr>
      <w:r w:rsidRPr="00AE383B">
        <w:t>Standards and Assessment Section</w:t>
      </w:r>
    </w:p>
    <w:p w:rsidR="00485094" w:rsidRDefault="00485094" w:rsidP="00665048">
      <w:pPr>
        <w:pStyle w:val="Listbulletsub"/>
        <w:tabs>
          <w:tab w:val="left" w:pos="990"/>
        </w:tabs>
        <w:ind w:left="990"/>
      </w:pPr>
      <w:r>
        <w:t>Watershed Assessment Section</w:t>
      </w:r>
    </w:p>
    <w:p w:rsidR="00485094" w:rsidRPr="00AE383B" w:rsidRDefault="00485094" w:rsidP="00665048">
      <w:pPr>
        <w:pStyle w:val="Listbulletsub"/>
        <w:tabs>
          <w:tab w:val="left" w:pos="990"/>
        </w:tabs>
        <w:ind w:left="990"/>
      </w:pPr>
      <w:r w:rsidRPr="00AE383B">
        <w:t>Watershed Monitoring Section</w:t>
      </w:r>
    </w:p>
    <w:p w:rsidR="00485094" w:rsidRDefault="00485094" w:rsidP="006D6DC8">
      <w:pPr>
        <w:pStyle w:val="Bodytextreduced"/>
      </w:pPr>
    </w:p>
    <w:p w:rsidR="00485094" w:rsidRPr="00A039C4" w:rsidRDefault="00485094" w:rsidP="0081133F">
      <w:pPr>
        <w:pStyle w:val="ListBullet"/>
        <w:rPr>
          <w:b/>
        </w:rPr>
      </w:pPr>
      <w:r w:rsidRPr="00A039C4">
        <w:rPr>
          <w:b/>
        </w:rPr>
        <w:t>Bureau of Watershed Restoration:</w:t>
      </w:r>
    </w:p>
    <w:p w:rsidR="00485094" w:rsidRDefault="00485094" w:rsidP="00665048">
      <w:pPr>
        <w:pStyle w:val="Listbulletsub"/>
        <w:tabs>
          <w:tab w:val="left" w:pos="990"/>
        </w:tabs>
        <w:ind w:left="990"/>
      </w:pPr>
      <w:r>
        <w:t xml:space="preserve">Ground Water Management </w:t>
      </w:r>
      <w:r w:rsidRPr="00AE383B">
        <w:t>Section</w:t>
      </w:r>
    </w:p>
    <w:p w:rsidR="00485094" w:rsidRDefault="00485094" w:rsidP="00665048">
      <w:pPr>
        <w:pStyle w:val="Listbulletsub"/>
        <w:tabs>
          <w:tab w:val="left" w:pos="990"/>
        </w:tabs>
        <w:ind w:left="990"/>
      </w:pPr>
      <w:r>
        <w:t xml:space="preserve">Nonpoint Source Management </w:t>
      </w:r>
      <w:r w:rsidRPr="00AE383B">
        <w:t>Section</w:t>
      </w:r>
    </w:p>
    <w:p w:rsidR="00485094" w:rsidRDefault="00485094" w:rsidP="00665048">
      <w:pPr>
        <w:pStyle w:val="Listbulletsub"/>
        <w:tabs>
          <w:tab w:val="left" w:pos="990"/>
        </w:tabs>
        <w:ind w:left="990"/>
      </w:pPr>
      <w:r>
        <w:t>Springs Initiative</w:t>
      </w:r>
    </w:p>
    <w:p w:rsidR="00485094" w:rsidRDefault="00485094" w:rsidP="00665048">
      <w:pPr>
        <w:pStyle w:val="Listbulletsub"/>
        <w:tabs>
          <w:tab w:val="left" w:pos="990"/>
        </w:tabs>
        <w:ind w:left="990"/>
      </w:pPr>
      <w:r>
        <w:t xml:space="preserve">Watershed Evaluation and TMDL </w:t>
      </w:r>
      <w:r w:rsidRPr="00AE383B">
        <w:t>Section</w:t>
      </w:r>
    </w:p>
    <w:p w:rsidR="00485094" w:rsidRDefault="00485094" w:rsidP="00665048">
      <w:pPr>
        <w:pStyle w:val="Listbulletsub"/>
        <w:tabs>
          <w:tab w:val="left" w:pos="990"/>
        </w:tabs>
        <w:ind w:left="990"/>
      </w:pPr>
      <w:r>
        <w:t xml:space="preserve">Watershed Planning and Coordination </w:t>
      </w:r>
      <w:r w:rsidRPr="00AE383B">
        <w:t>Section</w:t>
      </w:r>
    </w:p>
    <w:p w:rsidR="00485094" w:rsidRDefault="00485094" w:rsidP="006D6DC8">
      <w:pPr>
        <w:pStyle w:val="Bodytextreduced"/>
      </w:pPr>
    </w:p>
    <w:p w:rsidR="00485094" w:rsidRPr="00A039C4" w:rsidRDefault="00485094" w:rsidP="0081133F">
      <w:pPr>
        <w:pStyle w:val="ListBullet"/>
        <w:rPr>
          <w:b/>
        </w:rPr>
      </w:pPr>
      <w:r w:rsidRPr="00A039C4">
        <w:rPr>
          <w:b/>
        </w:rPr>
        <w:t>Bureau of Laboratories</w:t>
      </w:r>
      <w:r>
        <w:rPr>
          <w:b/>
        </w:rPr>
        <w:t>:</w:t>
      </w:r>
    </w:p>
    <w:p w:rsidR="00485094" w:rsidRPr="0081133F" w:rsidRDefault="00485094" w:rsidP="00665048">
      <w:pPr>
        <w:pStyle w:val="Listbulletsub"/>
        <w:tabs>
          <w:tab w:val="left" w:pos="990"/>
        </w:tabs>
        <w:ind w:left="990"/>
      </w:pPr>
      <w:r w:rsidRPr="0081133F">
        <w:t>Biology Section</w:t>
      </w:r>
    </w:p>
    <w:p w:rsidR="00485094" w:rsidRPr="00161439" w:rsidRDefault="00485094" w:rsidP="006D6DC8">
      <w:pPr>
        <w:pStyle w:val="Bodytextreduced"/>
      </w:pPr>
    </w:p>
    <w:p w:rsidR="00485094" w:rsidRDefault="00485094" w:rsidP="009565BD">
      <w:pPr>
        <w:pStyle w:val="Bodytext"/>
      </w:pPr>
      <w:r>
        <w:t xml:space="preserve">Many thanks to staff at the Florida Fish and Wildlife Conservation Commission for their valuable help in updating the section on cyanobacteria in </w:t>
      </w:r>
      <w:r w:rsidRPr="00CA461C">
        <w:t>Chapter 3</w:t>
      </w:r>
      <w:r>
        <w:t xml:space="preserve">.  </w:t>
      </w:r>
    </w:p>
    <w:p w:rsidR="00485094" w:rsidRPr="003A4461" w:rsidRDefault="00485094" w:rsidP="00A553DE">
      <w:pPr>
        <w:pStyle w:val="Bodytextreduced"/>
      </w:pPr>
      <w:r>
        <w:br w:type="page"/>
      </w:r>
    </w:p>
    <w:p w:rsidR="00485094" w:rsidRPr="003A4461" w:rsidRDefault="00485094" w:rsidP="00575B42">
      <w:pPr>
        <w:pStyle w:val="Heading1A"/>
      </w:pPr>
      <w:bookmarkStart w:id="0" w:name="_Toc255822478"/>
      <w:r w:rsidRPr="003A4461">
        <w:lastRenderedPageBreak/>
        <w:t>Table of Contents</w:t>
      </w:r>
      <w:bookmarkEnd w:id="0"/>
    </w:p>
    <w:p w:rsidR="00485094" w:rsidRPr="003A4461" w:rsidRDefault="00485094" w:rsidP="00A553DE">
      <w:pPr>
        <w:pStyle w:val="Bodytextreduced"/>
      </w:pPr>
    </w:p>
    <w:p w:rsidR="00086868" w:rsidRDefault="00B2471C">
      <w:pPr>
        <w:pStyle w:val="TOC1"/>
        <w:rPr>
          <w:rFonts w:asciiTheme="minorHAnsi" w:eastAsiaTheme="minorEastAsia" w:hAnsiTheme="minorHAnsi" w:cstheme="minorBidi"/>
          <w:b w:val="0"/>
          <w:bCs w:val="0"/>
          <w:iCs w:val="0"/>
          <w:caps w:val="0"/>
          <w:sz w:val="22"/>
          <w:szCs w:val="22"/>
        </w:rPr>
      </w:pPr>
      <w:r w:rsidRPr="00B2471C">
        <w:rPr>
          <w:rFonts w:ascii="Arial" w:hAnsi="Arial" w:cs="Arial"/>
          <w:i/>
          <w:sz w:val="22"/>
          <w:szCs w:val="22"/>
        </w:rPr>
        <w:fldChar w:fldCharType="begin"/>
      </w:r>
      <w:r w:rsidR="00485094">
        <w:rPr>
          <w:rFonts w:ascii="Arial" w:hAnsi="Arial" w:cs="Arial"/>
          <w:i/>
          <w:sz w:val="22"/>
          <w:szCs w:val="22"/>
        </w:rPr>
        <w:instrText xml:space="preserve"> TOC \h \z \t "Heading 1,1,Heading 2,2,Heading 3,3" </w:instrText>
      </w:r>
      <w:r w:rsidRPr="00B2471C">
        <w:rPr>
          <w:rFonts w:ascii="Arial" w:hAnsi="Arial" w:cs="Arial"/>
          <w:i/>
          <w:sz w:val="22"/>
          <w:szCs w:val="22"/>
        </w:rPr>
        <w:fldChar w:fldCharType="separate"/>
      </w:r>
      <w:hyperlink w:anchor="_Toc271794290" w:history="1">
        <w:r w:rsidR="00086868" w:rsidRPr="00506A82">
          <w:rPr>
            <w:rStyle w:val="Hyperlink"/>
          </w:rPr>
          <w:t>List of Acronyms and Abbreviations</w:t>
        </w:r>
        <w:r w:rsidR="00086868">
          <w:rPr>
            <w:webHidden/>
          </w:rPr>
          <w:tab/>
        </w:r>
        <w:r>
          <w:rPr>
            <w:webHidden/>
          </w:rPr>
          <w:fldChar w:fldCharType="begin"/>
        </w:r>
        <w:r w:rsidR="00086868">
          <w:rPr>
            <w:webHidden/>
          </w:rPr>
          <w:instrText xml:space="preserve"> PAGEREF _Toc271794290 \h </w:instrText>
        </w:r>
        <w:r>
          <w:rPr>
            <w:webHidden/>
          </w:rPr>
        </w:r>
        <w:r>
          <w:rPr>
            <w:webHidden/>
          </w:rPr>
          <w:fldChar w:fldCharType="separate"/>
        </w:r>
        <w:r w:rsidR="005546A0">
          <w:rPr>
            <w:webHidden/>
          </w:rPr>
          <w:t>xii</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291" w:history="1">
        <w:r w:rsidR="00086868" w:rsidRPr="00506A82">
          <w:rPr>
            <w:rStyle w:val="Hyperlink"/>
          </w:rPr>
          <w:t>Executive Summary</w:t>
        </w:r>
        <w:r w:rsidR="00086868">
          <w:rPr>
            <w:webHidden/>
          </w:rPr>
          <w:tab/>
        </w:r>
        <w:r>
          <w:rPr>
            <w:webHidden/>
          </w:rPr>
          <w:fldChar w:fldCharType="begin"/>
        </w:r>
        <w:r w:rsidR="00086868">
          <w:rPr>
            <w:webHidden/>
          </w:rPr>
          <w:instrText xml:space="preserve"> PAGEREF _Toc271794291 \h </w:instrText>
        </w:r>
        <w:r>
          <w:rPr>
            <w:webHidden/>
          </w:rPr>
        </w:r>
        <w:r>
          <w:rPr>
            <w:webHidden/>
          </w:rPr>
          <w:fldChar w:fldCharType="separate"/>
        </w:r>
        <w:r w:rsidR="005546A0">
          <w:rPr>
            <w:webHidden/>
          </w:rPr>
          <w:t>xvi</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292" w:history="1">
        <w:r w:rsidR="00086868" w:rsidRPr="00506A82">
          <w:rPr>
            <w:rStyle w:val="Hyperlink"/>
          </w:rPr>
          <w:t>Chapter 1:  Introduction</w:t>
        </w:r>
        <w:r w:rsidR="00086868">
          <w:rPr>
            <w:webHidden/>
          </w:rPr>
          <w:tab/>
        </w:r>
        <w:r>
          <w:rPr>
            <w:webHidden/>
          </w:rPr>
          <w:fldChar w:fldCharType="begin"/>
        </w:r>
        <w:r w:rsidR="00086868">
          <w:rPr>
            <w:webHidden/>
          </w:rPr>
          <w:instrText xml:space="preserve"> PAGEREF _Toc271794292 \h </w:instrText>
        </w:r>
        <w:r>
          <w:rPr>
            <w:webHidden/>
          </w:rPr>
        </w:r>
        <w:r>
          <w:rPr>
            <w:webHidden/>
          </w:rPr>
          <w:fldChar w:fldCharType="separate"/>
        </w:r>
        <w:r w:rsidR="005546A0">
          <w:rPr>
            <w:webHidden/>
          </w:rPr>
          <w:t>1</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293" w:history="1">
        <w:r w:rsidR="00086868" w:rsidRPr="00506A82">
          <w:rPr>
            <w:rStyle w:val="Hyperlink"/>
            <w:snapToGrid w:val="0"/>
          </w:rPr>
          <w:t>Purpose</w:t>
        </w:r>
        <w:r w:rsidR="00086868">
          <w:rPr>
            <w:webHidden/>
          </w:rPr>
          <w:tab/>
        </w:r>
        <w:r>
          <w:rPr>
            <w:webHidden/>
          </w:rPr>
          <w:fldChar w:fldCharType="begin"/>
        </w:r>
        <w:r w:rsidR="00086868">
          <w:rPr>
            <w:webHidden/>
          </w:rPr>
          <w:instrText xml:space="preserve"> PAGEREF _Toc271794293 \h </w:instrText>
        </w:r>
        <w:r>
          <w:rPr>
            <w:webHidden/>
          </w:rPr>
        </w:r>
        <w:r>
          <w:rPr>
            <w:webHidden/>
          </w:rPr>
          <w:fldChar w:fldCharType="separate"/>
        </w:r>
        <w:r w:rsidR="005546A0">
          <w:rPr>
            <w:webHidden/>
          </w:rPr>
          <w:t>1</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294" w:history="1">
        <w:r w:rsidR="00086868" w:rsidRPr="00506A82">
          <w:rPr>
            <w:rStyle w:val="Hyperlink"/>
          </w:rPr>
          <w:t>Federal Assessment and Reporting Requirements</w:t>
        </w:r>
        <w:r w:rsidR="00086868">
          <w:rPr>
            <w:webHidden/>
          </w:rPr>
          <w:tab/>
        </w:r>
        <w:r>
          <w:rPr>
            <w:webHidden/>
          </w:rPr>
          <w:fldChar w:fldCharType="begin"/>
        </w:r>
        <w:r w:rsidR="00086868">
          <w:rPr>
            <w:webHidden/>
          </w:rPr>
          <w:instrText xml:space="preserve"> PAGEREF _Toc271794294 \h </w:instrText>
        </w:r>
        <w:r>
          <w:rPr>
            <w:webHidden/>
          </w:rPr>
        </w:r>
        <w:r>
          <w:rPr>
            <w:webHidden/>
          </w:rPr>
          <w:fldChar w:fldCharType="separate"/>
        </w:r>
        <w:r w:rsidR="005546A0">
          <w:rPr>
            <w:webHidden/>
          </w:rPr>
          <w:t>1</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295" w:history="1">
        <w:r w:rsidR="00086868" w:rsidRPr="00506A82">
          <w:rPr>
            <w:rStyle w:val="Hyperlink"/>
            <w:snapToGrid w:val="0"/>
          </w:rPr>
          <w:t>Integrating the Federal Requirements into Florida’s Watershed Management Approach</w:t>
        </w:r>
        <w:r w:rsidR="00086868">
          <w:rPr>
            <w:webHidden/>
          </w:rPr>
          <w:tab/>
        </w:r>
        <w:r>
          <w:rPr>
            <w:webHidden/>
          </w:rPr>
          <w:fldChar w:fldCharType="begin"/>
        </w:r>
        <w:r w:rsidR="00086868">
          <w:rPr>
            <w:webHidden/>
          </w:rPr>
          <w:instrText xml:space="preserve"> PAGEREF _Toc271794295 \h </w:instrText>
        </w:r>
        <w:r>
          <w:rPr>
            <w:webHidden/>
          </w:rPr>
        </w:r>
        <w:r>
          <w:rPr>
            <w:webHidden/>
          </w:rPr>
          <w:fldChar w:fldCharType="separate"/>
        </w:r>
        <w:r w:rsidR="005546A0">
          <w:rPr>
            <w:webHidden/>
          </w:rPr>
          <w:t>3</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296" w:history="1">
        <w:r w:rsidR="00086868" w:rsidRPr="00506A82">
          <w:rPr>
            <w:rStyle w:val="Hyperlink"/>
          </w:rPr>
          <w:t>Chapter 2:  Background Information</w:t>
        </w:r>
        <w:r w:rsidR="00086868">
          <w:rPr>
            <w:webHidden/>
          </w:rPr>
          <w:tab/>
        </w:r>
        <w:r>
          <w:rPr>
            <w:webHidden/>
          </w:rPr>
          <w:fldChar w:fldCharType="begin"/>
        </w:r>
        <w:r w:rsidR="00086868">
          <w:rPr>
            <w:webHidden/>
          </w:rPr>
          <w:instrText xml:space="preserve"> PAGEREF _Toc271794296 \h </w:instrText>
        </w:r>
        <w:r>
          <w:rPr>
            <w:webHidden/>
          </w:rPr>
        </w:r>
        <w:r>
          <w:rPr>
            <w:webHidden/>
          </w:rPr>
          <w:fldChar w:fldCharType="separate"/>
        </w:r>
        <w:r w:rsidR="005546A0">
          <w:rPr>
            <w:webHidden/>
          </w:rPr>
          <w:t>5</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297" w:history="1">
        <w:r w:rsidR="00086868" w:rsidRPr="00506A82">
          <w:rPr>
            <w:rStyle w:val="Hyperlink"/>
          </w:rPr>
          <w:t>Overview</w:t>
        </w:r>
        <w:r w:rsidR="00086868">
          <w:rPr>
            <w:webHidden/>
          </w:rPr>
          <w:tab/>
        </w:r>
        <w:r>
          <w:rPr>
            <w:webHidden/>
          </w:rPr>
          <w:fldChar w:fldCharType="begin"/>
        </w:r>
        <w:r w:rsidR="00086868">
          <w:rPr>
            <w:webHidden/>
          </w:rPr>
          <w:instrText xml:space="preserve"> PAGEREF _Toc271794297 \h </w:instrText>
        </w:r>
        <w:r>
          <w:rPr>
            <w:webHidden/>
          </w:rPr>
        </w:r>
        <w:r>
          <w:rPr>
            <w:webHidden/>
          </w:rPr>
          <w:fldChar w:fldCharType="separate"/>
        </w:r>
        <w:r w:rsidR="005546A0">
          <w:rPr>
            <w:webHidden/>
          </w:rPr>
          <w:t>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298" w:history="1">
        <w:r w:rsidR="00086868" w:rsidRPr="00506A82">
          <w:rPr>
            <w:rStyle w:val="Hyperlink"/>
          </w:rPr>
          <w:t>Population</w:t>
        </w:r>
        <w:r w:rsidR="00086868">
          <w:rPr>
            <w:webHidden/>
          </w:rPr>
          <w:tab/>
        </w:r>
        <w:r>
          <w:rPr>
            <w:webHidden/>
          </w:rPr>
          <w:fldChar w:fldCharType="begin"/>
        </w:r>
        <w:r w:rsidR="00086868">
          <w:rPr>
            <w:webHidden/>
          </w:rPr>
          <w:instrText xml:space="preserve"> PAGEREF _Toc271794298 \h </w:instrText>
        </w:r>
        <w:r>
          <w:rPr>
            <w:webHidden/>
          </w:rPr>
        </w:r>
        <w:r>
          <w:rPr>
            <w:webHidden/>
          </w:rPr>
          <w:fldChar w:fldCharType="separate"/>
        </w:r>
        <w:r w:rsidR="005546A0">
          <w:rPr>
            <w:webHidden/>
          </w:rPr>
          <w:t>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299" w:history="1">
        <w:r w:rsidR="00086868" w:rsidRPr="00506A82">
          <w:rPr>
            <w:rStyle w:val="Hyperlink"/>
          </w:rPr>
          <w:t>Climate</w:t>
        </w:r>
        <w:r w:rsidR="00086868">
          <w:rPr>
            <w:webHidden/>
          </w:rPr>
          <w:tab/>
        </w:r>
        <w:r>
          <w:rPr>
            <w:webHidden/>
          </w:rPr>
          <w:fldChar w:fldCharType="begin"/>
        </w:r>
        <w:r w:rsidR="00086868">
          <w:rPr>
            <w:webHidden/>
          </w:rPr>
          <w:instrText xml:space="preserve"> PAGEREF _Toc271794299 \h </w:instrText>
        </w:r>
        <w:r>
          <w:rPr>
            <w:webHidden/>
          </w:rPr>
        </w:r>
        <w:r>
          <w:rPr>
            <w:webHidden/>
          </w:rPr>
          <w:fldChar w:fldCharType="separate"/>
        </w:r>
        <w:r w:rsidR="005546A0">
          <w:rPr>
            <w:webHidden/>
          </w:rPr>
          <w:t>7</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00" w:history="1">
        <w:r w:rsidR="00086868" w:rsidRPr="00506A82">
          <w:rPr>
            <w:rStyle w:val="Hyperlink"/>
          </w:rPr>
          <w:t>Surface Water and Ground Water Resources</w:t>
        </w:r>
        <w:r w:rsidR="00086868">
          <w:rPr>
            <w:webHidden/>
          </w:rPr>
          <w:tab/>
        </w:r>
        <w:r>
          <w:rPr>
            <w:webHidden/>
          </w:rPr>
          <w:fldChar w:fldCharType="begin"/>
        </w:r>
        <w:r w:rsidR="00086868">
          <w:rPr>
            <w:webHidden/>
          </w:rPr>
          <w:instrText xml:space="preserve"> PAGEREF _Toc271794300 \h </w:instrText>
        </w:r>
        <w:r>
          <w:rPr>
            <w:webHidden/>
          </w:rPr>
        </w:r>
        <w:r>
          <w:rPr>
            <w:webHidden/>
          </w:rPr>
          <w:fldChar w:fldCharType="separate"/>
        </w:r>
        <w:r w:rsidR="005546A0">
          <w:rPr>
            <w:webHidden/>
          </w:rPr>
          <w:t>10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1" w:history="1">
        <w:r w:rsidR="00086868" w:rsidRPr="00506A82">
          <w:rPr>
            <w:rStyle w:val="Hyperlink"/>
          </w:rPr>
          <w:t>Streams and Rivers</w:t>
        </w:r>
        <w:r w:rsidR="00086868">
          <w:rPr>
            <w:webHidden/>
          </w:rPr>
          <w:tab/>
        </w:r>
        <w:r>
          <w:rPr>
            <w:webHidden/>
          </w:rPr>
          <w:fldChar w:fldCharType="begin"/>
        </w:r>
        <w:r w:rsidR="00086868">
          <w:rPr>
            <w:webHidden/>
          </w:rPr>
          <w:instrText xml:space="preserve"> PAGEREF _Toc271794301 \h </w:instrText>
        </w:r>
        <w:r>
          <w:rPr>
            <w:webHidden/>
          </w:rPr>
        </w:r>
        <w:r>
          <w:rPr>
            <w:webHidden/>
          </w:rPr>
          <w:fldChar w:fldCharType="separate"/>
        </w:r>
        <w:r w:rsidR="005546A0">
          <w:rPr>
            <w:webHidden/>
          </w:rPr>
          <w:t>10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2" w:history="1">
        <w:r w:rsidR="00086868" w:rsidRPr="00506A82">
          <w:rPr>
            <w:rStyle w:val="Hyperlink"/>
          </w:rPr>
          <w:t>Lakes</w:t>
        </w:r>
        <w:r w:rsidR="00086868">
          <w:rPr>
            <w:webHidden/>
          </w:rPr>
          <w:tab/>
        </w:r>
        <w:r>
          <w:rPr>
            <w:webHidden/>
          </w:rPr>
          <w:fldChar w:fldCharType="begin"/>
        </w:r>
        <w:r w:rsidR="00086868">
          <w:rPr>
            <w:webHidden/>
          </w:rPr>
          <w:instrText xml:space="preserve"> PAGEREF _Toc271794302 \h </w:instrText>
        </w:r>
        <w:r>
          <w:rPr>
            <w:webHidden/>
          </w:rPr>
        </w:r>
        <w:r>
          <w:rPr>
            <w:webHidden/>
          </w:rPr>
          <w:fldChar w:fldCharType="separate"/>
        </w:r>
        <w:r w:rsidR="005546A0">
          <w:rPr>
            <w:webHidden/>
          </w:rPr>
          <w:t>11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3" w:history="1">
        <w:r w:rsidR="00086868" w:rsidRPr="00506A82">
          <w:rPr>
            <w:rStyle w:val="Hyperlink"/>
            <w:snapToGrid w:val="0"/>
          </w:rPr>
          <w:t>Estuaries and Coastal Waters</w:t>
        </w:r>
        <w:r w:rsidR="00086868">
          <w:rPr>
            <w:webHidden/>
          </w:rPr>
          <w:tab/>
        </w:r>
        <w:r>
          <w:rPr>
            <w:webHidden/>
          </w:rPr>
          <w:fldChar w:fldCharType="begin"/>
        </w:r>
        <w:r w:rsidR="00086868">
          <w:rPr>
            <w:webHidden/>
          </w:rPr>
          <w:instrText xml:space="preserve"> PAGEREF _Toc271794303 \h </w:instrText>
        </w:r>
        <w:r>
          <w:rPr>
            <w:webHidden/>
          </w:rPr>
        </w:r>
        <w:r>
          <w:rPr>
            <w:webHidden/>
          </w:rPr>
          <w:fldChar w:fldCharType="separate"/>
        </w:r>
        <w:r w:rsidR="005546A0">
          <w:rPr>
            <w:webHidden/>
          </w:rPr>
          <w:t>12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4" w:history="1">
        <w:r w:rsidR="00086868" w:rsidRPr="00506A82">
          <w:rPr>
            <w:rStyle w:val="Hyperlink"/>
          </w:rPr>
          <w:t>Wetlands</w:t>
        </w:r>
        <w:r w:rsidR="00086868">
          <w:rPr>
            <w:webHidden/>
          </w:rPr>
          <w:tab/>
        </w:r>
        <w:r>
          <w:rPr>
            <w:webHidden/>
          </w:rPr>
          <w:fldChar w:fldCharType="begin"/>
        </w:r>
        <w:r w:rsidR="00086868">
          <w:rPr>
            <w:webHidden/>
          </w:rPr>
          <w:instrText xml:space="preserve"> PAGEREF _Toc271794304 \h </w:instrText>
        </w:r>
        <w:r>
          <w:rPr>
            <w:webHidden/>
          </w:rPr>
        </w:r>
        <w:r>
          <w:rPr>
            <w:webHidden/>
          </w:rPr>
          <w:fldChar w:fldCharType="separate"/>
        </w:r>
        <w:r w:rsidR="005546A0">
          <w:rPr>
            <w:webHidden/>
          </w:rPr>
          <w:t>12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5" w:history="1">
        <w:r w:rsidR="00086868" w:rsidRPr="00506A82">
          <w:rPr>
            <w:rStyle w:val="Hyperlink"/>
          </w:rPr>
          <w:t>Aquifers and Springs</w:t>
        </w:r>
        <w:r w:rsidR="00086868">
          <w:rPr>
            <w:webHidden/>
          </w:rPr>
          <w:tab/>
        </w:r>
        <w:r>
          <w:rPr>
            <w:webHidden/>
          </w:rPr>
          <w:fldChar w:fldCharType="begin"/>
        </w:r>
        <w:r w:rsidR="00086868">
          <w:rPr>
            <w:webHidden/>
          </w:rPr>
          <w:instrText xml:space="preserve"> PAGEREF _Toc271794305 \h </w:instrText>
        </w:r>
        <w:r>
          <w:rPr>
            <w:webHidden/>
          </w:rPr>
        </w:r>
        <w:r>
          <w:rPr>
            <w:webHidden/>
          </w:rPr>
          <w:fldChar w:fldCharType="separate"/>
        </w:r>
        <w:r w:rsidR="005546A0">
          <w:rPr>
            <w:webHidden/>
          </w:rPr>
          <w:t>13</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06" w:history="1">
        <w:r w:rsidR="00086868" w:rsidRPr="00506A82">
          <w:rPr>
            <w:rStyle w:val="Hyperlink"/>
          </w:rPr>
          <w:t>Hydrogeology</w:t>
        </w:r>
        <w:r w:rsidR="00086868">
          <w:rPr>
            <w:webHidden/>
          </w:rPr>
          <w:tab/>
        </w:r>
        <w:r>
          <w:rPr>
            <w:webHidden/>
          </w:rPr>
          <w:fldChar w:fldCharType="begin"/>
        </w:r>
        <w:r w:rsidR="00086868">
          <w:rPr>
            <w:webHidden/>
          </w:rPr>
          <w:instrText xml:space="preserve"> PAGEREF _Toc271794306 \h </w:instrText>
        </w:r>
        <w:r>
          <w:rPr>
            <w:webHidden/>
          </w:rPr>
        </w:r>
        <w:r>
          <w:rPr>
            <w:webHidden/>
          </w:rPr>
          <w:fldChar w:fldCharType="separate"/>
        </w:r>
        <w:r w:rsidR="005546A0">
          <w:rPr>
            <w:webHidden/>
          </w:rPr>
          <w:t>13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7" w:history="1">
        <w:r w:rsidR="00086868" w:rsidRPr="00506A82">
          <w:rPr>
            <w:rStyle w:val="Hyperlink"/>
          </w:rPr>
          <w:t>Surface Water</w:t>
        </w:r>
        <w:r w:rsidR="00086868">
          <w:rPr>
            <w:webHidden/>
          </w:rPr>
          <w:tab/>
        </w:r>
        <w:r>
          <w:rPr>
            <w:webHidden/>
          </w:rPr>
          <w:fldChar w:fldCharType="begin"/>
        </w:r>
        <w:r w:rsidR="00086868">
          <w:rPr>
            <w:webHidden/>
          </w:rPr>
          <w:instrText xml:space="preserve"> PAGEREF _Toc271794307 \h </w:instrText>
        </w:r>
        <w:r>
          <w:rPr>
            <w:webHidden/>
          </w:rPr>
        </w:r>
        <w:r>
          <w:rPr>
            <w:webHidden/>
          </w:rPr>
          <w:fldChar w:fldCharType="separate"/>
        </w:r>
        <w:r w:rsidR="005546A0">
          <w:rPr>
            <w:webHidden/>
          </w:rPr>
          <w:t>13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8" w:history="1">
        <w:r w:rsidR="00086868" w:rsidRPr="00506A82">
          <w:rPr>
            <w:rStyle w:val="Hyperlink"/>
          </w:rPr>
          <w:t>Ground Water</w:t>
        </w:r>
        <w:r w:rsidR="00086868">
          <w:rPr>
            <w:webHidden/>
          </w:rPr>
          <w:tab/>
        </w:r>
        <w:r>
          <w:rPr>
            <w:webHidden/>
          </w:rPr>
          <w:fldChar w:fldCharType="begin"/>
        </w:r>
        <w:r w:rsidR="00086868">
          <w:rPr>
            <w:webHidden/>
          </w:rPr>
          <w:instrText xml:space="preserve"> PAGEREF _Toc271794308 \h </w:instrText>
        </w:r>
        <w:r>
          <w:rPr>
            <w:webHidden/>
          </w:rPr>
        </w:r>
        <w:r>
          <w:rPr>
            <w:webHidden/>
          </w:rPr>
          <w:fldChar w:fldCharType="separate"/>
        </w:r>
        <w:r w:rsidR="005546A0">
          <w:rPr>
            <w:webHidden/>
          </w:rPr>
          <w:t>14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09" w:history="1">
        <w:r w:rsidR="00086868" w:rsidRPr="00506A82">
          <w:rPr>
            <w:rStyle w:val="Hyperlink"/>
          </w:rPr>
          <w:t>Surface Water–Ground Water Interactions</w:t>
        </w:r>
        <w:r w:rsidR="00086868">
          <w:rPr>
            <w:webHidden/>
          </w:rPr>
          <w:tab/>
        </w:r>
        <w:r>
          <w:rPr>
            <w:webHidden/>
          </w:rPr>
          <w:fldChar w:fldCharType="begin"/>
        </w:r>
        <w:r w:rsidR="00086868">
          <w:rPr>
            <w:webHidden/>
          </w:rPr>
          <w:instrText xml:space="preserve"> PAGEREF _Toc271794309 \h </w:instrText>
        </w:r>
        <w:r>
          <w:rPr>
            <w:webHidden/>
          </w:rPr>
        </w:r>
        <w:r>
          <w:rPr>
            <w:webHidden/>
          </w:rPr>
          <w:fldChar w:fldCharType="separate"/>
        </w:r>
        <w:r w:rsidR="005546A0">
          <w:rPr>
            <w:webHidden/>
          </w:rPr>
          <w:t>15</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10" w:history="1">
        <w:r w:rsidR="00086868" w:rsidRPr="00506A82">
          <w:rPr>
            <w:rStyle w:val="Hyperlink"/>
          </w:rPr>
          <w:t>Chapter 3:  Public Health Issues and Emerging STATE Concerns and Initiatives</w:t>
        </w:r>
        <w:r w:rsidR="00086868">
          <w:rPr>
            <w:webHidden/>
          </w:rPr>
          <w:tab/>
        </w:r>
        <w:r>
          <w:rPr>
            <w:webHidden/>
          </w:rPr>
          <w:fldChar w:fldCharType="begin"/>
        </w:r>
        <w:r w:rsidR="00086868">
          <w:rPr>
            <w:webHidden/>
          </w:rPr>
          <w:instrText xml:space="preserve"> PAGEREF _Toc271794310 \h </w:instrText>
        </w:r>
        <w:r>
          <w:rPr>
            <w:webHidden/>
          </w:rPr>
        </w:r>
        <w:r>
          <w:rPr>
            <w:webHidden/>
          </w:rPr>
          <w:fldChar w:fldCharType="separate"/>
        </w:r>
        <w:r w:rsidR="005546A0">
          <w:rPr>
            <w:webHidden/>
          </w:rPr>
          <w:t>17</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11" w:history="1">
        <w:r w:rsidR="00086868" w:rsidRPr="00506A82">
          <w:rPr>
            <w:rStyle w:val="Hyperlink"/>
            <w:snapToGrid w:val="0"/>
          </w:rPr>
          <w:t>Public Health Issues</w:t>
        </w:r>
        <w:r w:rsidR="00086868">
          <w:rPr>
            <w:webHidden/>
          </w:rPr>
          <w:tab/>
        </w:r>
        <w:r>
          <w:rPr>
            <w:webHidden/>
          </w:rPr>
          <w:fldChar w:fldCharType="begin"/>
        </w:r>
        <w:r w:rsidR="00086868">
          <w:rPr>
            <w:webHidden/>
          </w:rPr>
          <w:instrText xml:space="preserve"> PAGEREF _Toc271794311 \h </w:instrText>
        </w:r>
        <w:r>
          <w:rPr>
            <w:webHidden/>
          </w:rPr>
        </w:r>
        <w:r>
          <w:rPr>
            <w:webHidden/>
          </w:rPr>
          <w:fldChar w:fldCharType="separate"/>
        </w:r>
        <w:r w:rsidR="005546A0">
          <w:rPr>
            <w:webHidden/>
          </w:rPr>
          <w:t>17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12" w:history="1">
        <w:r w:rsidR="00086868" w:rsidRPr="00506A82">
          <w:rPr>
            <w:rStyle w:val="Hyperlink"/>
          </w:rPr>
          <w:t>Drinking Water</w:t>
        </w:r>
        <w:r w:rsidR="00086868">
          <w:rPr>
            <w:webHidden/>
          </w:rPr>
          <w:tab/>
        </w:r>
        <w:r>
          <w:rPr>
            <w:webHidden/>
          </w:rPr>
          <w:fldChar w:fldCharType="begin"/>
        </w:r>
        <w:r w:rsidR="00086868">
          <w:rPr>
            <w:webHidden/>
          </w:rPr>
          <w:instrText xml:space="preserve"> PAGEREF _Toc271794312 \h </w:instrText>
        </w:r>
        <w:r>
          <w:rPr>
            <w:webHidden/>
          </w:rPr>
        </w:r>
        <w:r>
          <w:rPr>
            <w:webHidden/>
          </w:rPr>
          <w:fldChar w:fldCharType="separate"/>
        </w:r>
        <w:r w:rsidR="005546A0">
          <w:rPr>
            <w:webHidden/>
          </w:rPr>
          <w:t>17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13" w:history="1">
        <w:r w:rsidR="00086868" w:rsidRPr="00506A82">
          <w:rPr>
            <w:rStyle w:val="Hyperlink"/>
            <w:snapToGrid w:val="0"/>
          </w:rPr>
          <w:t>Healthy Beaches Program</w:t>
        </w:r>
        <w:r w:rsidR="00086868">
          <w:rPr>
            <w:webHidden/>
          </w:rPr>
          <w:tab/>
        </w:r>
        <w:r>
          <w:rPr>
            <w:webHidden/>
          </w:rPr>
          <w:fldChar w:fldCharType="begin"/>
        </w:r>
        <w:r w:rsidR="00086868">
          <w:rPr>
            <w:webHidden/>
          </w:rPr>
          <w:instrText xml:space="preserve"> PAGEREF _Toc271794313 \h </w:instrText>
        </w:r>
        <w:r>
          <w:rPr>
            <w:webHidden/>
          </w:rPr>
        </w:r>
        <w:r>
          <w:rPr>
            <w:webHidden/>
          </w:rPr>
          <w:fldChar w:fldCharType="separate"/>
        </w:r>
        <w:r w:rsidR="005546A0">
          <w:rPr>
            <w:webHidden/>
          </w:rPr>
          <w:t>18</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14" w:history="1">
        <w:r w:rsidR="00086868" w:rsidRPr="00506A82">
          <w:rPr>
            <w:rStyle w:val="Hyperlink"/>
            <w:snapToGrid w:val="0"/>
          </w:rPr>
          <w:t>Bacterial and Mercury Contamination</w:t>
        </w:r>
        <w:r w:rsidR="00086868">
          <w:rPr>
            <w:webHidden/>
          </w:rPr>
          <w:tab/>
        </w:r>
        <w:r>
          <w:rPr>
            <w:webHidden/>
          </w:rPr>
          <w:fldChar w:fldCharType="begin"/>
        </w:r>
        <w:r w:rsidR="00086868">
          <w:rPr>
            <w:webHidden/>
          </w:rPr>
          <w:instrText xml:space="preserve"> PAGEREF _Toc271794314 \h </w:instrText>
        </w:r>
        <w:r>
          <w:rPr>
            <w:webHidden/>
          </w:rPr>
        </w:r>
        <w:r>
          <w:rPr>
            <w:webHidden/>
          </w:rPr>
          <w:fldChar w:fldCharType="separate"/>
        </w:r>
        <w:r w:rsidR="005546A0">
          <w:rPr>
            <w:webHidden/>
          </w:rPr>
          <w:t>19</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15" w:history="1">
        <w:r w:rsidR="00086868" w:rsidRPr="00506A82">
          <w:rPr>
            <w:rStyle w:val="Hyperlink"/>
          </w:rPr>
          <w:t>Harmful Algal Blooms</w:t>
        </w:r>
        <w:r w:rsidR="00086868">
          <w:rPr>
            <w:webHidden/>
          </w:rPr>
          <w:tab/>
        </w:r>
        <w:r>
          <w:rPr>
            <w:webHidden/>
          </w:rPr>
          <w:fldChar w:fldCharType="begin"/>
        </w:r>
        <w:r w:rsidR="00086868">
          <w:rPr>
            <w:webHidden/>
          </w:rPr>
          <w:instrText xml:space="preserve"> PAGEREF _Toc271794315 \h </w:instrText>
        </w:r>
        <w:r>
          <w:rPr>
            <w:webHidden/>
          </w:rPr>
        </w:r>
        <w:r>
          <w:rPr>
            <w:webHidden/>
          </w:rPr>
          <w:fldChar w:fldCharType="separate"/>
        </w:r>
        <w:r w:rsidR="005546A0">
          <w:rPr>
            <w:webHidden/>
          </w:rPr>
          <w:t>19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16" w:history="1">
        <w:r w:rsidR="00086868" w:rsidRPr="00506A82">
          <w:rPr>
            <w:rStyle w:val="Hyperlink"/>
          </w:rPr>
          <w:t>Emerging Concerns and Initiatives</w:t>
        </w:r>
        <w:r w:rsidR="00086868">
          <w:rPr>
            <w:webHidden/>
          </w:rPr>
          <w:tab/>
        </w:r>
        <w:r>
          <w:rPr>
            <w:webHidden/>
          </w:rPr>
          <w:fldChar w:fldCharType="begin"/>
        </w:r>
        <w:r w:rsidR="00086868">
          <w:rPr>
            <w:webHidden/>
          </w:rPr>
          <w:instrText xml:space="preserve"> PAGEREF _Toc271794316 \h </w:instrText>
        </w:r>
        <w:r>
          <w:rPr>
            <w:webHidden/>
          </w:rPr>
        </w:r>
        <w:r>
          <w:rPr>
            <w:webHidden/>
          </w:rPr>
          <w:fldChar w:fldCharType="separate"/>
        </w:r>
        <w:r w:rsidR="005546A0">
          <w:rPr>
            <w:webHidden/>
          </w:rPr>
          <w:t>23</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17" w:history="1">
        <w:r w:rsidR="00086868" w:rsidRPr="00506A82">
          <w:rPr>
            <w:rStyle w:val="Hyperlink"/>
          </w:rPr>
          <w:t>Chapter 4:  Florida’s Approach to Monitoring Surface Water and Ground Water</w:t>
        </w:r>
        <w:r w:rsidR="00086868">
          <w:rPr>
            <w:webHidden/>
          </w:rPr>
          <w:tab/>
        </w:r>
        <w:r>
          <w:rPr>
            <w:webHidden/>
          </w:rPr>
          <w:fldChar w:fldCharType="begin"/>
        </w:r>
        <w:r w:rsidR="00086868">
          <w:rPr>
            <w:webHidden/>
          </w:rPr>
          <w:instrText xml:space="preserve"> PAGEREF _Toc271794317 \h </w:instrText>
        </w:r>
        <w:r>
          <w:rPr>
            <w:webHidden/>
          </w:rPr>
        </w:r>
        <w:r>
          <w:rPr>
            <w:webHidden/>
          </w:rPr>
          <w:fldChar w:fldCharType="separate"/>
        </w:r>
        <w:r w:rsidR="005546A0">
          <w:rPr>
            <w:webHidden/>
          </w:rPr>
          <w:t>29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18" w:history="1">
        <w:r w:rsidR="00086868" w:rsidRPr="00506A82">
          <w:rPr>
            <w:rStyle w:val="Hyperlink"/>
          </w:rPr>
          <w:t>Background</w:t>
        </w:r>
        <w:r w:rsidR="00086868">
          <w:rPr>
            <w:webHidden/>
          </w:rPr>
          <w:tab/>
        </w:r>
        <w:r>
          <w:rPr>
            <w:webHidden/>
          </w:rPr>
          <w:fldChar w:fldCharType="begin"/>
        </w:r>
        <w:r w:rsidR="00086868">
          <w:rPr>
            <w:webHidden/>
          </w:rPr>
          <w:instrText xml:space="preserve"> PAGEREF _Toc271794318 \h </w:instrText>
        </w:r>
        <w:r>
          <w:rPr>
            <w:webHidden/>
          </w:rPr>
        </w:r>
        <w:r>
          <w:rPr>
            <w:webHidden/>
          </w:rPr>
          <w:fldChar w:fldCharType="separate"/>
        </w:r>
        <w:r w:rsidR="005546A0">
          <w:rPr>
            <w:webHidden/>
          </w:rPr>
          <w:t>29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19" w:history="1">
        <w:r w:rsidR="00086868" w:rsidRPr="00506A82">
          <w:rPr>
            <w:rStyle w:val="Hyperlink"/>
            <w:snapToGrid w:val="0"/>
          </w:rPr>
          <w:t>Florida’s Integrated Water Resources Monitoring Program</w:t>
        </w:r>
        <w:r w:rsidR="00086868">
          <w:rPr>
            <w:webHidden/>
          </w:rPr>
          <w:tab/>
        </w:r>
        <w:r>
          <w:rPr>
            <w:webHidden/>
          </w:rPr>
          <w:fldChar w:fldCharType="begin"/>
        </w:r>
        <w:r w:rsidR="00086868">
          <w:rPr>
            <w:webHidden/>
          </w:rPr>
          <w:instrText xml:space="preserve"> PAGEREF _Toc271794319 \h </w:instrText>
        </w:r>
        <w:r>
          <w:rPr>
            <w:webHidden/>
          </w:rPr>
        </w:r>
        <w:r>
          <w:rPr>
            <w:webHidden/>
          </w:rPr>
          <w:fldChar w:fldCharType="separate"/>
        </w:r>
        <w:r w:rsidR="005546A0">
          <w:rPr>
            <w:webHidden/>
          </w:rPr>
          <w:t>33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0" w:history="1">
        <w:r w:rsidR="00086868" w:rsidRPr="00506A82">
          <w:rPr>
            <w:rStyle w:val="Hyperlink"/>
          </w:rPr>
          <w:t>Element 1:  Monitoring Objectives</w:t>
        </w:r>
        <w:r w:rsidR="00086868">
          <w:rPr>
            <w:webHidden/>
          </w:rPr>
          <w:tab/>
        </w:r>
        <w:r>
          <w:rPr>
            <w:webHidden/>
          </w:rPr>
          <w:fldChar w:fldCharType="begin"/>
        </w:r>
        <w:r w:rsidR="00086868">
          <w:rPr>
            <w:webHidden/>
          </w:rPr>
          <w:instrText xml:space="preserve"> PAGEREF _Toc271794320 \h </w:instrText>
        </w:r>
        <w:r>
          <w:rPr>
            <w:webHidden/>
          </w:rPr>
        </w:r>
        <w:r>
          <w:rPr>
            <w:webHidden/>
          </w:rPr>
          <w:fldChar w:fldCharType="separate"/>
        </w:r>
        <w:r w:rsidR="005546A0">
          <w:rPr>
            <w:webHidden/>
          </w:rPr>
          <w:t>35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1" w:history="1">
        <w:r w:rsidR="00086868" w:rsidRPr="00506A82">
          <w:rPr>
            <w:rStyle w:val="Hyperlink"/>
          </w:rPr>
          <w:t>Element 2:  Monitoring Strategy</w:t>
        </w:r>
        <w:r w:rsidR="00086868">
          <w:rPr>
            <w:webHidden/>
          </w:rPr>
          <w:tab/>
        </w:r>
        <w:r>
          <w:rPr>
            <w:webHidden/>
          </w:rPr>
          <w:fldChar w:fldCharType="begin"/>
        </w:r>
        <w:r w:rsidR="00086868">
          <w:rPr>
            <w:webHidden/>
          </w:rPr>
          <w:instrText xml:space="preserve"> PAGEREF _Toc271794321 \h </w:instrText>
        </w:r>
        <w:r>
          <w:rPr>
            <w:webHidden/>
          </w:rPr>
        </w:r>
        <w:r>
          <w:rPr>
            <w:webHidden/>
          </w:rPr>
          <w:fldChar w:fldCharType="separate"/>
        </w:r>
        <w:r w:rsidR="005546A0">
          <w:rPr>
            <w:webHidden/>
          </w:rPr>
          <w:t>35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2" w:history="1">
        <w:r w:rsidR="00086868" w:rsidRPr="00506A82">
          <w:rPr>
            <w:rStyle w:val="Hyperlink"/>
          </w:rPr>
          <w:t>Element 5:  Quality Assurance</w:t>
        </w:r>
        <w:r w:rsidR="00086868">
          <w:rPr>
            <w:webHidden/>
          </w:rPr>
          <w:tab/>
        </w:r>
        <w:r>
          <w:rPr>
            <w:webHidden/>
          </w:rPr>
          <w:fldChar w:fldCharType="begin"/>
        </w:r>
        <w:r w:rsidR="00086868">
          <w:rPr>
            <w:webHidden/>
          </w:rPr>
          <w:instrText xml:space="preserve"> PAGEREF _Toc271794322 \h </w:instrText>
        </w:r>
        <w:r>
          <w:rPr>
            <w:webHidden/>
          </w:rPr>
        </w:r>
        <w:r>
          <w:rPr>
            <w:webHidden/>
          </w:rPr>
          <w:fldChar w:fldCharType="separate"/>
        </w:r>
        <w:r w:rsidR="005546A0">
          <w:rPr>
            <w:webHidden/>
          </w:rPr>
          <w:t>36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3" w:history="1">
        <w:r w:rsidR="00086868" w:rsidRPr="00506A82">
          <w:rPr>
            <w:rStyle w:val="Hyperlink"/>
          </w:rPr>
          <w:t>Element 6:  Data Management</w:t>
        </w:r>
        <w:r w:rsidR="00086868">
          <w:rPr>
            <w:webHidden/>
          </w:rPr>
          <w:tab/>
        </w:r>
        <w:r>
          <w:rPr>
            <w:webHidden/>
          </w:rPr>
          <w:fldChar w:fldCharType="begin"/>
        </w:r>
        <w:r w:rsidR="00086868">
          <w:rPr>
            <w:webHidden/>
          </w:rPr>
          <w:instrText xml:space="preserve"> PAGEREF _Toc271794323 \h </w:instrText>
        </w:r>
        <w:r>
          <w:rPr>
            <w:webHidden/>
          </w:rPr>
        </w:r>
        <w:r>
          <w:rPr>
            <w:webHidden/>
          </w:rPr>
          <w:fldChar w:fldCharType="separate"/>
        </w:r>
        <w:r w:rsidR="005546A0">
          <w:rPr>
            <w:webHidden/>
          </w:rPr>
          <w:t>37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4" w:history="1">
        <w:r w:rsidR="00086868" w:rsidRPr="00506A82">
          <w:rPr>
            <w:rStyle w:val="Hyperlink"/>
          </w:rPr>
          <w:t>Element 9:  Program Evaluation</w:t>
        </w:r>
        <w:r w:rsidR="00086868">
          <w:rPr>
            <w:webHidden/>
          </w:rPr>
          <w:tab/>
        </w:r>
        <w:r>
          <w:rPr>
            <w:webHidden/>
          </w:rPr>
          <w:fldChar w:fldCharType="begin"/>
        </w:r>
        <w:r w:rsidR="00086868">
          <w:rPr>
            <w:webHidden/>
          </w:rPr>
          <w:instrText xml:space="preserve"> PAGEREF _Toc271794324 \h </w:instrText>
        </w:r>
        <w:r>
          <w:rPr>
            <w:webHidden/>
          </w:rPr>
        </w:r>
        <w:r>
          <w:rPr>
            <w:webHidden/>
          </w:rPr>
          <w:fldChar w:fldCharType="separate"/>
        </w:r>
        <w:r w:rsidR="005546A0">
          <w:rPr>
            <w:webHidden/>
          </w:rPr>
          <w:t>37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25" w:history="1">
        <w:r w:rsidR="00086868" w:rsidRPr="00506A82">
          <w:rPr>
            <w:rStyle w:val="Hyperlink"/>
          </w:rPr>
          <w:t>Element 10:  General Support and Infrastructure Planning</w:t>
        </w:r>
        <w:r w:rsidR="00086868">
          <w:rPr>
            <w:webHidden/>
          </w:rPr>
          <w:tab/>
        </w:r>
        <w:r>
          <w:rPr>
            <w:webHidden/>
          </w:rPr>
          <w:fldChar w:fldCharType="begin"/>
        </w:r>
        <w:r w:rsidR="00086868">
          <w:rPr>
            <w:webHidden/>
          </w:rPr>
          <w:instrText xml:space="preserve"> PAGEREF _Toc271794325 \h </w:instrText>
        </w:r>
        <w:r>
          <w:rPr>
            <w:webHidden/>
          </w:rPr>
        </w:r>
        <w:r>
          <w:rPr>
            <w:webHidden/>
          </w:rPr>
          <w:fldChar w:fldCharType="separate"/>
        </w:r>
        <w:r w:rsidR="005546A0">
          <w:rPr>
            <w:webHidden/>
          </w:rPr>
          <w:t>38</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26" w:history="1">
        <w:r w:rsidR="00086868" w:rsidRPr="00506A82">
          <w:rPr>
            <w:rStyle w:val="Hyperlink"/>
          </w:rPr>
          <w:t>Evolving Approaches to Monitoring</w:t>
        </w:r>
        <w:r w:rsidR="00086868">
          <w:rPr>
            <w:webHidden/>
          </w:rPr>
          <w:tab/>
        </w:r>
        <w:r>
          <w:rPr>
            <w:webHidden/>
          </w:rPr>
          <w:fldChar w:fldCharType="begin"/>
        </w:r>
        <w:r w:rsidR="00086868">
          <w:rPr>
            <w:webHidden/>
          </w:rPr>
          <w:instrText xml:space="preserve"> PAGEREF _Toc271794326 \h </w:instrText>
        </w:r>
        <w:r>
          <w:rPr>
            <w:webHidden/>
          </w:rPr>
        </w:r>
        <w:r>
          <w:rPr>
            <w:webHidden/>
          </w:rPr>
          <w:fldChar w:fldCharType="separate"/>
        </w:r>
        <w:r w:rsidR="005546A0">
          <w:rPr>
            <w:webHidden/>
          </w:rPr>
          <w:t>38</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27" w:history="1">
        <w:r w:rsidR="00086868" w:rsidRPr="00506A82">
          <w:rPr>
            <w:rStyle w:val="Hyperlink"/>
          </w:rPr>
          <w:t>Chapter 5.  Design for the Status and Trend Networks</w:t>
        </w:r>
        <w:r w:rsidR="00086868">
          <w:rPr>
            <w:webHidden/>
          </w:rPr>
          <w:tab/>
        </w:r>
        <w:r>
          <w:rPr>
            <w:webHidden/>
          </w:rPr>
          <w:fldChar w:fldCharType="begin"/>
        </w:r>
        <w:r w:rsidR="00086868">
          <w:rPr>
            <w:webHidden/>
          </w:rPr>
          <w:instrText xml:space="preserve"> PAGEREF _Toc271794327 \h </w:instrText>
        </w:r>
        <w:r>
          <w:rPr>
            <w:webHidden/>
          </w:rPr>
        </w:r>
        <w:r>
          <w:rPr>
            <w:webHidden/>
          </w:rPr>
          <w:fldChar w:fldCharType="separate"/>
        </w:r>
        <w:r w:rsidR="005546A0">
          <w:rPr>
            <w:webHidden/>
          </w:rPr>
          <w:t>39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28" w:history="1">
        <w:r w:rsidR="00086868" w:rsidRPr="00506A82">
          <w:rPr>
            <w:rStyle w:val="Hyperlink"/>
          </w:rPr>
          <w:t>Background</w:t>
        </w:r>
        <w:r w:rsidR="00086868">
          <w:rPr>
            <w:webHidden/>
          </w:rPr>
          <w:tab/>
        </w:r>
        <w:r>
          <w:rPr>
            <w:webHidden/>
          </w:rPr>
          <w:fldChar w:fldCharType="begin"/>
        </w:r>
        <w:r w:rsidR="00086868">
          <w:rPr>
            <w:webHidden/>
          </w:rPr>
          <w:instrText xml:space="preserve"> PAGEREF _Toc271794328 \h </w:instrText>
        </w:r>
        <w:r>
          <w:rPr>
            <w:webHidden/>
          </w:rPr>
        </w:r>
        <w:r>
          <w:rPr>
            <w:webHidden/>
          </w:rPr>
          <w:fldChar w:fldCharType="separate"/>
        </w:r>
        <w:r w:rsidR="005546A0">
          <w:rPr>
            <w:webHidden/>
          </w:rPr>
          <w:t>39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29" w:history="1">
        <w:r w:rsidR="00086868" w:rsidRPr="00506A82">
          <w:rPr>
            <w:rStyle w:val="Hyperlink"/>
          </w:rPr>
          <w:t>Status Network Monitoring</w:t>
        </w:r>
        <w:r w:rsidR="00086868">
          <w:rPr>
            <w:webHidden/>
          </w:rPr>
          <w:tab/>
        </w:r>
        <w:r>
          <w:rPr>
            <w:webHidden/>
          </w:rPr>
          <w:fldChar w:fldCharType="begin"/>
        </w:r>
        <w:r w:rsidR="00086868">
          <w:rPr>
            <w:webHidden/>
          </w:rPr>
          <w:instrText xml:space="preserve"> PAGEREF _Toc271794329 \h </w:instrText>
        </w:r>
        <w:r>
          <w:rPr>
            <w:webHidden/>
          </w:rPr>
        </w:r>
        <w:r>
          <w:rPr>
            <w:webHidden/>
          </w:rPr>
          <w:fldChar w:fldCharType="separate"/>
        </w:r>
        <w:r w:rsidR="005546A0">
          <w:rPr>
            <w:webHidden/>
          </w:rPr>
          <w:t>40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0" w:history="1">
        <w:r w:rsidR="00086868" w:rsidRPr="00506A82">
          <w:rPr>
            <w:rStyle w:val="Hyperlink"/>
          </w:rPr>
          <w:t>Water Resource Types</w:t>
        </w:r>
        <w:r w:rsidR="00086868">
          <w:rPr>
            <w:webHidden/>
          </w:rPr>
          <w:tab/>
        </w:r>
        <w:r>
          <w:rPr>
            <w:webHidden/>
          </w:rPr>
          <w:fldChar w:fldCharType="begin"/>
        </w:r>
        <w:r w:rsidR="00086868">
          <w:rPr>
            <w:webHidden/>
          </w:rPr>
          <w:instrText xml:space="preserve"> PAGEREF _Toc271794330 \h </w:instrText>
        </w:r>
        <w:r>
          <w:rPr>
            <w:webHidden/>
          </w:rPr>
        </w:r>
        <w:r>
          <w:rPr>
            <w:webHidden/>
          </w:rPr>
          <w:fldChar w:fldCharType="separate"/>
        </w:r>
        <w:r w:rsidR="005546A0">
          <w:rPr>
            <w:webHidden/>
          </w:rPr>
          <w:t>40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1" w:history="1">
        <w:r w:rsidR="00086868" w:rsidRPr="00506A82">
          <w:rPr>
            <w:rStyle w:val="Hyperlink"/>
          </w:rPr>
          <w:t>Geographic Design and Site Selection</w:t>
        </w:r>
        <w:r w:rsidR="00086868">
          <w:rPr>
            <w:webHidden/>
          </w:rPr>
          <w:tab/>
        </w:r>
        <w:r>
          <w:rPr>
            <w:webHidden/>
          </w:rPr>
          <w:fldChar w:fldCharType="begin"/>
        </w:r>
        <w:r w:rsidR="00086868">
          <w:rPr>
            <w:webHidden/>
          </w:rPr>
          <w:instrText xml:space="preserve"> PAGEREF _Toc271794331 \h </w:instrText>
        </w:r>
        <w:r>
          <w:rPr>
            <w:webHidden/>
          </w:rPr>
        </w:r>
        <w:r>
          <w:rPr>
            <w:webHidden/>
          </w:rPr>
          <w:fldChar w:fldCharType="separate"/>
        </w:r>
        <w:r w:rsidR="005546A0">
          <w:rPr>
            <w:webHidden/>
          </w:rPr>
          <w:t>41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2" w:history="1">
        <w:r w:rsidR="00086868" w:rsidRPr="00506A82">
          <w:rPr>
            <w:rStyle w:val="Hyperlink"/>
          </w:rPr>
          <w:t>Sampling and Frequency</w:t>
        </w:r>
        <w:r w:rsidR="00086868">
          <w:rPr>
            <w:webHidden/>
          </w:rPr>
          <w:tab/>
        </w:r>
        <w:r>
          <w:rPr>
            <w:webHidden/>
          </w:rPr>
          <w:fldChar w:fldCharType="begin"/>
        </w:r>
        <w:r w:rsidR="00086868">
          <w:rPr>
            <w:webHidden/>
          </w:rPr>
          <w:instrText xml:space="preserve"> PAGEREF _Toc271794332 \h </w:instrText>
        </w:r>
        <w:r>
          <w:rPr>
            <w:webHidden/>
          </w:rPr>
        </w:r>
        <w:r>
          <w:rPr>
            <w:webHidden/>
          </w:rPr>
          <w:fldChar w:fldCharType="separate"/>
        </w:r>
        <w:r w:rsidR="005546A0">
          <w:rPr>
            <w:webHidden/>
          </w:rPr>
          <w:t>42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3" w:history="1">
        <w:r w:rsidR="00086868" w:rsidRPr="00506A82">
          <w:rPr>
            <w:rStyle w:val="Hyperlink"/>
          </w:rPr>
          <w:t>Status Network Core and Supplemental Indicators</w:t>
        </w:r>
        <w:r w:rsidR="00086868">
          <w:rPr>
            <w:webHidden/>
          </w:rPr>
          <w:tab/>
        </w:r>
        <w:r>
          <w:rPr>
            <w:webHidden/>
          </w:rPr>
          <w:fldChar w:fldCharType="begin"/>
        </w:r>
        <w:r w:rsidR="00086868">
          <w:rPr>
            <w:webHidden/>
          </w:rPr>
          <w:instrText xml:space="preserve"> PAGEREF _Toc271794333 \h </w:instrText>
        </w:r>
        <w:r>
          <w:rPr>
            <w:webHidden/>
          </w:rPr>
        </w:r>
        <w:r>
          <w:rPr>
            <w:webHidden/>
          </w:rPr>
          <w:fldChar w:fldCharType="separate"/>
        </w:r>
        <w:r w:rsidR="005546A0">
          <w:rPr>
            <w:webHidden/>
          </w:rPr>
          <w:t>42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4" w:history="1">
        <w:r w:rsidR="00086868" w:rsidRPr="00506A82">
          <w:rPr>
            <w:rStyle w:val="Hyperlink"/>
          </w:rPr>
          <w:t>Status Monitoring Network Design Changes</w:t>
        </w:r>
        <w:r w:rsidR="00086868">
          <w:rPr>
            <w:webHidden/>
          </w:rPr>
          <w:tab/>
        </w:r>
        <w:r>
          <w:rPr>
            <w:webHidden/>
          </w:rPr>
          <w:fldChar w:fldCharType="begin"/>
        </w:r>
        <w:r w:rsidR="00086868">
          <w:rPr>
            <w:webHidden/>
          </w:rPr>
          <w:instrText xml:space="preserve"> PAGEREF _Toc271794334 \h </w:instrText>
        </w:r>
        <w:r>
          <w:rPr>
            <w:webHidden/>
          </w:rPr>
        </w:r>
        <w:r>
          <w:rPr>
            <w:webHidden/>
          </w:rPr>
          <w:fldChar w:fldCharType="separate"/>
        </w:r>
        <w:r w:rsidR="005546A0">
          <w:rPr>
            <w:webHidden/>
          </w:rPr>
          <w:t>45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5" w:history="1">
        <w:r w:rsidR="00086868" w:rsidRPr="00506A82">
          <w:rPr>
            <w:rStyle w:val="Hyperlink"/>
          </w:rPr>
          <w:t>Future Design and Reporting</w:t>
        </w:r>
        <w:r w:rsidR="00086868">
          <w:rPr>
            <w:webHidden/>
          </w:rPr>
          <w:tab/>
        </w:r>
        <w:r>
          <w:rPr>
            <w:webHidden/>
          </w:rPr>
          <w:fldChar w:fldCharType="begin"/>
        </w:r>
        <w:r w:rsidR="00086868">
          <w:rPr>
            <w:webHidden/>
          </w:rPr>
          <w:instrText xml:space="preserve"> PAGEREF _Toc271794335 \h </w:instrText>
        </w:r>
        <w:r>
          <w:rPr>
            <w:webHidden/>
          </w:rPr>
        </w:r>
        <w:r>
          <w:rPr>
            <w:webHidden/>
          </w:rPr>
          <w:fldChar w:fldCharType="separate"/>
        </w:r>
        <w:r w:rsidR="005546A0">
          <w:rPr>
            <w:webHidden/>
          </w:rPr>
          <w:t>46</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36" w:history="1">
        <w:r w:rsidR="00086868" w:rsidRPr="00506A82">
          <w:rPr>
            <w:rStyle w:val="Hyperlink"/>
          </w:rPr>
          <w:t>Trend Network</w:t>
        </w:r>
        <w:r w:rsidR="00086868">
          <w:rPr>
            <w:webHidden/>
          </w:rPr>
          <w:tab/>
        </w:r>
        <w:r>
          <w:rPr>
            <w:webHidden/>
          </w:rPr>
          <w:fldChar w:fldCharType="begin"/>
        </w:r>
        <w:r w:rsidR="00086868">
          <w:rPr>
            <w:webHidden/>
          </w:rPr>
          <w:instrText xml:space="preserve"> PAGEREF _Toc271794336 \h </w:instrText>
        </w:r>
        <w:r>
          <w:rPr>
            <w:webHidden/>
          </w:rPr>
        </w:r>
        <w:r>
          <w:rPr>
            <w:webHidden/>
          </w:rPr>
          <w:fldChar w:fldCharType="separate"/>
        </w:r>
        <w:r w:rsidR="005546A0">
          <w:rPr>
            <w:webHidden/>
          </w:rPr>
          <w:t>48</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7" w:history="1">
        <w:r w:rsidR="00086868" w:rsidRPr="00506A82">
          <w:rPr>
            <w:rStyle w:val="Hyperlink"/>
          </w:rPr>
          <w:t>Surface Water Trend Network</w:t>
        </w:r>
        <w:r w:rsidR="00086868">
          <w:rPr>
            <w:webHidden/>
          </w:rPr>
          <w:tab/>
        </w:r>
        <w:r>
          <w:rPr>
            <w:webHidden/>
          </w:rPr>
          <w:fldChar w:fldCharType="begin"/>
        </w:r>
        <w:r w:rsidR="00086868">
          <w:rPr>
            <w:webHidden/>
          </w:rPr>
          <w:instrText xml:space="preserve"> PAGEREF _Toc271794337 \h </w:instrText>
        </w:r>
        <w:r>
          <w:rPr>
            <w:webHidden/>
          </w:rPr>
        </w:r>
        <w:r>
          <w:rPr>
            <w:webHidden/>
          </w:rPr>
          <w:fldChar w:fldCharType="separate"/>
        </w:r>
        <w:r w:rsidR="005546A0">
          <w:rPr>
            <w:webHidden/>
          </w:rPr>
          <w:t>50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8" w:history="1">
        <w:r w:rsidR="00086868" w:rsidRPr="00506A82">
          <w:rPr>
            <w:rStyle w:val="Hyperlink"/>
          </w:rPr>
          <w:t>Ground Water Trend Network</w:t>
        </w:r>
        <w:r w:rsidR="00086868">
          <w:rPr>
            <w:webHidden/>
          </w:rPr>
          <w:tab/>
        </w:r>
        <w:r>
          <w:rPr>
            <w:webHidden/>
          </w:rPr>
          <w:fldChar w:fldCharType="begin"/>
        </w:r>
        <w:r w:rsidR="00086868">
          <w:rPr>
            <w:webHidden/>
          </w:rPr>
          <w:instrText xml:space="preserve"> PAGEREF _Toc271794338 \h </w:instrText>
        </w:r>
        <w:r>
          <w:rPr>
            <w:webHidden/>
          </w:rPr>
        </w:r>
        <w:r>
          <w:rPr>
            <w:webHidden/>
          </w:rPr>
          <w:fldChar w:fldCharType="separate"/>
        </w:r>
        <w:r w:rsidR="005546A0">
          <w:rPr>
            <w:webHidden/>
          </w:rPr>
          <w:t>50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39" w:history="1">
        <w:r w:rsidR="00086868" w:rsidRPr="00506A82">
          <w:rPr>
            <w:rStyle w:val="Hyperlink"/>
          </w:rPr>
          <w:t>Trend Network Core and Supplemental Indicators</w:t>
        </w:r>
        <w:r w:rsidR="00086868">
          <w:rPr>
            <w:webHidden/>
          </w:rPr>
          <w:tab/>
        </w:r>
        <w:r>
          <w:rPr>
            <w:webHidden/>
          </w:rPr>
          <w:fldChar w:fldCharType="begin"/>
        </w:r>
        <w:r w:rsidR="00086868">
          <w:rPr>
            <w:webHidden/>
          </w:rPr>
          <w:instrText xml:space="preserve"> PAGEREF _Toc271794339 \h </w:instrText>
        </w:r>
        <w:r>
          <w:rPr>
            <w:webHidden/>
          </w:rPr>
        </w:r>
        <w:r>
          <w:rPr>
            <w:webHidden/>
          </w:rPr>
          <w:fldChar w:fldCharType="separate"/>
        </w:r>
        <w:r w:rsidR="005546A0">
          <w:rPr>
            <w:webHidden/>
          </w:rPr>
          <w:t>50</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40" w:history="1">
        <w:r w:rsidR="00086868" w:rsidRPr="00506A82">
          <w:rPr>
            <w:rStyle w:val="Hyperlink"/>
          </w:rPr>
          <w:t>Data Evaluation</w:t>
        </w:r>
        <w:r w:rsidR="00086868">
          <w:rPr>
            <w:webHidden/>
          </w:rPr>
          <w:tab/>
        </w:r>
        <w:r>
          <w:rPr>
            <w:webHidden/>
          </w:rPr>
          <w:fldChar w:fldCharType="begin"/>
        </w:r>
        <w:r w:rsidR="00086868">
          <w:rPr>
            <w:webHidden/>
          </w:rPr>
          <w:instrText xml:space="preserve"> PAGEREF _Toc271794340 \h </w:instrText>
        </w:r>
        <w:r>
          <w:rPr>
            <w:webHidden/>
          </w:rPr>
        </w:r>
        <w:r>
          <w:rPr>
            <w:webHidden/>
          </w:rPr>
          <w:fldChar w:fldCharType="separate"/>
        </w:r>
        <w:r w:rsidR="005546A0">
          <w:rPr>
            <w:webHidden/>
          </w:rPr>
          <w:t>53</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41" w:history="1">
        <w:r w:rsidR="00086868" w:rsidRPr="00506A82">
          <w:rPr>
            <w:rStyle w:val="Hyperlink"/>
          </w:rPr>
          <w:t>Chapter 6:  Results of the Status and trend NeTWORK Assessments for 2004–08</w:t>
        </w:r>
        <w:r w:rsidR="00086868">
          <w:rPr>
            <w:webHidden/>
          </w:rPr>
          <w:tab/>
        </w:r>
        <w:r>
          <w:rPr>
            <w:webHidden/>
          </w:rPr>
          <w:fldChar w:fldCharType="begin"/>
        </w:r>
        <w:r w:rsidR="00086868">
          <w:rPr>
            <w:webHidden/>
          </w:rPr>
          <w:instrText xml:space="preserve"> PAGEREF _Toc271794341 \h </w:instrText>
        </w:r>
        <w:r>
          <w:rPr>
            <w:webHidden/>
          </w:rPr>
        </w:r>
        <w:r>
          <w:rPr>
            <w:webHidden/>
          </w:rPr>
          <w:fldChar w:fldCharType="separate"/>
        </w:r>
        <w:r w:rsidR="005546A0">
          <w:rPr>
            <w:webHidden/>
          </w:rPr>
          <w:t>54</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42" w:history="1">
        <w:r w:rsidR="00086868" w:rsidRPr="00506A82">
          <w:rPr>
            <w:rStyle w:val="Hyperlink"/>
          </w:rPr>
          <w:t>Summary of Status Network Surface Water Results</w:t>
        </w:r>
        <w:r w:rsidR="00086868">
          <w:rPr>
            <w:webHidden/>
          </w:rPr>
          <w:tab/>
        </w:r>
        <w:r>
          <w:rPr>
            <w:webHidden/>
          </w:rPr>
          <w:fldChar w:fldCharType="begin"/>
        </w:r>
        <w:r w:rsidR="00086868">
          <w:rPr>
            <w:webHidden/>
          </w:rPr>
          <w:instrText xml:space="preserve"> PAGEREF _Toc271794342 \h </w:instrText>
        </w:r>
        <w:r>
          <w:rPr>
            <w:webHidden/>
          </w:rPr>
        </w:r>
        <w:r>
          <w:rPr>
            <w:webHidden/>
          </w:rPr>
          <w:fldChar w:fldCharType="separate"/>
        </w:r>
        <w:r w:rsidR="005546A0">
          <w:rPr>
            <w:webHidden/>
          </w:rPr>
          <w:t>54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43" w:history="1">
        <w:r w:rsidR="00086868" w:rsidRPr="00506A82">
          <w:rPr>
            <w:rStyle w:val="Hyperlink"/>
          </w:rPr>
          <w:t>Introduction</w:t>
        </w:r>
        <w:r w:rsidR="00086868">
          <w:rPr>
            <w:webHidden/>
          </w:rPr>
          <w:tab/>
        </w:r>
        <w:r>
          <w:rPr>
            <w:webHidden/>
          </w:rPr>
          <w:fldChar w:fldCharType="begin"/>
        </w:r>
        <w:r w:rsidR="00086868">
          <w:rPr>
            <w:webHidden/>
          </w:rPr>
          <w:instrText xml:space="preserve"> PAGEREF _Toc271794343 \h </w:instrText>
        </w:r>
        <w:r>
          <w:rPr>
            <w:webHidden/>
          </w:rPr>
        </w:r>
        <w:r>
          <w:rPr>
            <w:webHidden/>
          </w:rPr>
          <w:fldChar w:fldCharType="separate"/>
        </w:r>
        <w:r w:rsidR="005546A0">
          <w:rPr>
            <w:webHidden/>
          </w:rPr>
          <w:t>54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44" w:history="1">
        <w:r w:rsidR="00086868" w:rsidRPr="00506A82">
          <w:rPr>
            <w:rStyle w:val="Hyperlink"/>
          </w:rPr>
          <w:t>Rivers, Streams, Large Lakes, and Small Lakes</w:t>
        </w:r>
        <w:r w:rsidR="00086868">
          <w:rPr>
            <w:webHidden/>
          </w:rPr>
          <w:tab/>
        </w:r>
        <w:r>
          <w:rPr>
            <w:webHidden/>
          </w:rPr>
          <w:fldChar w:fldCharType="begin"/>
        </w:r>
        <w:r w:rsidR="00086868">
          <w:rPr>
            <w:webHidden/>
          </w:rPr>
          <w:instrText xml:space="preserve"> PAGEREF _Toc271794344 \h </w:instrText>
        </w:r>
        <w:r>
          <w:rPr>
            <w:webHidden/>
          </w:rPr>
        </w:r>
        <w:r>
          <w:rPr>
            <w:webHidden/>
          </w:rPr>
          <w:fldChar w:fldCharType="separate"/>
        </w:r>
        <w:r w:rsidR="005546A0">
          <w:rPr>
            <w:webHidden/>
          </w:rPr>
          <w:t>57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45" w:history="1">
        <w:r w:rsidR="00086868" w:rsidRPr="00506A82">
          <w:rPr>
            <w:rStyle w:val="Hyperlink"/>
          </w:rPr>
          <w:t>Sediment Quality Evaluation</w:t>
        </w:r>
        <w:r w:rsidR="00086868">
          <w:rPr>
            <w:webHidden/>
          </w:rPr>
          <w:tab/>
        </w:r>
        <w:r>
          <w:rPr>
            <w:webHidden/>
          </w:rPr>
          <w:fldChar w:fldCharType="begin"/>
        </w:r>
        <w:r w:rsidR="00086868">
          <w:rPr>
            <w:webHidden/>
          </w:rPr>
          <w:instrText xml:space="preserve"> PAGEREF _Toc271794345 \h </w:instrText>
        </w:r>
        <w:r>
          <w:rPr>
            <w:webHidden/>
          </w:rPr>
        </w:r>
        <w:r>
          <w:rPr>
            <w:webHidden/>
          </w:rPr>
          <w:fldChar w:fldCharType="separate"/>
        </w:r>
        <w:r w:rsidR="005546A0">
          <w:rPr>
            <w:webHidden/>
          </w:rPr>
          <w:t>70</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46" w:history="1">
        <w:r w:rsidR="00086868" w:rsidRPr="00506A82">
          <w:rPr>
            <w:rStyle w:val="Hyperlink"/>
          </w:rPr>
          <w:t>Summary of Status Network Ground Water Results</w:t>
        </w:r>
        <w:r w:rsidR="00086868">
          <w:rPr>
            <w:webHidden/>
          </w:rPr>
          <w:tab/>
        </w:r>
        <w:r>
          <w:rPr>
            <w:webHidden/>
          </w:rPr>
          <w:fldChar w:fldCharType="begin"/>
        </w:r>
        <w:r w:rsidR="00086868">
          <w:rPr>
            <w:webHidden/>
          </w:rPr>
          <w:instrText xml:space="preserve"> PAGEREF _Toc271794346 \h </w:instrText>
        </w:r>
        <w:r>
          <w:rPr>
            <w:webHidden/>
          </w:rPr>
        </w:r>
        <w:r>
          <w:rPr>
            <w:webHidden/>
          </w:rPr>
          <w:fldChar w:fldCharType="separate"/>
        </w:r>
        <w:r w:rsidR="005546A0">
          <w:rPr>
            <w:webHidden/>
          </w:rPr>
          <w:t>76</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47" w:history="1">
        <w:r w:rsidR="00086868" w:rsidRPr="00506A82">
          <w:rPr>
            <w:rStyle w:val="Hyperlink"/>
          </w:rPr>
          <w:t>Summary of Status Network Cycle 1 versus Cycle 2 Results</w:t>
        </w:r>
        <w:r w:rsidR="00086868">
          <w:rPr>
            <w:webHidden/>
          </w:rPr>
          <w:tab/>
        </w:r>
        <w:r>
          <w:rPr>
            <w:webHidden/>
          </w:rPr>
          <w:fldChar w:fldCharType="begin"/>
        </w:r>
        <w:r w:rsidR="00086868">
          <w:rPr>
            <w:webHidden/>
          </w:rPr>
          <w:instrText xml:space="preserve"> PAGEREF _Toc271794347 \h </w:instrText>
        </w:r>
        <w:r>
          <w:rPr>
            <w:webHidden/>
          </w:rPr>
        </w:r>
        <w:r>
          <w:rPr>
            <w:webHidden/>
          </w:rPr>
          <w:fldChar w:fldCharType="separate"/>
        </w:r>
        <w:r w:rsidR="005546A0">
          <w:rPr>
            <w:webHidden/>
          </w:rPr>
          <w:t>86</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48" w:history="1">
        <w:r w:rsidR="00086868" w:rsidRPr="00506A82">
          <w:rPr>
            <w:rStyle w:val="Hyperlink"/>
          </w:rPr>
          <w:t>Summary of Surface and Ground Water Trend Network Results</w:t>
        </w:r>
        <w:r w:rsidR="00086868">
          <w:rPr>
            <w:webHidden/>
          </w:rPr>
          <w:tab/>
        </w:r>
        <w:r>
          <w:rPr>
            <w:webHidden/>
          </w:rPr>
          <w:fldChar w:fldCharType="begin"/>
        </w:r>
        <w:r w:rsidR="00086868">
          <w:rPr>
            <w:webHidden/>
          </w:rPr>
          <w:instrText xml:space="preserve"> PAGEREF _Toc271794348 \h </w:instrText>
        </w:r>
        <w:r>
          <w:rPr>
            <w:webHidden/>
          </w:rPr>
        </w:r>
        <w:r>
          <w:rPr>
            <w:webHidden/>
          </w:rPr>
          <w:fldChar w:fldCharType="separate"/>
        </w:r>
        <w:r w:rsidR="005546A0">
          <w:rPr>
            <w:webHidden/>
          </w:rPr>
          <w:t>87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49" w:history="1">
        <w:r w:rsidR="00086868" w:rsidRPr="00506A82">
          <w:rPr>
            <w:rStyle w:val="Hyperlink"/>
          </w:rPr>
          <w:t>Surface Water Trends</w:t>
        </w:r>
        <w:r w:rsidR="00086868">
          <w:rPr>
            <w:webHidden/>
          </w:rPr>
          <w:tab/>
        </w:r>
        <w:r>
          <w:rPr>
            <w:webHidden/>
          </w:rPr>
          <w:fldChar w:fldCharType="begin"/>
        </w:r>
        <w:r w:rsidR="00086868">
          <w:rPr>
            <w:webHidden/>
          </w:rPr>
          <w:instrText xml:space="preserve"> PAGEREF _Toc271794349 \h </w:instrText>
        </w:r>
        <w:r>
          <w:rPr>
            <w:webHidden/>
          </w:rPr>
        </w:r>
        <w:r>
          <w:rPr>
            <w:webHidden/>
          </w:rPr>
          <w:fldChar w:fldCharType="separate"/>
        </w:r>
        <w:r w:rsidR="005546A0">
          <w:rPr>
            <w:webHidden/>
          </w:rPr>
          <w:t>87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50" w:history="1">
        <w:r w:rsidR="00086868" w:rsidRPr="00506A82">
          <w:rPr>
            <w:rStyle w:val="Hyperlink"/>
          </w:rPr>
          <w:t>Ground Water Trends</w:t>
        </w:r>
        <w:r w:rsidR="00086868">
          <w:rPr>
            <w:webHidden/>
          </w:rPr>
          <w:tab/>
        </w:r>
        <w:r>
          <w:rPr>
            <w:webHidden/>
          </w:rPr>
          <w:fldChar w:fldCharType="begin"/>
        </w:r>
        <w:r w:rsidR="00086868">
          <w:rPr>
            <w:webHidden/>
          </w:rPr>
          <w:instrText xml:space="preserve"> PAGEREF _Toc271794350 \h </w:instrText>
        </w:r>
        <w:r>
          <w:rPr>
            <w:webHidden/>
          </w:rPr>
        </w:r>
        <w:r>
          <w:rPr>
            <w:webHidden/>
          </w:rPr>
          <w:fldChar w:fldCharType="separate"/>
        </w:r>
        <w:r w:rsidR="005546A0">
          <w:rPr>
            <w:webHidden/>
          </w:rPr>
          <w:t>97</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51" w:history="1">
        <w:r w:rsidR="00086868" w:rsidRPr="00506A82">
          <w:rPr>
            <w:rStyle w:val="Hyperlink"/>
          </w:rPr>
          <w:t>Chapter 7.  Introduction to Strategic Monitoring and assessment</w:t>
        </w:r>
        <w:r w:rsidR="00086868">
          <w:rPr>
            <w:webHidden/>
          </w:rPr>
          <w:tab/>
        </w:r>
        <w:r>
          <w:rPr>
            <w:webHidden/>
          </w:rPr>
          <w:fldChar w:fldCharType="begin"/>
        </w:r>
        <w:r w:rsidR="00086868">
          <w:rPr>
            <w:webHidden/>
          </w:rPr>
          <w:instrText xml:space="preserve"> PAGEREF _Toc271794351 \h </w:instrText>
        </w:r>
        <w:r>
          <w:rPr>
            <w:webHidden/>
          </w:rPr>
        </w:r>
        <w:r>
          <w:rPr>
            <w:webHidden/>
          </w:rPr>
          <w:fldChar w:fldCharType="separate"/>
        </w:r>
        <w:r w:rsidR="005546A0">
          <w:rPr>
            <w:webHidden/>
          </w:rPr>
          <w:t>116</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52" w:history="1">
        <w:r w:rsidR="00086868" w:rsidRPr="00506A82">
          <w:rPr>
            <w:rStyle w:val="Hyperlink"/>
          </w:rPr>
          <w:t>Approach to the Comprehensive Assessment:  Sections 305(b) and 303(d)</w:t>
        </w:r>
        <w:r w:rsidR="00086868">
          <w:rPr>
            <w:webHidden/>
          </w:rPr>
          <w:tab/>
        </w:r>
        <w:r>
          <w:rPr>
            <w:webHidden/>
          </w:rPr>
          <w:fldChar w:fldCharType="begin"/>
        </w:r>
        <w:r w:rsidR="00086868">
          <w:rPr>
            <w:webHidden/>
          </w:rPr>
          <w:instrText xml:space="preserve"> PAGEREF _Toc271794352 \h </w:instrText>
        </w:r>
        <w:r>
          <w:rPr>
            <w:webHidden/>
          </w:rPr>
        </w:r>
        <w:r>
          <w:rPr>
            <w:webHidden/>
          </w:rPr>
          <w:fldChar w:fldCharType="separate"/>
        </w:r>
        <w:r w:rsidR="005546A0">
          <w:rPr>
            <w:webHidden/>
          </w:rPr>
          <w:t>116</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53" w:history="1">
        <w:r w:rsidR="00086868" w:rsidRPr="00506A82">
          <w:rPr>
            <w:rStyle w:val="Hyperlink"/>
          </w:rPr>
          <w:t>Determining Attainment of Designated Use(s)</w:t>
        </w:r>
        <w:r w:rsidR="00086868">
          <w:rPr>
            <w:webHidden/>
          </w:rPr>
          <w:tab/>
        </w:r>
        <w:r>
          <w:rPr>
            <w:webHidden/>
          </w:rPr>
          <w:fldChar w:fldCharType="begin"/>
        </w:r>
        <w:r w:rsidR="00086868">
          <w:rPr>
            <w:webHidden/>
          </w:rPr>
          <w:instrText xml:space="preserve"> PAGEREF _Toc271794353 \h </w:instrText>
        </w:r>
        <w:r>
          <w:rPr>
            <w:webHidden/>
          </w:rPr>
        </w:r>
        <w:r>
          <w:rPr>
            <w:webHidden/>
          </w:rPr>
          <w:fldChar w:fldCharType="separate"/>
        </w:r>
        <w:r w:rsidR="005546A0">
          <w:rPr>
            <w:webHidden/>
          </w:rPr>
          <w:t>119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54" w:history="1">
        <w:r w:rsidR="00086868" w:rsidRPr="00506A82">
          <w:rPr>
            <w:rStyle w:val="Hyperlink"/>
          </w:rPr>
          <w:t>How Data Are Identified and Evaluated</w:t>
        </w:r>
        <w:r w:rsidR="00086868">
          <w:rPr>
            <w:webHidden/>
          </w:rPr>
          <w:tab/>
        </w:r>
        <w:r>
          <w:rPr>
            <w:webHidden/>
          </w:rPr>
          <w:fldChar w:fldCharType="begin"/>
        </w:r>
        <w:r w:rsidR="00086868">
          <w:rPr>
            <w:webHidden/>
          </w:rPr>
          <w:instrText xml:space="preserve"> PAGEREF _Toc271794354 \h </w:instrText>
        </w:r>
        <w:r>
          <w:rPr>
            <w:webHidden/>
          </w:rPr>
        </w:r>
        <w:r>
          <w:rPr>
            <w:webHidden/>
          </w:rPr>
          <w:fldChar w:fldCharType="separate"/>
        </w:r>
        <w:r w:rsidR="005546A0">
          <w:rPr>
            <w:webHidden/>
          </w:rPr>
          <w:t>120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55" w:history="1">
        <w:r w:rsidR="00086868" w:rsidRPr="00506A82">
          <w:rPr>
            <w:rStyle w:val="Hyperlink"/>
          </w:rPr>
          <w:t>The Impaired Surface Waters Rule</w:t>
        </w:r>
        <w:r w:rsidR="00086868">
          <w:rPr>
            <w:webHidden/>
          </w:rPr>
          <w:tab/>
        </w:r>
        <w:r>
          <w:rPr>
            <w:webHidden/>
          </w:rPr>
          <w:fldChar w:fldCharType="begin"/>
        </w:r>
        <w:r w:rsidR="00086868">
          <w:rPr>
            <w:webHidden/>
          </w:rPr>
          <w:instrText xml:space="preserve"> PAGEREF _Toc271794355 \h </w:instrText>
        </w:r>
        <w:r>
          <w:rPr>
            <w:webHidden/>
          </w:rPr>
        </w:r>
        <w:r>
          <w:rPr>
            <w:webHidden/>
          </w:rPr>
          <w:fldChar w:fldCharType="separate"/>
        </w:r>
        <w:r w:rsidR="005546A0">
          <w:rPr>
            <w:webHidden/>
          </w:rPr>
          <w:t>120</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56" w:history="1">
        <w:r w:rsidR="00086868" w:rsidRPr="00506A82">
          <w:rPr>
            <w:rStyle w:val="Hyperlink"/>
            <w:i/>
          </w:rPr>
          <w:t>Sources of Data</w:t>
        </w:r>
        <w:r w:rsidR="00086868">
          <w:rPr>
            <w:webHidden/>
          </w:rPr>
          <w:tab/>
        </w:r>
        <w:r>
          <w:rPr>
            <w:webHidden/>
          </w:rPr>
          <w:fldChar w:fldCharType="begin"/>
        </w:r>
        <w:r w:rsidR="00086868">
          <w:rPr>
            <w:webHidden/>
          </w:rPr>
          <w:instrText xml:space="preserve"> PAGEREF _Toc271794356 \h </w:instrText>
        </w:r>
        <w:r>
          <w:rPr>
            <w:webHidden/>
          </w:rPr>
        </w:r>
        <w:r>
          <w:rPr>
            <w:webHidden/>
          </w:rPr>
          <w:fldChar w:fldCharType="separate"/>
        </w:r>
        <w:r w:rsidR="005546A0">
          <w:rPr>
            <w:webHidden/>
          </w:rPr>
          <w:t>121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57" w:history="1">
        <w:r w:rsidR="00086868" w:rsidRPr="00506A82">
          <w:rPr>
            <w:rStyle w:val="Hyperlink"/>
          </w:rPr>
          <w:t>Quality Assurance/Quality Control Criteria</w:t>
        </w:r>
        <w:r w:rsidR="00086868">
          <w:rPr>
            <w:webHidden/>
          </w:rPr>
          <w:tab/>
        </w:r>
        <w:r>
          <w:rPr>
            <w:webHidden/>
          </w:rPr>
          <w:fldChar w:fldCharType="begin"/>
        </w:r>
        <w:r w:rsidR="00086868">
          <w:rPr>
            <w:webHidden/>
          </w:rPr>
          <w:instrText xml:space="preserve"> PAGEREF _Toc271794357 \h </w:instrText>
        </w:r>
        <w:r>
          <w:rPr>
            <w:webHidden/>
          </w:rPr>
        </w:r>
        <w:r>
          <w:rPr>
            <w:webHidden/>
          </w:rPr>
          <w:fldChar w:fldCharType="separate"/>
        </w:r>
        <w:r w:rsidR="005546A0">
          <w:rPr>
            <w:webHidden/>
          </w:rPr>
          <w:t>123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58" w:history="1">
        <w:r w:rsidR="00086868" w:rsidRPr="00506A82">
          <w:rPr>
            <w:rStyle w:val="Hyperlink"/>
          </w:rPr>
          <w:t>Criteria for Evaluating Outside Data</w:t>
        </w:r>
        <w:r w:rsidR="00086868">
          <w:rPr>
            <w:webHidden/>
          </w:rPr>
          <w:tab/>
        </w:r>
        <w:r>
          <w:rPr>
            <w:webHidden/>
          </w:rPr>
          <w:fldChar w:fldCharType="begin"/>
        </w:r>
        <w:r w:rsidR="00086868">
          <w:rPr>
            <w:webHidden/>
          </w:rPr>
          <w:instrText xml:space="preserve"> PAGEREF _Toc271794358 \h </w:instrText>
        </w:r>
        <w:r>
          <w:rPr>
            <w:webHidden/>
          </w:rPr>
        </w:r>
        <w:r>
          <w:rPr>
            <w:webHidden/>
          </w:rPr>
          <w:fldChar w:fldCharType="separate"/>
        </w:r>
        <w:r w:rsidR="005546A0">
          <w:rPr>
            <w:webHidden/>
          </w:rPr>
          <w:t>123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59" w:history="1">
        <w:r w:rsidR="00086868" w:rsidRPr="00506A82">
          <w:rPr>
            <w:rStyle w:val="Hyperlink"/>
          </w:rPr>
          <w:t>Rationales for Not Using Existing Data</w:t>
        </w:r>
        <w:r w:rsidR="00086868">
          <w:rPr>
            <w:webHidden/>
          </w:rPr>
          <w:tab/>
        </w:r>
        <w:r>
          <w:rPr>
            <w:webHidden/>
          </w:rPr>
          <w:fldChar w:fldCharType="begin"/>
        </w:r>
        <w:r w:rsidR="00086868">
          <w:rPr>
            <w:webHidden/>
          </w:rPr>
          <w:instrText xml:space="preserve"> PAGEREF _Toc271794359 \h </w:instrText>
        </w:r>
        <w:r>
          <w:rPr>
            <w:webHidden/>
          </w:rPr>
        </w:r>
        <w:r>
          <w:rPr>
            <w:webHidden/>
          </w:rPr>
          <w:fldChar w:fldCharType="separate"/>
        </w:r>
        <w:r w:rsidR="005546A0">
          <w:rPr>
            <w:webHidden/>
          </w:rPr>
          <w:t>123</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0" w:history="1">
        <w:r w:rsidR="00086868" w:rsidRPr="00506A82">
          <w:rPr>
            <w:rStyle w:val="Hyperlink"/>
          </w:rPr>
          <w:t>How Data Are Used To Make Attainment Determinations</w:t>
        </w:r>
        <w:r w:rsidR="00086868">
          <w:rPr>
            <w:webHidden/>
          </w:rPr>
          <w:tab/>
        </w:r>
        <w:r>
          <w:rPr>
            <w:webHidden/>
          </w:rPr>
          <w:fldChar w:fldCharType="begin"/>
        </w:r>
        <w:r w:rsidR="00086868">
          <w:rPr>
            <w:webHidden/>
          </w:rPr>
          <w:instrText xml:space="preserve"> PAGEREF _Toc271794360 \h </w:instrText>
        </w:r>
        <w:r>
          <w:rPr>
            <w:webHidden/>
          </w:rPr>
        </w:r>
        <w:r>
          <w:rPr>
            <w:webHidden/>
          </w:rPr>
          <w:fldChar w:fldCharType="separate"/>
        </w:r>
        <w:r w:rsidR="005546A0">
          <w:rPr>
            <w:webHidden/>
          </w:rPr>
          <w:t>124</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1" w:history="1">
        <w:r w:rsidR="00086868" w:rsidRPr="00506A82">
          <w:rPr>
            <w:rStyle w:val="Hyperlink"/>
          </w:rPr>
          <w:t>Public Participation Process</w:t>
        </w:r>
        <w:r w:rsidR="00086868">
          <w:rPr>
            <w:webHidden/>
          </w:rPr>
          <w:tab/>
        </w:r>
        <w:r>
          <w:rPr>
            <w:webHidden/>
          </w:rPr>
          <w:fldChar w:fldCharType="begin"/>
        </w:r>
        <w:r w:rsidR="00086868">
          <w:rPr>
            <w:webHidden/>
          </w:rPr>
          <w:instrText xml:space="preserve"> PAGEREF _Toc271794361 \h </w:instrText>
        </w:r>
        <w:r>
          <w:rPr>
            <w:webHidden/>
          </w:rPr>
        </w:r>
        <w:r>
          <w:rPr>
            <w:webHidden/>
          </w:rPr>
          <w:fldChar w:fldCharType="separate"/>
        </w:r>
        <w:r w:rsidR="005546A0">
          <w:rPr>
            <w:webHidden/>
          </w:rPr>
          <w:t>124</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62" w:history="1">
        <w:r w:rsidR="00086868" w:rsidRPr="00506A82">
          <w:rPr>
            <w:rStyle w:val="Hyperlink"/>
          </w:rPr>
          <w:t>Chapter 8:  Results of the Assessments Of Use Support</w:t>
        </w:r>
        <w:r w:rsidR="00086868">
          <w:rPr>
            <w:webHidden/>
          </w:rPr>
          <w:tab/>
        </w:r>
        <w:r>
          <w:rPr>
            <w:webHidden/>
          </w:rPr>
          <w:fldChar w:fldCharType="begin"/>
        </w:r>
        <w:r w:rsidR="00086868">
          <w:rPr>
            <w:webHidden/>
          </w:rPr>
          <w:instrText xml:space="preserve"> PAGEREF _Toc271794362 \h </w:instrText>
        </w:r>
        <w:r>
          <w:rPr>
            <w:webHidden/>
          </w:rPr>
        </w:r>
        <w:r>
          <w:rPr>
            <w:webHidden/>
          </w:rPr>
          <w:fldChar w:fldCharType="separate"/>
        </w:r>
        <w:r w:rsidR="005546A0">
          <w:rPr>
            <w:webHidden/>
          </w:rPr>
          <w:t>125</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3" w:history="1">
        <w:r w:rsidR="00086868" w:rsidRPr="00506A82">
          <w:rPr>
            <w:rStyle w:val="Hyperlink"/>
            <w:snapToGrid w:val="0"/>
          </w:rPr>
          <w:t>Surface Waters Assessed</w:t>
        </w:r>
        <w:r w:rsidR="00086868">
          <w:rPr>
            <w:webHidden/>
          </w:rPr>
          <w:tab/>
        </w:r>
        <w:r>
          <w:rPr>
            <w:webHidden/>
          </w:rPr>
          <w:fldChar w:fldCharType="begin"/>
        </w:r>
        <w:r w:rsidR="00086868">
          <w:rPr>
            <w:webHidden/>
          </w:rPr>
          <w:instrText xml:space="preserve"> PAGEREF _Toc271794363 \h </w:instrText>
        </w:r>
        <w:r>
          <w:rPr>
            <w:webHidden/>
          </w:rPr>
        </w:r>
        <w:r>
          <w:rPr>
            <w:webHidden/>
          </w:rPr>
          <w:fldChar w:fldCharType="separate"/>
        </w:r>
        <w:r w:rsidR="005546A0">
          <w:rPr>
            <w:webHidden/>
          </w:rPr>
          <w:t>125</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4" w:history="1">
        <w:r w:rsidR="00086868" w:rsidRPr="00506A82">
          <w:rPr>
            <w:rStyle w:val="Hyperlink"/>
          </w:rPr>
          <w:t>Summary of Causes of Impairment</w:t>
        </w:r>
        <w:r w:rsidR="00086868">
          <w:rPr>
            <w:webHidden/>
          </w:rPr>
          <w:tab/>
        </w:r>
        <w:r>
          <w:rPr>
            <w:webHidden/>
          </w:rPr>
          <w:fldChar w:fldCharType="begin"/>
        </w:r>
        <w:r w:rsidR="00086868">
          <w:rPr>
            <w:webHidden/>
          </w:rPr>
          <w:instrText xml:space="preserve"> PAGEREF _Toc271794364 \h </w:instrText>
        </w:r>
        <w:r>
          <w:rPr>
            <w:webHidden/>
          </w:rPr>
        </w:r>
        <w:r>
          <w:rPr>
            <w:webHidden/>
          </w:rPr>
          <w:fldChar w:fldCharType="separate"/>
        </w:r>
        <w:r w:rsidR="005546A0">
          <w:rPr>
            <w:webHidden/>
          </w:rPr>
          <w:t>127</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5" w:history="1">
        <w:r w:rsidR="00086868" w:rsidRPr="00506A82">
          <w:rPr>
            <w:rStyle w:val="Hyperlink"/>
          </w:rPr>
          <w:t>303(d) List of Verified Impaired Waters</w:t>
        </w:r>
        <w:r w:rsidR="00086868">
          <w:rPr>
            <w:webHidden/>
          </w:rPr>
          <w:tab/>
        </w:r>
        <w:r>
          <w:rPr>
            <w:webHidden/>
          </w:rPr>
          <w:fldChar w:fldCharType="begin"/>
        </w:r>
        <w:r w:rsidR="00086868">
          <w:rPr>
            <w:webHidden/>
          </w:rPr>
          <w:instrText xml:space="preserve"> PAGEREF _Toc271794365 \h </w:instrText>
        </w:r>
        <w:r>
          <w:rPr>
            <w:webHidden/>
          </w:rPr>
        </w:r>
        <w:r>
          <w:rPr>
            <w:webHidden/>
          </w:rPr>
          <w:fldChar w:fldCharType="separate"/>
        </w:r>
        <w:r w:rsidR="005546A0">
          <w:rPr>
            <w:webHidden/>
          </w:rPr>
          <w:t>129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6" w:history="1">
        <w:r w:rsidR="00086868" w:rsidRPr="00506A82">
          <w:rPr>
            <w:rStyle w:val="Hyperlink"/>
          </w:rPr>
          <w:t>Delisting</w:t>
        </w:r>
        <w:r w:rsidR="00086868">
          <w:rPr>
            <w:webHidden/>
          </w:rPr>
          <w:tab/>
        </w:r>
        <w:r>
          <w:rPr>
            <w:webHidden/>
          </w:rPr>
          <w:fldChar w:fldCharType="begin"/>
        </w:r>
        <w:r w:rsidR="00086868">
          <w:rPr>
            <w:webHidden/>
          </w:rPr>
          <w:instrText xml:space="preserve"> PAGEREF _Toc271794366 \h </w:instrText>
        </w:r>
        <w:r>
          <w:rPr>
            <w:webHidden/>
          </w:rPr>
        </w:r>
        <w:r>
          <w:rPr>
            <w:webHidden/>
          </w:rPr>
          <w:fldChar w:fldCharType="separate"/>
        </w:r>
        <w:r w:rsidR="005546A0">
          <w:rPr>
            <w:webHidden/>
          </w:rPr>
          <w:t>129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7" w:history="1">
        <w:r w:rsidR="00086868" w:rsidRPr="00506A82">
          <w:rPr>
            <w:rStyle w:val="Hyperlink"/>
          </w:rPr>
          <w:t>Biology</w:t>
        </w:r>
        <w:r w:rsidR="00086868">
          <w:rPr>
            <w:webHidden/>
          </w:rPr>
          <w:tab/>
        </w:r>
        <w:r>
          <w:rPr>
            <w:webHidden/>
          </w:rPr>
          <w:fldChar w:fldCharType="begin"/>
        </w:r>
        <w:r w:rsidR="00086868">
          <w:rPr>
            <w:webHidden/>
          </w:rPr>
          <w:instrText xml:space="preserve"> PAGEREF _Toc271794367 \h </w:instrText>
        </w:r>
        <w:r>
          <w:rPr>
            <w:webHidden/>
          </w:rPr>
        </w:r>
        <w:r>
          <w:rPr>
            <w:webHidden/>
          </w:rPr>
          <w:fldChar w:fldCharType="separate"/>
        </w:r>
        <w:r w:rsidR="005546A0">
          <w:rPr>
            <w:webHidden/>
          </w:rPr>
          <w:t>133</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68" w:history="1">
        <w:r w:rsidR="00086868" w:rsidRPr="00506A82">
          <w:rPr>
            <w:rStyle w:val="Hyperlink"/>
          </w:rPr>
          <w:t>Special Focus:  Lakes</w:t>
        </w:r>
        <w:r w:rsidR="00086868">
          <w:rPr>
            <w:webHidden/>
          </w:rPr>
          <w:tab/>
        </w:r>
        <w:r>
          <w:rPr>
            <w:webHidden/>
          </w:rPr>
          <w:fldChar w:fldCharType="begin"/>
        </w:r>
        <w:r w:rsidR="00086868">
          <w:rPr>
            <w:webHidden/>
          </w:rPr>
          <w:instrText xml:space="preserve"> PAGEREF _Toc271794368 \h </w:instrText>
        </w:r>
        <w:r>
          <w:rPr>
            <w:webHidden/>
          </w:rPr>
        </w:r>
        <w:r>
          <w:rPr>
            <w:webHidden/>
          </w:rPr>
          <w:fldChar w:fldCharType="separate"/>
        </w:r>
        <w:r w:rsidR="005546A0">
          <w:rPr>
            <w:webHidden/>
          </w:rPr>
          <w:t>133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69" w:history="1">
        <w:r w:rsidR="00086868" w:rsidRPr="00506A82">
          <w:rPr>
            <w:rStyle w:val="Hyperlink"/>
            <w:snapToGrid w:val="0"/>
          </w:rPr>
          <w:t>Lake Trends</w:t>
        </w:r>
        <w:r w:rsidR="00086868">
          <w:rPr>
            <w:webHidden/>
          </w:rPr>
          <w:tab/>
        </w:r>
        <w:r>
          <w:rPr>
            <w:webHidden/>
          </w:rPr>
          <w:fldChar w:fldCharType="begin"/>
        </w:r>
        <w:r w:rsidR="00086868">
          <w:rPr>
            <w:webHidden/>
          </w:rPr>
          <w:instrText xml:space="preserve"> PAGEREF _Toc271794369 \h </w:instrText>
        </w:r>
        <w:r>
          <w:rPr>
            <w:webHidden/>
          </w:rPr>
        </w:r>
        <w:r>
          <w:rPr>
            <w:webHidden/>
          </w:rPr>
          <w:fldChar w:fldCharType="separate"/>
        </w:r>
        <w:r w:rsidR="005546A0">
          <w:rPr>
            <w:webHidden/>
          </w:rPr>
          <w:t>133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0" w:history="1">
        <w:r w:rsidR="00086868" w:rsidRPr="00506A82">
          <w:rPr>
            <w:rStyle w:val="Hyperlink"/>
          </w:rPr>
          <w:t>Approaches to Controlling Lake Pollution and Lake Water Quality</w:t>
        </w:r>
        <w:r w:rsidR="00086868">
          <w:rPr>
            <w:webHidden/>
          </w:rPr>
          <w:tab/>
        </w:r>
        <w:r>
          <w:rPr>
            <w:webHidden/>
          </w:rPr>
          <w:fldChar w:fldCharType="begin"/>
        </w:r>
        <w:r w:rsidR="00086868">
          <w:rPr>
            <w:webHidden/>
          </w:rPr>
          <w:instrText xml:space="preserve"> PAGEREF _Toc271794370 \h </w:instrText>
        </w:r>
        <w:r>
          <w:rPr>
            <w:webHidden/>
          </w:rPr>
        </w:r>
        <w:r>
          <w:rPr>
            <w:webHidden/>
          </w:rPr>
          <w:fldChar w:fldCharType="separate"/>
        </w:r>
        <w:r w:rsidR="005546A0">
          <w:rPr>
            <w:webHidden/>
          </w:rPr>
          <w:t>133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1" w:history="1">
        <w:r w:rsidR="00086868" w:rsidRPr="00506A82">
          <w:rPr>
            <w:rStyle w:val="Hyperlink"/>
          </w:rPr>
          <w:t>Publicly Owned Lakes with Impaired Uses</w:t>
        </w:r>
        <w:r w:rsidR="00086868">
          <w:rPr>
            <w:webHidden/>
          </w:rPr>
          <w:tab/>
        </w:r>
        <w:r>
          <w:rPr>
            <w:webHidden/>
          </w:rPr>
          <w:fldChar w:fldCharType="begin"/>
        </w:r>
        <w:r w:rsidR="00086868">
          <w:rPr>
            <w:webHidden/>
          </w:rPr>
          <w:instrText xml:space="preserve"> PAGEREF _Toc271794371 \h </w:instrText>
        </w:r>
        <w:r>
          <w:rPr>
            <w:webHidden/>
          </w:rPr>
        </w:r>
        <w:r>
          <w:rPr>
            <w:webHidden/>
          </w:rPr>
          <w:fldChar w:fldCharType="separate"/>
        </w:r>
        <w:r w:rsidR="005546A0">
          <w:rPr>
            <w:webHidden/>
          </w:rPr>
          <w:t>134</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72" w:history="1">
        <w:r w:rsidR="00086868" w:rsidRPr="00506A82">
          <w:rPr>
            <w:rStyle w:val="Hyperlink"/>
          </w:rPr>
          <w:t>Drinking Water</w:t>
        </w:r>
        <w:r w:rsidR="00086868">
          <w:rPr>
            <w:webHidden/>
          </w:rPr>
          <w:tab/>
        </w:r>
        <w:r>
          <w:rPr>
            <w:webHidden/>
          </w:rPr>
          <w:fldChar w:fldCharType="begin"/>
        </w:r>
        <w:r w:rsidR="00086868">
          <w:rPr>
            <w:webHidden/>
          </w:rPr>
          <w:instrText xml:space="preserve"> PAGEREF _Toc271794372 \h </w:instrText>
        </w:r>
        <w:r>
          <w:rPr>
            <w:webHidden/>
          </w:rPr>
        </w:r>
        <w:r>
          <w:rPr>
            <w:webHidden/>
          </w:rPr>
          <w:fldChar w:fldCharType="separate"/>
        </w:r>
        <w:r w:rsidR="005546A0">
          <w:rPr>
            <w:webHidden/>
          </w:rPr>
          <w:t>134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3" w:history="1">
        <w:r w:rsidR="00086868" w:rsidRPr="00506A82">
          <w:rPr>
            <w:rStyle w:val="Hyperlink"/>
          </w:rPr>
          <w:t>Overlap of Source Water Areas and Impaired Surface Waters</w:t>
        </w:r>
        <w:r w:rsidR="00086868">
          <w:rPr>
            <w:webHidden/>
          </w:rPr>
          <w:tab/>
        </w:r>
        <w:r>
          <w:rPr>
            <w:webHidden/>
          </w:rPr>
          <w:fldChar w:fldCharType="begin"/>
        </w:r>
        <w:r w:rsidR="00086868">
          <w:rPr>
            <w:webHidden/>
          </w:rPr>
          <w:instrText xml:space="preserve"> PAGEREF _Toc271794373 \h </w:instrText>
        </w:r>
        <w:r>
          <w:rPr>
            <w:webHidden/>
          </w:rPr>
        </w:r>
        <w:r>
          <w:rPr>
            <w:webHidden/>
          </w:rPr>
          <w:fldChar w:fldCharType="separate"/>
        </w:r>
        <w:r w:rsidR="005546A0">
          <w:rPr>
            <w:webHidden/>
          </w:rPr>
          <w:t>135</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74" w:history="1">
        <w:r w:rsidR="00086868" w:rsidRPr="00506A82">
          <w:rPr>
            <w:rStyle w:val="Hyperlink"/>
          </w:rPr>
          <w:t>Sediment Contamination</w:t>
        </w:r>
        <w:r w:rsidR="00086868">
          <w:rPr>
            <w:webHidden/>
          </w:rPr>
          <w:tab/>
        </w:r>
        <w:r>
          <w:rPr>
            <w:webHidden/>
          </w:rPr>
          <w:fldChar w:fldCharType="begin"/>
        </w:r>
        <w:r w:rsidR="00086868">
          <w:rPr>
            <w:webHidden/>
          </w:rPr>
          <w:instrText xml:space="preserve"> PAGEREF _Toc271794374 \h </w:instrText>
        </w:r>
        <w:r>
          <w:rPr>
            <w:webHidden/>
          </w:rPr>
        </w:r>
        <w:r>
          <w:rPr>
            <w:webHidden/>
          </w:rPr>
          <w:fldChar w:fldCharType="separate"/>
        </w:r>
        <w:r w:rsidR="005546A0">
          <w:rPr>
            <w:webHidden/>
          </w:rPr>
          <w:t>136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5" w:history="1">
        <w:r w:rsidR="00086868" w:rsidRPr="00506A82">
          <w:rPr>
            <w:rStyle w:val="Hyperlink"/>
          </w:rPr>
          <w:t>Freshwater Sediments</w:t>
        </w:r>
        <w:r w:rsidR="00086868">
          <w:rPr>
            <w:webHidden/>
          </w:rPr>
          <w:tab/>
        </w:r>
        <w:r>
          <w:rPr>
            <w:webHidden/>
          </w:rPr>
          <w:fldChar w:fldCharType="begin"/>
        </w:r>
        <w:r w:rsidR="00086868">
          <w:rPr>
            <w:webHidden/>
          </w:rPr>
          <w:instrText xml:space="preserve"> PAGEREF _Toc271794375 \h </w:instrText>
        </w:r>
        <w:r>
          <w:rPr>
            <w:webHidden/>
          </w:rPr>
        </w:r>
        <w:r>
          <w:rPr>
            <w:webHidden/>
          </w:rPr>
          <w:fldChar w:fldCharType="separate"/>
        </w:r>
        <w:r w:rsidR="005546A0">
          <w:rPr>
            <w:webHidden/>
          </w:rPr>
          <w:t>136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6" w:history="1">
        <w:r w:rsidR="00086868" w:rsidRPr="00506A82">
          <w:rPr>
            <w:rStyle w:val="Hyperlink"/>
          </w:rPr>
          <w:t>Estuarine and Marine Sediments</w:t>
        </w:r>
        <w:r w:rsidR="00086868">
          <w:rPr>
            <w:webHidden/>
          </w:rPr>
          <w:tab/>
        </w:r>
        <w:r>
          <w:rPr>
            <w:webHidden/>
          </w:rPr>
          <w:fldChar w:fldCharType="begin"/>
        </w:r>
        <w:r w:rsidR="00086868">
          <w:rPr>
            <w:webHidden/>
          </w:rPr>
          <w:instrText xml:space="preserve"> PAGEREF _Toc271794376 \h </w:instrText>
        </w:r>
        <w:r>
          <w:rPr>
            <w:webHidden/>
          </w:rPr>
        </w:r>
        <w:r>
          <w:rPr>
            <w:webHidden/>
          </w:rPr>
          <w:fldChar w:fldCharType="separate"/>
        </w:r>
        <w:r w:rsidR="005546A0">
          <w:rPr>
            <w:webHidden/>
          </w:rPr>
          <w:t>136</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77" w:history="1">
        <w:r w:rsidR="00086868" w:rsidRPr="00506A82">
          <w:rPr>
            <w:rStyle w:val="Hyperlink"/>
          </w:rPr>
          <w:t>Chapter 9:  Introduction to Ground Water Monitoring</w:t>
        </w:r>
        <w:r w:rsidR="00086868">
          <w:rPr>
            <w:webHidden/>
          </w:rPr>
          <w:tab/>
        </w:r>
        <w:r>
          <w:rPr>
            <w:webHidden/>
          </w:rPr>
          <w:fldChar w:fldCharType="begin"/>
        </w:r>
        <w:r w:rsidR="00086868">
          <w:rPr>
            <w:webHidden/>
          </w:rPr>
          <w:instrText xml:space="preserve"> PAGEREF _Toc271794377 \h </w:instrText>
        </w:r>
        <w:r>
          <w:rPr>
            <w:webHidden/>
          </w:rPr>
        </w:r>
        <w:r>
          <w:rPr>
            <w:webHidden/>
          </w:rPr>
          <w:fldChar w:fldCharType="separate"/>
        </w:r>
        <w:r w:rsidR="005546A0">
          <w:rPr>
            <w:webHidden/>
          </w:rPr>
          <w:t>139</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78" w:history="1">
        <w:r w:rsidR="00086868" w:rsidRPr="00506A82">
          <w:rPr>
            <w:rStyle w:val="Hyperlink"/>
          </w:rPr>
          <w:t>Summary of Ground Water Monitoring Programs</w:t>
        </w:r>
        <w:r w:rsidR="00086868">
          <w:rPr>
            <w:webHidden/>
          </w:rPr>
          <w:tab/>
        </w:r>
        <w:r>
          <w:rPr>
            <w:webHidden/>
          </w:rPr>
          <w:fldChar w:fldCharType="begin"/>
        </w:r>
        <w:r w:rsidR="00086868">
          <w:rPr>
            <w:webHidden/>
          </w:rPr>
          <w:instrText xml:space="preserve"> PAGEREF _Toc271794378 \h </w:instrText>
        </w:r>
        <w:r>
          <w:rPr>
            <w:webHidden/>
          </w:rPr>
        </w:r>
        <w:r>
          <w:rPr>
            <w:webHidden/>
          </w:rPr>
          <w:fldChar w:fldCharType="separate"/>
        </w:r>
        <w:r w:rsidR="005546A0">
          <w:rPr>
            <w:webHidden/>
          </w:rPr>
          <w:t>139</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79" w:history="1">
        <w:r w:rsidR="00086868" w:rsidRPr="00506A82">
          <w:rPr>
            <w:rStyle w:val="Hyperlink"/>
          </w:rPr>
          <w:t>FDEP-maintained Ground Water and Springs Monitoring Programs</w:t>
        </w:r>
        <w:r w:rsidR="00086868">
          <w:rPr>
            <w:webHidden/>
          </w:rPr>
          <w:tab/>
        </w:r>
        <w:r>
          <w:rPr>
            <w:webHidden/>
          </w:rPr>
          <w:fldChar w:fldCharType="begin"/>
        </w:r>
        <w:r w:rsidR="00086868">
          <w:rPr>
            <w:webHidden/>
          </w:rPr>
          <w:instrText xml:space="preserve"> PAGEREF _Toc271794379 \h </w:instrText>
        </w:r>
        <w:r>
          <w:rPr>
            <w:webHidden/>
          </w:rPr>
        </w:r>
        <w:r>
          <w:rPr>
            <w:webHidden/>
          </w:rPr>
          <w:fldChar w:fldCharType="separate"/>
        </w:r>
        <w:r w:rsidR="005546A0">
          <w:rPr>
            <w:webHidden/>
          </w:rPr>
          <w:t>140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0" w:history="1">
        <w:r w:rsidR="00086868" w:rsidRPr="00506A82">
          <w:rPr>
            <w:rStyle w:val="Hyperlink"/>
          </w:rPr>
          <w:t>Potable Water Monitoring by FDOH/FDEP Water Supply Restoration Program</w:t>
        </w:r>
        <w:r w:rsidR="00086868">
          <w:rPr>
            <w:webHidden/>
          </w:rPr>
          <w:tab/>
        </w:r>
        <w:r>
          <w:rPr>
            <w:webHidden/>
          </w:rPr>
          <w:fldChar w:fldCharType="begin"/>
        </w:r>
        <w:r w:rsidR="00086868">
          <w:rPr>
            <w:webHidden/>
          </w:rPr>
          <w:instrText xml:space="preserve"> PAGEREF _Toc271794380 \h </w:instrText>
        </w:r>
        <w:r>
          <w:rPr>
            <w:webHidden/>
          </w:rPr>
        </w:r>
        <w:r>
          <w:rPr>
            <w:webHidden/>
          </w:rPr>
          <w:fldChar w:fldCharType="separate"/>
        </w:r>
        <w:r w:rsidR="005546A0">
          <w:rPr>
            <w:webHidden/>
          </w:rPr>
          <w:t>140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1" w:history="1">
        <w:r w:rsidR="00086868" w:rsidRPr="00506A82">
          <w:rPr>
            <w:rStyle w:val="Hyperlink"/>
          </w:rPr>
          <w:t>Public Water System Monitoring</w:t>
        </w:r>
        <w:r w:rsidR="00086868">
          <w:rPr>
            <w:webHidden/>
          </w:rPr>
          <w:tab/>
        </w:r>
        <w:r>
          <w:rPr>
            <w:webHidden/>
          </w:rPr>
          <w:fldChar w:fldCharType="begin"/>
        </w:r>
        <w:r w:rsidR="00086868">
          <w:rPr>
            <w:webHidden/>
          </w:rPr>
          <w:instrText xml:space="preserve"> PAGEREF _Toc271794381 \h </w:instrText>
        </w:r>
        <w:r>
          <w:rPr>
            <w:webHidden/>
          </w:rPr>
        </w:r>
        <w:r>
          <w:rPr>
            <w:webHidden/>
          </w:rPr>
          <w:fldChar w:fldCharType="separate"/>
        </w:r>
        <w:r w:rsidR="005546A0">
          <w:rPr>
            <w:webHidden/>
          </w:rPr>
          <w:t>141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2" w:history="1">
        <w:r w:rsidR="00086868" w:rsidRPr="00506A82">
          <w:rPr>
            <w:rStyle w:val="Hyperlink"/>
          </w:rPr>
          <w:t>Monitoring of Discharges to Ground Water</w:t>
        </w:r>
        <w:r w:rsidR="00086868">
          <w:rPr>
            <w:webHidden/>
          </w:rPr>
          <w:tab/>
        </w:r>
        <w:r>
          <w:rPr>
            <w:webHidden/>
          </w:rPr>
          <w:fldChar w:fldCharType="begin"/>
        </w:r>
        <w:r w:rsidR="00086868">
          <w:rPr>
            <w:webHidden/>
          </w:rPr>
          <w:instrText xml:space="preserve"> PAGEREF _Toc271794382 \h </w:instrText>
        </w:r>
        <w:r>
          <w:rPr>
            <w:webHidden/>
          </w:rPr>
        </w:r>
        <w:r>
          <w:rPr>
            <w:webHidden/>
          </w:rPr>
          <w:fldChar w:fldCharType="separate"/>
        </w:r>
        <w:r w:rsidR="005546A0">
          <w:rPr>
            <w:webHidden/>
          </w:rPr>
          <w:t>142</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383" w:history="1">
        <w:r w:rsidR="00086868" w:rsidRPr="00506A82">
          <w:rPr>
            <w:rStyle w:val="Hyperlink"/>
          </w:rPr>
          <w:t>Chapter 10:  Results of the Ground Water Assessments</w:t>
        </w:r>
        <w:r w:rsidR="00086868">
          <w:rPr>
            <w:webHidden/>
          </w:rPr>
          <w:tab/>
        </w:r>
        <w:r>
          <w:rPr>
            <w:webHidden/>
          </w:rPr>
          <w:fldChar w:fldCharType="begin"/>
        </w:r>
        <w:r w:rsidR="00086868">
          <w:rPr>
            <w:webHidden/>
          </w:rPr>
          <w:instrText xml:space="preserve"> PAGEREF _Toc271794383 \h </w:instrText>
        </w:r>
        <w:r>
          <w:rPr>
            <w:webHidden/>
          </w:rPr>
        </w:r>
        <w:r>
          <w:rPr>
            <w:webHidden/>
          </w:rPr>
          <w:fldChar w:fldCharType="separate"/>
        </w:r>
        <w:r w:rsidR="005546A0">
          <w:rPr>
            <w:webHidden/>
          </w:rPr>
          <w:t>143</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84" w:history="1">
        <w:r w:rsidR="00086868" w:rsidRPr="00506A82">
          <w:rPr>
            <w:rStyle w:val="Hyperlink"/>
          </w:rPr>
          <w:t>Overall Ground Water Quality</w:t>
        </w:r>
        <w:r w:rsidR="00086868">
          <w:rPr>
            <w:webHidden/>
          </w:rPr>
          <w:tab/>
        </w:r>
        <w:r>
          <w:rPr>
            <w:webHidden/>
          </w:rPr>
          <w:fldChar w:fldCharType="begin"/>
        </w:r>
        <w:r w:rsidR="00086868">
          <w:rPr>
            <w:webHidden/>
          </w:rPr>
          <w:instrText xml:space="preserve"> PAGEREF _Toc271794384 \h </w:instrText>
        </w:r>
        <w:r>
          <w:rPr>
            <w:webHidden/>
          </w:rPr>
        </w:r>
        <w:r>
          <w:rPr>
            <w:webHidden/>
          </w:rPr>
          <w:fldChar w:fldCharType="separate"/>
        </w:r>
        <w:r w:rsidR="005546A0">
          <w:rPr>
            <w:webHidden/>
          </w:rPr>
          <w:t>143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5" w:history="1">
        <w:r w:rsidR="00086868" w:rsidRPr="00506A82">
          <w:rPr>
            <w:rStyle w:val="Hyperlink"/>
          </w:rPr>
          <w:t>Ground Water Quality Issues and Contaminants of Concern, Including Public Health Issues</w:t>
        </w:r>
        <w:r w:rsidR="00086868">
          <w:rPr>
            <w:webHidden/>
          </w:rPr>
          <w:tab/>
        </w:r>
        <w:r>
          <w:rPr>
            <w:webHidden/>
          </w:rPr>
          <w:fldChar w:fldCharType="begin"/>
        </w:r>
        <w:r w:rsidR="00086868">
          <w:rPr>
            <w:webHidden/>
          </w:rPr>
          <w:instrText xml:space="preserve"> PAGEREF _Toc271794385 \h </w:instrText>
        </w:r>
        <w:r>
          <w:rPr>
            <w:webHidden/>
          </w:rPr>
        </w:r>
        <w:r>
          <w:rPr>
            <w:webHidden/>
          </w:rPr>
          <w:fldChar w:fldCharType="separate"/>
        </w:r>
        <w:r w:rsidR="005546A0">
          <w:rPr>
            <w:webHidden/>
          </w:rPr>
          <w:t>145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6" w:history="1">
        <w:r w:rsidR="00086868" w:rsidRPr="00506A82">
          <w:rPr>
            <w:rStyle w:val="Hyperlink"/>
          </w:rPr>
          <w:t>Volatile Organic Compounds</w:t>
        </w:r>
        <w:r w:rsidR="00086868">
          <w:rPr>
            <w:webHidden/>
          </w:rPr>
          <w:tab/>
        </w:r>
        <w:r>
          <w:rPr>
            <w:webHidden/>
          </w:rPr>
          <w:fldChar w:fldCharType="begin"/>
        </w:r>
        <w:r w:rsidR="00086868">
          <w:rPr>
            <w:webHidden/>
          </w:rPr>
          <w:instrText xml:space="preserve"> PAGEREF _Toc271794386 \h </w:instrText>
        </w:r>
        <w:r>
          <w:rPr>
            <w:webHidden/>
          </w:rPr>
        </w:r>
        <w:r>
          <w:rPr>
            <w:webHidden/>
          </w:rPr>
          <w:fldChar w:fldCharType="separate"/>
        </w:r>
        <w:r w:rsidR="005546A0">
          <w:rPr>
            <w:webHidden/>
          </w:rPr>
          <w:t>146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7" w:history="1">
        <w:r w:rsidR="00086868" w:rsidRPr="00506A82">
          <w:rPr>
            <w:rStyle w:val="Hyperlink"/>
          </w:rPr>
          <w:t>Synthetic Organic Chemicals/Pesticides</w:t>
        </w:r>
        <w:r w:rsidR="00086868">
          <w:rPr>
            <w:webHidden/>
          </w:rPr>
          <w:tab/>
        </w:r>
        <w:r>
          <w:rPr>
            <w:webHidden/>
          </w:rPr>
          <w:fldChar w:fldCharType="begin"/>
        </w:r>
        <w:r w:rsidR="00086868">
          <w:rPr>
            <w:webHidden/>
          </w:rPr>
          <w:instrText xml:space="preserve"> PAGEREF _Toc271794387 \h </w:instrText>
        </w:r>
        <w:r>
          <w:rPr>
            <w:webHidden/>
          </w:rPr>
        </w:r>
        <w:r>
          <w:rPr>
            <w:webHidden/>
          </w:rPr>
          <w:fldChar w:fldCharType="separate"/>
        </w:r>
        <w:r w:rsidR="005546A0">
          <w:rPr>
            <w:webHidden/>
          </w:rPr>
          <w:t>150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8" w:history="1">
        <w:r w:rsidR="00086868" w:rsidRPr="00506A82">
          <w:rPr>
            <w:rStyle w:val="Hyperlink"/>
          </w:rPr>
          <w:t>Nitrate</w:t>
        </w:r>
        <w:r w:rsidR="00086868">
          <w:rPr>
            <w:webHidden/>
          </w:rPr>
          <w:tab/>
        </w:r>
        <w:r>
          <w:rPr>
            <w:webHidden/>
          </w:rPr>
          <w:fldChar w:fldCharType="begin"/>
        </w:r>
        <w:r w:rsidR="00086868">
          <w:rPr>
            <w:webHidden/>
          </w:rPr>
          <w:instrText xml:space="preserve"> PAGEREF _Toc271794388 \h </w:instrText>
        </w:r>
        <w:r>
          <w:rPr>
            <w:webHidden/>
          </w:rPr>
        </w:r>
        <w:r>
          <w:rPr>
            <w:webHidden/>
          </w:rPr>
          <w:fldChar w:fldCharType="separate"/>
        </w:r>
        <w:r w:rsidR="005546A0">
          <w:rPr>
            <w:webHidden/>
          </w:rPr>
          <w:t>151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89" w:history="1">
        <w:r w:rsidR="00086868" w:rsidRPr="00506A82">
          <w:rPr>
            <w:rStyle w:val="Hyperlink"/>
          </w:rPr>
          <w:t>Primary Metals</w:t>
        </w:r>
        <w:r w:rsidR="00086868">
          <w:rPr>
            <w:webHidden/>
          </w:rPr>
          <w:tab/>
        </w:r>
        <w:r>
          <w:rPr>
            <w:webHidden/>
          </w:rPr>
          <w:fldChar w:fldCharType="begin"/>
        </w:r>
        <w:r w:rsidR="00086868">
          <w:rPr>
            <w:webHidden/>
          </w:rPr>
          <w:instrText xml:space="preserve"> PAGEREF _Toc271794389 \h </w:instrText>
        </w:r>
        <w:r>
          <w:rPr>
            <w:webHidden/>
          </w:rPr>
        </w:r>
        <w:r>
          <w:rPr>
            <w:webHidden/>
          </w:rPr>
          <w:fldChar w:fldCharType="separate"/>
        </w:r>
        <w:r w:rsidR="005546A0">
          <w:rPr>
            <w:webHidden/>
          </w:rPr>
          <w:t>151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0" w:history="1">
        <w:r w:rsidR="00086868" w:rsidRPr="00506A82">
          <w:rPr>
            <w:rStyle w:val="Hyperlink"/>
          </w:rPr>
          <w:t>Saline Water</w:t>
        </w:r>
        <w:r w:rsidR="00086868">
          <w:rPr>
            <w:webHidden/>
          </w:rPr>
          <w:tab/>
        </w:r>
        <w:r>
          <w:rPr>
            <w:webHidden/>
          </w:rPr>
          <w:fldChar w:fldCharType="begin"/>
        </w:r>
        <w:r w:rsidR="00086868">
          <w:rPr>
            <w:webHidden/>
          </w:rPr>
          <w:instrText xml:space="preserve"> PAGEREF _Toc271794390 \h </w:instrText>
        </w:r>
        <w:r>
          <w:rPr>
            <w:webHidden/>
          </w:rPr>
        </w:r>
        <w:r>
          <w:rPr>
            <w:webHidden/>
          </w:rPr>
          <w:fldChar w:fldCharType="separate"/>
        </w:r>
        <w:r w:rsidR="005546A0">
          <w:rPr>
            <w:webHidden/>
          </w:rPr>
          <w:t>152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1" w:history="1">
        <w:r w:rsidR="00086868" w:rsidRPr="00506A82">
          <w:rPr>
            <w:rStyle w:val="Hyperlink"/>
          </w:rPr>
          <w:t>Radionuclides</w:t>
        </w:r>
        <w:r w:rsidR="00086868">
          <w:rPr>
            <w:webHidden/>
          </w:rPr>
          <w:tab/>
        </w:r>
        <w:r>
          <w:rPr>
            <w:webHidden/>
          </w:rPr>
          <w:fldChar w:fldCharType="begin"/>
        </w:r>
        <w:r w:rsidR="00086868">
          <w:rPr>
            <w:webHidden/>
          </w:rPr>
          <w:instrText xml:space="preserve"> PAGEREF _Toc271794391 \h </w:instrText>
        </w:r>
        <w:r>
          <w:rPr>
            <w:webHidden/>
          </w:rPr>
        </w:r>
        <w:r>
          <w:rPr>
            <w:webHidden/>
          </w:rPr>
          <w:fldChar w:fldCharType="separate"/>
        </w:r>
        <w:r w:rsidR="005546A0">
          <w:rPr>
            <w:webHidden/>
          </w:rPr>
          <w:t>153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2" w:history="1">
        <w:r w:rsidR="00086868" w:rsidRPr="00506A82">
          <w:rPr>
            <w:rStyle w:val="Hyperlink"/>
          </w:rPr>
          <w:t>Trihalomethanes</w:t>
        </w:r>
        <w:r w:rsidR="00086868">
          <w:rPr>
            <w:webHidden/>
          </w:rPr>
          <w:tab/>
        </w:r>
        <w:r>
          <w:rPr>
            <w:webHidden/>
          </w:rPr>
          <w:fldChar w:fldCharType="begin"/>
        </w:r>
        <w:r w:rsidR="00086868">
          <w:rPr>
            <w:webHidden/>
          </w:rPr>
          <w:instrText xml:space="preserve"> PAGEREF _Toc271794392 \h </w:instrText>
        </w:r>
        <w:r>
          <w:rPr>
            <w:webHidden/>
          </w:rPr>
        </w:r>
        <w:r>
          <w:rPr>
            <w:webHidden/>
          </w:rPr>
          <w:fldChar w:fldCharType="separate"/>
        </w:r>
        <w:r w:rsidR="005546A0">
          <w:rPr>
            <w:webHidden/>
          </w:rPr>
          <w:t>153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3" w:history="1">
        <w:r w:rsidR="00086868" w:rsidRPr="00506A82">
          <w:rPr>
            <w:rStyle w:val="Hyperlink"/>
          </w:rPr>
          <w:t>Bacteria (Coliform)</w:t>
        </w:r>
        <w:r w:rsidR="00086868">
          <w:rPr>
            <w:webHidden/>
          </w:rPr>
          <w:tab/>
        </w:r>
        <w:r>
          <w:rPr>
            <w:webHidden/>
          </w:rPr>
          <w:fldChar w:fldCharType="begin"/>
        </w:r>
        <w:r w:rsidR="00086868">
          <w:rPr>
            <w:webHidden/>
          </w:rPr>
          <w:instrText xml:space="preserve"> PAGEREF _Toc271794393 \h </w:instrText>
        </w:r>
        <w:r>
          <w:rPr>
            <w:webHidden/>
          </w:rPr>
        </w:r>
        <w:r>
          <w:rPr>
            <w:webHidden/>
          </w:rPr>
          <w:fldChar w:fldCharType="separate"/>
        </w:r>
        <w:r w:rsidR="005546A0">
          <w:rPr>
            <w:webHidden/>
          </w:rPr>
          <w:t>153</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94" w:history="1">
        <w:r w:rsidR="00086868" w:rsidRPr="00506A82">
          <w:rPr>
            <w:rStyle w:val="Hyperlink"/>
          </w:rPr>
          <w:t>Summary of Ground Water Contaminant Sources</w:t>
        </w:r>
        <w:r w:rsidR="00086868">
          <w:rPr>
            <w:webHidden/>
          </w:rPr>
          <w:tab/>
        </w:r>
        <w:r>
          <w:rPr>
            <w:webHidden/>
          </w:rPr>
          <w:fldChar w:fldCharType="begin"/>
        </w:r>
        <w:r w:rsidR="00086868">
          <w:rPr>
            <w:webHidden/>
          </w:rPr>
          <w:instrText xml:space="preserve"> PAGEREF _Toc271794394 \h </w:instrText>
        </w:r>
        <w:r>
          <w:rPr>
            <w:webHidden/>
          </w:rPr>
        </w:r>
        <w:r>
          <w:rPr>
            <w:webHidden/>
          </w:rPr>
          <w:fldChar w:fldCharType="separate"/>
        </w:r>
        <w:r w:rsidR="005546A0">
          <w:rPr>
            <w:webHidden/>
          </w:rPr>
          <w:t>154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5" w:history="1">
        <w:r w:rsidR="00086868" w:rsidRPr="00506A82">
          <w:rPr>
            <w:rStyle w:val="Hyperlink"/>
          </w:rPr>
          <w:t>Petroleum Facilities</w:t>
        </w:r>
        <w:r w:rsidR="00086868">
          <w:rPr>
            <w:webHidden/>
          </w:rPr>
          <w:tab/>
        </w:r>
        <w:r>
          <w:rPr>
            <w:webHidden/>
          </w:rPr>
          <w:fldChar w:fldCharType="begin"/>
        </w:r>
        <w:r w:rsidR="00086868">
          <w:rPr>
            <w:webHidden/>
          </w:rPr>
          <w:instrText xml:space="preserve"> PAGEREF _Toc271794395 \h </w:instrText>
        </w:r>
        <w:r>
          <w:rPr>
            <w:webHidden/>
          </w:rPr>
        </w:r>
        <w:r>
          <w:rPr>
            <w:webHidden/>
          </w:rPr>
          <w:fldChar w:fldCharType="separate"/>
        </w:r>
        <w:r w:rsidR="005546A0">
          <w:rPr>
            <w:webHidden/>
          </w:rPr>
          <w:t>154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6" w:history="1">
        <w:r w:rsidR="00086868" w:rsidRPr="00506A82">
          <w:rPr>
            <w:rStyle w:val="Hyperlink"/>
          </w:rPr>
          <w:t>Drycleaning Solvent Facilities</w:t>
        </w:r>
        <w:r w:rsidR="00086868">
          <w:rPr>
            <w:webHidden/>
          </w:rPr>
          <w:tab/>
        </w:r>
        <w:r>
          <w:rPr>
            <w:webHidden/>
          </w:rPr>
          <w:fldChar w:fldCharType="begin"/>
        </w:r>
        <w:r w:rsidR="00086868">
          <w:rPr>
            <w:webHidden/>
          </w:rPr>
          <w:instrText xml:space="preserve"> PAGEREF _Toc271794396 \h </w:instrText>
        </w:r>
        <w:r>
          <w:rPr>
            <w:webHidden/>
          </w:rPr>
        </w:r>
        <w:r>
          <w:rPr>
            <w:webHidden/>
          </w:rPr>
          <w:fldChar w:fldCharType="separate"/>
        </w:r>
        <w:r w:rsidR="005546A0">
          <w:rPr>
            <w:webHidden/>
          </w:rPr>
          <w:t>154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7" w:history="1">
        <w:r w:rsidR="00086868" w:rsidRPr="00506A82">
          <w:rPr>
            <w:rStyle w:val="Hyperlink"/>
          </w:rPr>
          <w:t>Federal and State Waste Cleanup and Monitoring Sites</w:t>
        </w:r>
        <w:r w:rsidR="00086868">
          <w:rPr>
            <w:webHidden/>
          </w:rPr>
          <w:tab/>
        </w:r>
        <w:r>
          <w:rPr>
            <w:webHidden/>
          </w:rPr>
          <w:fldChar w:fldCharType="begin"/>
        </w:r>
        <w:r w:rsidR="00086868">
          <w:rPr>
            <w:webHidden/>
          </w:rPr>
          <w:instrText xml:space="preserve"> PAGEREF _Toc271794397 \h </w:instrText>
        </w:r>
        <w:r>
          <w:rPr>
            <w:webHidden/>
          </w:rPr>
        </w:r>
        <w:r>
          <w:rPr>
            <w:webHidden/>
          </w:rPr>
          <w:fldChar w:fldCharType="separate"/>
        </w:r>
        <w:r w:rsidR="005546A0">
          <w:rPr>
            <w:webHidden/>
          </w:rPr>
          <w:t>155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398" w:history="1">
        <w:r w:rsidR="00086868" w:rsidRPr="00506A82">
          <w:rPr>
            <w:rStyle w:val="Hyperlink"/>
          </w:rPr>
          <w:t>Nonpoint Sources</w:t>
        </w:r>
        <w:r w:rsidR="00086868">
          <w:rPr>
            <w:webHidden/>
          </w:rPr>
          <w:tab/>
        </w:r>
        <w:r>
          <w:rPr>
            <w:webHidden/>
          </w:rPr>
          <w:fldChar w:fldCharType="begin"/>
        </w:r>
        <w:r w:rsidR="00086868">
          <w:rPr>
            <w:webHidden/>
          </w:rPr>
          <w:instrText xml:space="preserve"> PAGEREF _Toc271794398 \h </w:instrText>
        </w:r>
        <w:r>
          <w:rPr>
            <w:webHidden/>
          </w:rPr>
        </w:r>
        <w:r>
          <w:rPr>
            <w:webHidden/>
          </w:rPr>
          <w:fldChar w:fldCharType="separate"/>
        </w:r>
        <w:r w:rsidR="005546A0">
          <w:rPr>
            <w:webHidden/>
          </w:rPr>
          <w:t>155</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399" w:history="1">
        <w:r w:rsidR="00086868" w:rsidRPr="00506A82">
          <w:rPr>
            <w:rStyle w:val="Hyperlink"/>
          </w:rPr>
          <w:t>Ground Water–Surface Water Interaction</w:t>
        </w:r>
        <w:r w:rsidR="00086868">
          <w:rPr>
            <w:webHidden/>
          </w:rPr>
          <w:tab/>
        </w:r>
        <w:r>
          <w:rPr>
            <w:webHidden/>
          </w:rPr>
          <w:fldChar w:fldCharType="begin"/>
        </w:r>
        <w:r w:rsidR="00086868">
          <w:rPr>
            <w:webHidden/>
          </w:rPr>
          <w:instrText xml:space="preserve"> PAGEREF _Toc271794399 \h </w:instrText>
        </w:r>
        <w:r>
          <w:rPr>
            <w:webHidden/>
          </w:rPr>
        </w:r>
        <w:r>
          <w:rPr>
            <w:webHidden/>
          </w:rPr>
          <w:fldChar w:fldCharType="separate"/>
        </w:r>
        <w:r w:rsidR="005546A0">
          <w:rPr>
            <w:webHidden/>
          </w:rPr>
          <w:t>155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0" w:history="1">
        <w:r w:rsidR="00086868" w:rsidRPr="00506A82">
          <w:rPr>
            <w:rStyle w:val="Hyperlink"/>
          </w:rPr>
          <w:t>Setting and Pathways</w:t>
        </w:r>
        <w:r w:rsidR="00086868">
          <w:rPr>
            <w:webHidden/>
          </w:rPr>
          <w:tab/>
        </w:r>
        <w:r>
          <w:rPr>
            <w:webHidden/>
          </w:rPr>
          <w:fldChar w:fldCharType="begin"/>
        </w:r>
        <w:r w:rsidR="00086868">
          <w:rPr>
            <w:webHidden/>
          </w:rPr>
          <w:instrText xml:space="preserve"> PAGEREF _Toc271794400 \h </w:instrText>
        </w:r>
        <w:r>
          <w:rPr>
            <w:webHidden/>
          </w:rPr>
        </w:r>
        <w:r>
          <w:rPr>
            <w:webHidden/>
          </w:rPr>
          <w:fldChar w:fldCharType="separate"/>
        </w:r>
        <w:r w:rsidR="005546A0">
          <w:rPr>
            <w:webHidden/>
          </w:rPr>
          <w:t>155</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1" w:history="1">
        <w:r w:rsidR="00086868" w:rsidRPr="00506A82">
          <w:rPr>
            <w:rStyle w:val="Hyperlink"/>
          </w:rPr>
          <w:t>Ground Water Influence on Impaired Surface Waters</w:t>
        </w:r>
        <w:r w:rsidR="00086868">
          <w:rPr>
            <w:webHidden/>
          </w:rPr>
          <w:tab/>
        </w:r>
        <w:r>
          <w:rPr>
            <w:webHidden/>
          </w:rPr>
          <w:fldChar w:fldCharType="begin"/>
        </w:r>
        <w:r w:rsidR="00086868">
          <w:rPr>
            <w:webHidden/>
          </w:rPr>
          <w:instrText xml:space="preserve"> PAGEREF _Toc271794401 \h </w:instrText>
        </w:r>
        <w:r>
          <w:rPr>
            <w:webHidden/>
          </w:rPr>
        </w:r>
        <w:r>
          <w:rPr>
            <w:webHidden/>
          </w:rPr>
          <w:fldChar w:fldCharType="separate"/>
        </w:r>
        <w:r w:rsidR="005546A0">
          <w:rPr>
            <w:webHidden/>
          </w:rPr>
          <w:t>156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2" w:history="1">
        <w:r w:rsidR="00086868" w:rsidRPr="00506A82">
          <w:rPr>
            <w:rStyle w:val="Hyperlink"/>
          </w:rPr>
          <w:t>Springs and Spring-related Issues</w:t>
        </w:r>
        <w:r w:rsidR="00086868">
          <w:rPr>
            <w:webHidden/>
          </w:rPr>
          <w:tab/>
        </w:r>
        <w:r>
          <w:rPr>
            <w:webHidden/>
          </w:rPr>
          <w:fldChar w:fldCharType="begin"/>
        </w:r>
        <w:r w:rsidR="00086868">
          <w:rPr>
            <w:webHidden/>
          </w:rPr>
          <w:instrText xml:space="preserve"> PAGEREF _Toc271794402 \h </w:instrText>
        </w:r>
        <w:r>
          <w:rPr>
            <w:webHidden/>
          </w:rPr>
        </w:r>
        <w:r>
          <w:rPr>
            <w:webHidden/>
          </w:rPr>
          <w:fldChar w:fldCharType="separate"/>
        </w:r>
        <w:r w:rsidR="005546A0">
          <w:rPr>
            <w:webHidden/>
          </w:rPr>
          <w:t>156</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3" w:history="1">
        <w:r w:rsidR="00086868" w:rsidRPr="00506A82">
          <w:rPr>
            <w:rStyle w:val="Hyperlink"/>
          </w:rPr>
          <w:t>Phosphorus</w:t>
        </w:r>
        <w:r w:rsidR="00086868">
          <w:rPr>
            <w:webHidden/>
          </w:rPr>
          <w:tab/>
        </w:r>
        <w:r>
          <w:rPr>
            <w:webHidden/>
          </w:rPr>
          <w:fldChar w:fldCharType="begin"/>
        </w:r>
        <w:r w:rsidR="00086868">
          <w:rPr>
            <w:webHidden/>
          </w:rPr>
          <w:instrText xml:space="preserve"> PAGEREF _Toc271794403 \h </w:instrText>
        </w:r>
        <w:r>
          <w:rPr>
            <w:webHidden/>
          </w:rPr>
        </w:r>
        <w:r>
          <w:rPr>
            <w:webHidden/>
          </w:rPr>
          <w:fldChar w:fldCharType="separate"/>
        </w:r>
        <w:r w:rsidR="005546A0">
          <w:rPr>
            <w:webHidden/>
          </w:rPr>
          <w:t>158</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404" w:history="1">
        <w:r w:rsidR="00086868" w:rsidRPr="00506A82">
          <w:rPr>
            <w:rStyle w:val="Hyperlink"/>
          </w:rPr>
          <w:t>Chapter 11:  Water Protection and Restoration Programs</w:t>
        </w:r>
        <w:r w:rsidR="00086868">
          <w:rPr>
            <w:webHidden/>
          </w:rPr>
          <w:tab/>
        </w:r>
        <w:r>
          <w:rPr>
            <w:webHidden/>
          </w:rPr>
          <w:fldChar w:fldCharType="begin"/>
        </w:r>
        <w:r w:rsidR="00086868">
          <w:rPr>
            <w:webHidden/>
          </w:rPr>
          <w:instrText xml:space="preserve"> PAGEREF _Toc271794404 \h </w:instrText>
        </w:r>
        <w:r>
          <w:rPr>
            <w:webHidden/>
          </w:rPr>
        </w:r>
        <w:r>
          <w:rPr>
            <w:webHidden/>
          </w:rPr>
          <w:fldChar w:fldCharType="separate"/>
        </w:r>
        <w:r w:rsidR="005546A0">
          <w:rPr>
            <w:webHidden/>
          </w:rPr>
          <w:t>161</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405" w:history="1">
        <w:r w:rsidR="00086868" w:rsidRPr="00506A82">
          <w:rPr>
            <w:rStyle w:val="Hyperlink"/>
          </w:rPr>
          <w:t>Florida’s Water Resource Management Programs</w:t>
        </w:r>
        <w:r w:rsidR="00086868">
          <w:rPr>
            <w:webHidden/>
          </w:rPr>
          <w:tab/>
        </w:r>
        <w:r>
          <w:rPr>
            <w:webHidden/>
          </w:rPr>
          <w:fldChar w:fldCharType="begin"/>
        </w:r>
        <w:r w:rsidR="00086868">
          <w:rPr>
            <w:webHidden/>
          </w:rPr>
          <w:instrText xml:space="preserve"> PAGEREF _Toc271794405 \h </w:instrText>
        </w:r>
        <w:r>
          <w:rPr>
            <w:webHidden/>
          </w:rPr>
        </w:r>
        <w:r>
          <w:rPr>
            <w:webHidden/>
          </w:rPr>
          <w:fldChar w:fldCharType="separate"/>
        </w:r>
        <w:r w:rsidR="005546A0">
          <w:rPr>
            <w:webHidden/>
          </w:rPr>
          <w:t>161</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406" w:history="1">
        <w:r w:rsidR="00086868" w:rsidRPr="00506A82">
          <w:rPr>
            <w:rStyle w:val="Hyperlink"/>
          </w:rPr>
          <w:t>Overview of Surface Water Monitoring Programs</w:t>
        </w:r>
        <w:r w:rsidR="00086868">
          <w:rPr>
            <w:webHidden/>
          </w:rPr>
          <w:tab/>
        </w:r>
        <w:r>
          <w:rPr>
            <w:webHidden/>
          </w:rPr>
          <w:fldChar w:fldCharType="begin"/>
        </w:r>
        <w:r w:rsidR="00086868">
          <w:rPr>
            <w:webHidden/>
          </w:rPr>
          <w:instrText xml:space="preserve"> PAGEREF _Toc271794406 \h </w:instrText>
        </w:r>
        <w:r>
          <w:rPr>
            <w:webHidden/>
          </w:rPr>
        </w:r>
        <w:r>
          <w:rPr>
            <w:webHidden/>
          </w:rPr>
          <w:fldChar w:fldCharType="separate"/>
        </w:r>
        <w:r w:rsidR="005546A0">
          <w:rPr>
            <w:webHidden/>
          </w:rPr>
          <w:t>162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7" w:history="1">
        <w:r w:rsidR="00086868" w:rsidRPr="00506A82">
          <w:rPr>
            <w:rStyle w:val="Hyperlink"/>
          </w:rPr>
          <w:t>Watershed-based Monitoring and Reporting</w:t>
        </w:r>
        <w:r w:rsidR="00086868">
          <w:rPr>
            <w:webHidden/>
          </w:rPr>
          <w:tab/>
        </w:r>
        <w:r>
          <w:rPr>
            <w:webHidden/>
          </w:rPr>
          <w:fldChar w:fldCharType="begin"/>
        </w:r>
        <w:r w:rsidR="00086868">
          <w:rPr>
            <w:webHidden/>
          </w:rPr>
          <w:instrText xml:space="preserve"> PAGEREF _Toc271794407 \h </w:instrText>
        </w:r>
        <w:r>
          <w:rPr>
            <w:webHidden/>
          </w:rPr>
        </w:r>
        <w:r>
          <w:rPr>
            <w:webHidden/>
          </w:rPr>
          <w:fldChar w:fldCharType="separate"/>
        </w:r>
        <w:r w:rsidR="005546A0">
          <w:rPr>
            <w:webHidden/>
          </w:rPr>
          <w:t>162</w:t>
        </w:r>
        <w:r>
          <w:rPr>
            <w:webHidden/>
          </w:rPr>
          <w:fldChar w:fldCharType="end"/>
        </w:r>
      </w:hyperlink>
    </w:p>
    <w:p w:rsidR="00086868" w:rsidRDefault="00B2471C">
      <w:pPr>
        <w:pStyle w:val="TOC2"/>
        <w:rPr>
          <w:rFonts w:asciiTheme="minorHAnsi" w:eastAsiaTheme="minorEastAsia" w:hAnsiTheme="minorHAnsi" w:cstheme="minorBidi"/>
          <w:b w:val="0"/>
          <w:sz w:val="22"/>
          <w:szCs w:val="22"/>
        </w:rPr>
      </w:pPr>
      <w:hyperlink w:anchor="_Toc271794408" w:history="1">
        <w:r w:rsidR="00086868" w:rsidRPr="00506A82">
          <w:rPr>
            <w:rStyle w:val="Hyperlink"/>
          </w:rPr>
          <w:t>Overview of Surface Water Protection Programs</w:t>
        </w:r>
        <w:r w:rsidR="00086868">
          <w:rPr>
            <w:webHidden/>
          </w:rPr>
          <w:tab/>
        </w:r>
        <w:r>
          <w:rPr>
            <w:webHidden/>
          </w:rPr>
          <w:fldChar w:fldCharType="begin"/>
        </w:r>
        <w:r w:rsidR="00086868">
          <w:rPr>
            <w:webHidden/>
          </w:rPr>
          <w:instrText xml:space="preserve"> PAGEREF _Toc271794408 \h </w:instrText>
        </w:r>
        <w:r>
          <w:rPr>
            <w:webHidden/>
          </w:rPr>
        </w:r>
        <w:r>
          <w:rPr>
            <w:webHidden/>
          </w:rPr>
          <w:fldChar w:fldCharType="separate"/>
        </w:r>
        <w:r w:rsidR="005546A0">
          <w:rPr>
            <w:webHidden/>
          </w:rPr>
          <w:t>163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09" w:history="1">
        <w:r w:rsidR="00086868" w:rsidRPr="00506A82">
          <w:rPr>
            <w:rStyle w:val="Hyperlink"/>
          </w:rPr>
          <w:t>Water Quality Standards Program</w:t>
        </w:r>
        <w:r w:rsidR="00086868">
          <w:rPr>
            <w:webHidden/>
          </w:rPr>
          <w:tab/>
        </w:r>
        <w:r>
          <w:rPr>
            <w:webHidden/>
          </w:rPr>
          <w:fldChar w:fldCharType="begin"/>
        </w:r>
        <w:r w:rsidR="00086868">
          <w:rPr>
            <w:webHidden/>
          </w:rPr>
          <w:instrText xml:space="preserve"> PAGEREF _Toc271794409 \h </w:instrText>
        </w:r>
        <w:r>
          <w:rPr>
            <w:webHidden/>
          </w:rPr>
        </w:r>
        <w:r>
          <w:rPr>
            <w:webHidden/>
          </w:rPr>
          <w:fldChar w:fldCharType="separate"/>
        </w:r>
        <w:r w:rsidR="005546A0">
          <w:rPr>
            <w:webHidden/>
          </w:rPr>
          <w:t>163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0" w:history="1">
        <w:r w:rsidR="00086868" w:rsidRPr="00506A82">
          <w:rPr>
            <w:rStyle w:val="Hyperlink"/>
          </w:rPr>
          <w:t>Watershed Assessment Program</w:t>
        </w:r>
        <w:r w:rsidR="00086868">
          <w:rPr>
            <w:webHidden/>
          </w:rPr>
          <w:tab/>
        </w:r>
        <w:r>
          <w:rPr>
            <w:webHidden/>
          </w:rPr>
          <w:fldChar w:fldCharType="begin"/>
        </w:r>
        <w:r w:rsidR="00086868">
          <w:rPr>
            <w:webHidden/>
          </w:rPr>
          <w:instrText xml:space="preserve"> PAGEREF _Toc271794410 \h </w:instrText>
        </w:r>
        <w:r>
          <w:rPr>
            <w:webHidden/>
          </w:rPr>
        </w:r>
        <w:r>
          <w:rPr>
            <w:webHidden/>
          </w:rPr>
          <w:fldChar w:fldCharType="separate"/>
        </w:r>
        <w:r w:rsidR="005546A0">
          <w:rPr>
            <w:webHidden/>
          </w:rPr>
          <w:t>164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1" w:history="1">
        <w:r w:rsidR="00086868" w:rsidRPr="00506A82">
          <w:rPr>
            <w:rStyle w:val="Hyperlink"/>
          </w:rPr>
          <w:t>Public Participation</w:t>
        </w:r>
        <w:r w:rsidR="00086868">
          <w:rPr>
            <w:webHidden/>
          </w:rPr>
          <w:tab/>
        </w:r>
        <w:r>
          <w:rPr>
            <w:webHidden/>
          </w:rPr>
          <w:fldChar w:fldCharType="begin"/>
        </w:r>
        <w:r w:rsidR="00086868">
          <w:rPr>
            <w:webHidden/>
          </w:rPr>
          <w:instrText xml:space="preserve"> PAGEREF _Toc271794411 \h </w:instrText>
        </w:r>
        <w:r>
          <w:rPr>
            <w:webHidden/>
          </w:rPr>
        </w:r>
        <w:r>
          <w:rPr>
            <w:webHidden/>
          </w:rPr>
          <w:fldChar w:fldCharType="separate"/>
        </w:r>
        <w:r w:rsidR="005546A0">
          <w:rPr>
            <w:webHidden/>
          </w:rPr>
          <w:t>171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2" w:history="1">
        <w:r w:rsidR="00086868" w:rsidRPr="00506A82">
          <w:rPr>
            <w:rStyle w:val="Hyperlink"/>
          </w:rPr>
          <w:t>Surface Water Improvement and Management Program</w:t>
        </w:r>
        <w:r w:rsidR="00086868">
          <w:rPr>
            <w:webHidden/>
          </w:rPr>
          <w:tab/>
        </w:r>
        <w:r>
          <w:rPr>
            <w:webHidden/>
          </w:rPr>
          <w:fldChar w:fldCharType="begin"/>
        </w:r>
        <w:r w:rsidR="00086868">
          <w:rPr>
            <w:webHidden/>
          </w:rPr>
          <w:instrText xml:space="preserve"> PAGEREF _Toc271794412 \h </w:instrText>
        </w:r>
        <w:r>
          <w:rPr>
            <w:webHidden/>
          </w:rPr>
        </w:r>
        <w:r>
          <w:rPr>
            <w:webHidden/>
          </w:rPr>
          <w:fldChar w:fldCharType="separate"/>
        </w:r>
        <w:r w:rsidR="005546A0">
          <w:rPr>
            <w:webHidden/>
          </w:rPr>
          <w:t>171</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3" w:history="1">
        <w:r w:rsidR="00086868" w:rsidRPr="00506A82">
          <w:rPr>
            <w:rStyle w:val="Hyperlink"/>
          </w:rPr>
          <w:t>Point Source Control Program</w:t>
        </w:r>
        <w:r w:rsidR="00086868">
          <w:rPr>
            <w:webHidden/>
          </w:rPr>
          <w:tab/>
        </w:r>
        <w:r>
          <w:rPr>
            <w:webHidden/>
          </w:rPr>
          <w:fldChar w:fldCharType="begin"/>
        </w:r>
        <w:r w:rsidR="00086868">
          <w:rPr>
            <w:webHidden/>
          </w:rPr>
          <w:instrText xml:space="preserve"> PAGEREF _Toc271794413 \h </w:instrText>
        </w:r>
        <w:r>
          <w:rPr>
            <w:webHidden/>
          </w:rPr>
        </w:r>
        <w:r>
          <w:rPr>
            <w:webHidden/>
          </w:rPr>
          <w:fldChar w:fldCharType="separate"/>
        </w:r>
        <w:r w:rsidR="005546A0">
          <w:rPr>
            <w:webHidden/>
          </w:rPr>
          <w:t>172</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4" w:history="1">
        <w:r w:rsidR="00086868" w:rsidRPr="00506A82">
          <w:rPr>
            <w:rStyle w:val="Hyperlink"/>
          </w:rPr>
          <w:t>Nonpoint Source Management Program</w:t>
        </w:r>
        <w:r w:rsidR="00086868">
          <w:rPr>
            <w:webHidden/>
          </w:rPr>
          <w:tab/>
        </w:r>
        <w:r>
          <w:rPr>
            <w:webHidden/>
          </w:rPr>
          <w:fldChar w:fldCharType="begin"/>
        </w:r>
        <w:r w:rsidR="00086868">
          <w:rPr>
            <w:webHidden/>
          </w:rPr>
          <w:instrText xml:space="preserve"> PAGEREF _Toc271794414 \h </w:instrText>
        </w:r>
        <w:r>
          <w:rPr>
            <w:webHidden/>
          </w:rPr>
        </w:r>
        <w:r>
          <w:rPr>
            <w:webHidden/>
          </w:rPr>
          <w:fldChar w:fldCharType="separate"/>
        </w:r>
        <w:r w:rsidR="005546A0">
          <w:rPr>
            <w:webHidden/>
          </w:rPr>
          <w:t>174</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5" w:history="1">
        <w:r w:rsidR="00086868" w:rsidRPr="00506A82">
          <w:rPr>
            <w:rStyle w:val="Hyperlink"/>
            <w:snapToGrid w:val="0"/>
          </w:rPr>
          <w:t>Coordination with Other State, Tribal, and Local Agencies</w:t>
        </w:r>
        <w:r w:rsidR="00086868">
          <w:rPr>
            <w:webHidden/>
          </w:rPr>
          <w:tab/>
        </w:r>
        <w:r>
          <w:rPr>
            <w:webHidden/>
          </w:rPr>
          <w:fldChar w:fldCharType="begin"/>
        </w:r>
        <w:r w:rsidR="00086868">
          <w:rPr>
            <w:webHidden/>
          </w:rPr>
          <w:instrText xml:space="preserve"> PAGEREF _Toc271794415 \h </w:instrText>
        </w:r>
        <w:r>
          <w:rPr>
            <w:webHidden/>
          </w:rPr>
        </w:r>
        <w:r>
          <w:rPr>
            <w:webHidden/>
          </w:rPr>
          <w:fldChar w:fldCharType="separate"/>
        </w:r>
        <w:r w:rsidR="005546A0">
          <w:rPr>
            <w:webHidden/>
          </w:rPr>
          <w:t>177</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6" w:history="1">
        <w:r w:rsidR="00086868" w:rsidRPr="00506A82">
          <w:rPr>
            <w:rStyle w:val="Hyperlink"/>
          </w:rPr>
          <w:t>Costs and Benefits of Implementing Florida’s Surface Water Protection Programs to Meet the Clean Water Act’s Objectives</w:t>
        </w:r>
        <w:r w:rsidR="00086868">
          <w:rPr>
            <w:webHidden/>
          </w:rPr>
          <w:tab/>
        </w:r>
        <w:r>
          <w:rPr>
            <w:webHidden/>
          </w:rPr>
          <w:fldChar w:fldCharType="begin"/>
        </w:r>
        <w:r w:rsidR="00086868">
          <w:rPr>
            <w:webHidden/>
          </w:rPr>
          <w:instrText xml:space="preserve"> PAGEREF _Toc271794416 \h </w:instrText>
        </w:r>
        <w:r>
          <w:rPr>
            <w:webHidden/>
          </w:rPr>
        </w:r>
        <w:r>
          <w:rPr>
            <w:webHidden/>
          </w:rPr>
          <w:fldChar w:fldCharType="separate"/>
        </w:r>
        <w:r w:rsidR="005546A0">
          <w:rPr>
            <w:webHidden/>
          </w:rPr>
          <w:t>180</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7" w:history="1">
        <w:r w:rsidR="00086868" w:rsidRPr="00506A82">
          <w:rPr>
            <w:rStyle w:val="Hyperlink"/>
          </w:rPr>
          <w:t>Wetlands Program</w:t>
        </w:r>
        <w:r w:rsidR="00086868">
          <w:rPr>
            <w:webHidden/>
          </w:rPr>
          <w:tab/>
        </w:r>
        <w:r>
          <w:rPr>
            <w:webHidden/>
          </w:rPr>
          <w:fldChar w:fldCharType="begin"/>
        </w:r>
        <w:r w:rsidR="00086868">
          <w:rPr>
            <w:webHidden/>
          </w:rPr>
          <w:instrText xml:space="preserve"> PAGEREF _Toc271794417 \h </w:instrText>
        </w:r>
        <w:r>
          <w:rPr>
            <w:webHidden/>
          </w:rPr>
        </w:r>
        <w:r>
          <w:rPr>
            <w:webHidden/>
          </w:rPr>
          <w:fldChar w:fldCharType="separate"/>
        </w:r>
        <w:r w:rsidR="005546A0">
          <w:rPr>
            <w:webHidden/>
          </w:rPr>
          <w:t>183</w:t>
        </w:r>
        <w:r>
          <w:rPr>
            <w:webHidden/>
          </w:rPr>
          <w:fldChar w:fldCharType="end"/>
        </w:r>
      </w:hyperlink>
    </w:p>
    <w:p w:rsidR="00086868" w:rsidRDefault="00B2471C">
      <w:pPr>
        <w:pStyle w:val="TOC3"/>
        <w:rPr>
          <w:rFonts w:asciiTheme="minorHAnsi" w:eastAsiaTheme="minorEastAsia" w:hAnsiTheme="minorHAnsi" w:cstheme="minorBidi"/>
          <w:b w:val="0"/>
          <w:i w:val="0"/>
          <w:sz w:val="22"/>
          <w:szCs w:val="22"/>
        </w:rPr>
      </w:pPr>
      <w:hyperlink w:anchor="_Toc271794418" w:history="1">
        <w:r w:rsidR="00086868" w:rsidRPr="00506A82">
          <w:rPr>
            <w:rStyle w:val="Hyperlink"/>
          </w:rPr>
          <w:t>Results of Florida’s Surface Water Protection Programs</w:t>
        </w:r>
        <w:r w:rsidR="00086868">
          <w:rPr>
            <w:webHidden/>
          </w:rPr>
          <w:tab/>
        </w:r>
        <w:r>
          <w:rPr>
            <w:webHidden/>
          </w:rPr>
          <w:fldChar w:fldCharType="begin"/>
        </w:r>
        <w:r w:rsidR="00086868">
          <w:rPr>
            <w:webHidden/>
          </w:rPr>
          <w:instrText xml:space="preserve"> PAGEREF _Toc271794418 \h </w:instrText>
        </w:r>
        <w:r>
          <w:rPr>
            <w:webHidden/>
          </w:rPr>
        </w:r>
        <w:r>
          <w:rPr>
            <w:webHidden/>
          </w:rPr>
          <w:fldChar w:fldCharType="separate"/>
        </w:r>
        <w:r w:rsidR="005546A0">
          <w:rPr>
            <w:webHidden/>
          </w:rPr>
          <w:t>190</w:t>
        </w:r>
        <w:r>
          <w:rPr>
            <w:webHidden/>
          </w:rPr>
          <w:fldChar w:fldCharType="end"/>
        </w:r>
      </w:hyperlink>
    </w:p>
    <w:p w:rsidR="00086868" w:rsidRDefault="00B2471C">
      <w:pPr>
        <w:pStyle w:val="TOC1"/>
        <w:rPr>
          <w:rFonts w:asciiTheme="minorHAnsi" w:eastAsiaTheme="minorEastAsia" w:hAnsiTheme="minorHAnsi" w:cstheme="minorBidi"/>
          <w:b w:val="0"/>
          <w:bCs w:val="0"/>
          <w:iCs w:val="0"/>
          <w:caps w:val="0"/>
          <w:sz w:val="22"/>
          <w:szCs w:val="22"/>
        </w:rPr>
      </w:pPr>
      <w:hyperlink w:anchor="_Toc271794419" w:history="1">
        <w:r w:rsidR="00086868" w:rsidRPr="00506A82">
          <w:rPr>
            <w:rStyle w:val="Hyperlink"/>
          </w:rPr>
          <w:t>References</w:t>
        </w:r>
        <w:r w:rsidR="00086868">
          <w:rPr>
            <w:webHidden/>
          </w:rPr>
          <w:tab/>
        </w:r>
        <w:r>
          <w:rPr>
            <w:webHidden/>
          </w:rPr>
          <w:fldChar w:fldCharType="begin"/>
        </w:r>
        <w:r w:rsidR="00086868">
          <w:rPr>
            <w:webHidden/>
          </w:rPr>
          <w:instrText xml:space="preserve"> PAGEREF _Toc271794419 \h </w:instrText>
        </w:r>
        <w:r>
          <w:rPr>
            <w:webHidden/>
          </w:rPr>
        </w:r>
        <w:r>
          <w:rPr>
            <w:webHidden/>
          </w:rPr>
          <w:fldChar w:fldCharType="separate"/>
        </w:r>
        <w:r w:rsidR="005546A0">
          <w:rPr>
            <w:webHidden/>
          </w:rPr>
          <w:t>191</w:t>
        </w:r>
        <w:r>
          <w:rPr>
            <w:webHidden/>
          </w:rPr>
          <w:fldChar w:fldCharType="end"/>
        </w:r>
      </w:hyperlink>
    </w:p>
    <w:p w:rsidR="00485094" w:rsidRPr="003A4461" w:rsidRDefault="00B2471C" w:rsidP="00C33E69">
      <w:pPr>
        <w:pStyle w:val="Bodytextreduced"/>
      </w:pPr>
      <w:r>
        <w:rPr>
          <w:rFonts w:cs="Arial"/>
          <w:i/>
          <w:sz w:val="22"/>
          <w:szCs w:val="22"/>
        </w:rPr>
        <w:fldChar w:fldCharType="end"/>
      </w:r>
    </w:p>
    <w:p w:rsidR="00485094" w:rsidRPr="003E1F65" w:rsidRDefault="00485094" w:rsidP="001C760A">
      <w:pPr>
        <w:pStyle w:val="BlockText"/>
        <w:jc w:val="center"/>
        <w:rPr>
          <w:rFonts w:ascii="Arial" w:hAnsi="Arial" w:cs="Arial"/>
          <w:b/>
          <w:sz w:val="28"/>
          <w:szCs w:val="28"/>
        </w:rPr>
      </w:pPr>
      <w:r w:rsidRPr="003E1F65">
        <w:rPr>
          <w:rFonts w:ascii="Arial" w:hAnsi="Arial" w:cs="Arial"/>
          <w:b/>
          <w:sz w:val="28"/>
          <w:szCs w:val="28"/>
        </w:rPr>
        <w:t>List of Tables</w:t>
      </w:r>
    </w:p>
    <w:p w:rsidR="00485094" w:rsidRPr="003A4461" w:rsidRDefault="00485094" w:rsidP="00A553DE">
      <w:pPr>
        <w:pStyle w:val="Bodytextreduced"/>
      </w:pPr>
    </w:p>
    <w:p w:rsidR="00690317" w:rsidRDefault="00B2471C">
      <w:pPr>
        <w:pStyle w:val="TableofFigures"/>
        <w:rPr>
          <w:rFonts w:asciiTheme="minorHAnsi" w:eastAsiaTheme="minorEastAsia" w:hAnsiTheme="minorHAnsi" w:cstheme="minorBidi"/>
          <w:b w:val="0"/>
          <w:bCs w:val="0"/>
          <w:i w:val="0"/>
        </w:rPr>
      </w:pPr>
      <w:r w:rsidRPr="00B2471C">
        <w:rPr>
          <w:rFonts w:cs="Arial"/>
        </w:rPr>
        <w:fldChar w:fldCharType="begin"/>
      </w:r>
      <w:r w:rsidR="00485094">
        <w:rPr>
          <w:rFonts w:cs="Arial"/>
        </w:rPr>
        <w:instrText xml:space="preserve"> TOC \h \z \t "Table heading" \c </w:instrText>
      </w:r>
      <w:r w:rsidRPr="00B2471C">
        <w:rPr>
          <w:rFonts w:cs="Arial"/>
        </w:rPr>
        <w:fldChar w:fldCharType="separate"/>
      </w:r>
      <w:hyperlink w:anchor="_Toc271889813" w:history="1">
        <w:r w:rsidR="00690317" w:rsidRPr="00766CC6">
          <w:rPr>
            <w:rStyle w:val="Hyperlink"/>
          </w:rPr>
          <w:t>Table 2.1.  Florida Atlas</w:t>
        </w:r>
        <w:r w:rsidR="00690317">
          <w:rPr>
            <w:webHidden/>
          </w:rPr>
          <w:tab/>
        </w:r>
        <w:r>
          <w:rPr>
            <w:webHidden/>
          </w:rPr>
          <w:fldChar w:fldCharType="begin"/>
        </w:r>
        <w:r w:rsidR="00690317">
          <w:rPr>
            <w:webHidden/>
          </w:rPr>
          <w:instrText xml:space="preserve"> PAGEREF _Toc271889813 \h </w:instrText>
        </w:r>
        <w:r>
          <w:rPr>
            <w:webHidden/>
          </w:rPr>
        </w:r>
        <w:r>
          <w:rPr>
            <w:webHidden/>
          </w:rPr>
          <w:fldChar w:fldCharType="separate"/>
        </w:r>
        <w:r w:rsidR="005546A0">
          <w:rPr>
            <w:webHidden/>
          </w:rPr>
          <w:t>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4" w:history="1">
        <w:r w:rsidR="00690317" w:rsidRPr="00766CC6">
          <w:rPr>
            <w:rStyle w:val="Hyperlink"/>
          </w:rPr>
          <w:t>Table 4.1a.  FDEP's Tier I Monitoring Programs</w:t>
        </w:r>
        <w:r w:rsidR="00690317">
          <w:rPr>
            <w:webHidden/>
          </w:rPr>
          <w:tab/>
        </w:r>
        <w:r>
          <w:rPr>
            <w:webHidden/>
          </w:rPr>
          <w:fldChar w:fldCharType="begin"/>
        </w:r>
        <w:r w:rsidR="00690317">
          <w:rPr>
            <w:webHidden/>
          </w:rPr>
          <w:instrText xml:space="preserve"> PAGEREF _Toc271889814 \h </w:instrText>
        </w:r>
        <w:r>
          <w:rPr>
            <w:webHidden/>
          </w:rPr>
        </w:r>
        <w:r>
          <w:rPr>
            <w:webHidden/>
          </w:rPr>
          <w:fldChar w:fldCharType="separate"/>
        </w:r>
        <w:r w:rsidR="005546A0">
          <w:rPr>
            <w:webHidden/>
          </w:rPr>
          <w:t>34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5" w:history="1">
        <w:r w:rsidR="00690317" w:rsidRPr="00766CC6">
          <w:rPr>
            <w:rStyle w:val="Hyperlink"/>
          </w:rPr>
          <w:t>Table 4.1b.  FDEP's Tier I and Tier II Blended Monitoring Programs</w:t>
        </w:r>
        <w:r w:rsidR="00690317">
          <w:rPr>
            <w:webHidden/>
          </w:rPr>
          <w:tab/>
        </w:r>
        <w:r>
          <w:rPr>
            <w:webHidden/>
          </w:rPr>
          <w:fldChar w:fldCharType="begin"/>
        </w:r>
        <w:r w:rsidR="00690317">
          <w:rPr>
            <w:webHidden/>
          </w:rPr>
          <w:instrText xml:space="preserve"> PAGEREF _Toc271889815 \h </w:instrText>
        </w:r>
        <w:r>
          <w:rPr>
            <w:webHidden/>
          </w:rPr>
        </w:r>
        <w:r>
          <w:rPr>
            <w:webHidden/>
          </w:rPr>
          <w:fldChar w:fldCharType="separate"/>
        </w:r>
        <w:r w:rsidR="005546A0">
          <w:rPr>
            <w:webHidden/>
          </w:rPr>
          <w:t>34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6" w:history="1">
        <w:r w:rsidR="00690317" w:rsidRPr="00766CC6">
          <w:rPr>
            <w:rStyle w:val="Hyperlink"/>
          </w:rPr>
          <w:t>Table 4.1c.  FDEP's Tier II Monitoring Programs</w:t>
        </w:r>
        <w:r w:rsidR="00690317">
          <w:rPr>
            <w:webHidden/>
          </w:rPr>
          <w:tab/>
        </w:r>
        <w:r>
          <w:rPr>
            <w:webHidden/>
          </w:rPr>
          <w:fldChar w:fldCharType="begin"/>
        </w:r>
        <w:r w:rsidR="00690317">
          <w:rPr>
            <w:webHidden/>
          </w:rPr>
          <w:instrText xml:space="preserve"> PAGEREF _Toc271889816 \h </w:instrText>
        </w:r>
        <w:r>
          <w:rPr>
            <w:webHidden/>
          </w:rPr>
        </w:r>
        <w:r>
          <w:rPr>
            <w:webHidden/>
          </w:rPr>
          <w:fldChar w:fldCharType="separate"/>
        </w:r>
        <w:r w:rsidR="005546A0">
          <w:rPr>
            <w:webHidden/>
          </w:rPr>
          <w:t>34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7" w:history="1">
        <w:r w:rsidR="00690317" w:rsidRPr="00766CC6">
          <w:rPr>
            <w:rStyle w:val="Hyperlink"/>
          </w:rPr>
          <w:t>Table 4.1d.  FDEP's Tier III Monitoring Programs</w:t>
        </w:r>
        <w:r w:rsidR="00690317">
          <w:rPr>
            <w:webHidden/>
          </w:rPr>
          <w:tab/>
        </w:r>
        <w:r>
          <w:rPr>
            <w:webHidden/>
          </w:rPr>
          <w:fldChar w:fldCharType="begin"/>
        </w:r>
        <w:r w:rsidR="00690317">
          <w:rPr>
            <w:webHidden/>
          </w:rPr>
          <w:instrText xml:space="preserve"> PAGEREF _Toc271889817 \h </w:instrText>
        </w:r>
        <w:r>
          <w:rPr>
            <w:webHidden/>
          </w:rPr>
        </w:r>
        <w:r>
          <w:rPr>
            <w:webHidden/>
          </w:rPr>
          <w:fldChar w:fldCharType="separate"/>
        </w:r>
        <w:r w:rsidR="005546A0">
          <w:rPr>
            <w:webHidden/>
          </w:rPr>
          <w:t>34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8" w:history="1">
        <w:r w:rsidR="00690317" w:rsidRPr="00766CC6">
          <w:rPr>
            <w:rStyle w:val="Hyperlink"/>
          </w:rPr>
          <w:t>Table 5.1.  Basin Groups for Implementing the 2004–08 Statewide Assessment</w:t>
        </w:r>
        <w:r w:rsidR="00690317">
          <w:rPr>
            <w:webHidden/>
          </w:rPr>
          <w:tab/>
        </w:r>
        <w:r>
          <w:rPr>
            <w:webHidden/>
          </w:rPr>
          <w:fldChar w:fldCharType="begin"/>
        </w:r>
        <w:r w:rsidR="00690317">
          <w:rPr>
            <w:webHidden/>
          </w:rPr>
          <w:instrText xml:space="preserve"> PAGEREF _Toc271889818 \h </w:instrText>
        </w:r>
        <w:r>
          <w:rPr>
            <w:webHidden/>
          </w:rPr>
        </w:r>
        <w:r>
          <w:rPr>
            <w:webHidden/>
          </w:rPr>
          <w:fldChar w:fldCharType="separate"/>
        </w:r>
        <w:r w:rsidR="005546A0">
          <w:rPr>
            <w:webHidden/>
          </w:rPr>
          <w:t>40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19" w:history="1">
        <w:r w:rsidR="00690317" w:rsidRPr="00766CC6">
          <w:rPr>
            <w:rStyle w:val="Hyperlink"/>
          </w:rPr>
          <w:t>Table 5.2a.  Status Network Core and Supplemental Indicators for Field Measurements</w:t>
        </w:r>
        <w:r w:rsidR="00690317">
          <w:rPr>
            <w:webHidden/>
          </w:rPr>
          <w:tab/>
        </w:r>
        <w:r>
          <w:rPr>
            <w:webHidden/>
          </w:rPr>
          <w:fldChar w:fldCharType="begin"/>
        </w:r>
        <w:r w:rsidR="00690317">
          <w:rPr>
            <w:webHidden/>
          </w:rPr>
          <w:instrText xml:space="preserve"> PAGEREF _Toc271889819 \h </w:instrText>
        </w:r>
        <w:r>
          <w:rPr>
            <w:webHidden/>
          </w:rPr>
        </w:r>
        <w:r>
          <w:rPr>
            <w:webHidden/>
          </w:rPr>
          <w:fldChar w:fldCharType="separate"/>
        </w:r>
        <w:r w:rsidR="005546A0">
          <w:rPr>
            <w:webHidden/>
          </w:rPr>
          <w:t>43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0" w:history="1">
        <w:r w:rsidR="00690317" w:rsidRPr="00766CC6">
          <w:rPr>
            <w:rStyle w:val="Hyperlink"/>
          </w:rPr>
          <w:t>Table 5.2b.  Status Network Core and Supplemental Indicators for Biological and Microbiological Indicators</w:t>
        </w:r>
        <w:r w:rsidR="00690317">
          <w:rPr>
            <w:webHidden/>
          </w:rPr>
          <w:tab/>
        </w:r>
        <w:r>
          <w:rPr>
            <w:webHidden/>
          </w:rPr>
          <w:fldChar w:fldCharType="begin"/>
        </w:r>
        <w:r w:rsidR="00690317">
          <w:rPr>
            <w:webHidden/>
          </w:rPr>
          <w:instrText xml:space="preserve"> PAGEREF _Toc271889820 \h </w:instrText>
        </w:r>
        <w:r>
          <w:rPr>
            <w:webHidden/>
          </w:rPr>
        </w:r>
        <w:r>
          <w:rPr>
            <w:webHidden/>
          </w:rPr>
          <w:fldChar w:fldCharType="separate"/>
        </w:r>
        <w:r w:rsidR="005546A0">
          <w:rPr>
            <w:webHidden/>
          </w:rPr>
          <w:t>44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1" w:history="1">
        <w:r w:rsidR="00690317" w:rsidRPr="00766CC6">
          <w:rPr>
            <w:rStyle w:val="Hyperlink"/>
          </w:rPr>
          <w:t>Table 5.2c.  Status Network Core and Supplemental Indicators for Organic and Nutrient Indicators</w:t>
        </w:r>
        <w:r w:rsidR="00690317">
          <w:rPr>
            <w:webHidden/>
          </w:rPr>
          <w:tab/>
        </w:r>
        <w:r>
          <w:rPr>
            <w:webHidden/>
          </w:rPr>
          <w:fldChar w:fldCharType="begin"/>
        </w:r>
        <w:r w:rsidR="00690317">
          <w:rPr>
            <w:webHidden/>
          </w:rPr>
          <w:instrText xml:space="preserve"> PAGEREF _Toc271889821 \h </w:instrText>
        </w:r>
        <w:r>
          <w:rPr>
            <w:webHidden/>
          </w:rPr>
        </w:r>
        <w:r>
          <w:rPr>
            <w:webHidden/>
          </w:rPr>
          <w:fldChar w:fldCharType="separate"/>
        </w:r>
        <w:r w:rsidR="005546A0">
          <w:rPr>
            <w:webHidden/>
          </w:rPr>
          <w:t>44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2" w:history="1">
        <w:r w:rsidR="00690317" w:rsidRPr="00766CC6">
          <w:rPr>
            <w:rStyle w:val="Hyperlink"/>
          </w:rPr>
          <w:t>Table 5.2d.  Status Network Core and Supplemental Indicators for Major Ion Indicators</w:t>
        </w:r>
        <w:r w:rsidR="00690317">
          <w:rPr>
            <w:webHidden/>
          </w:rPr>
          <w:tab/>
        </w:r>
        <w:r>
          <w:rPr>
            <w:webHidden/>
          </w:rPr>
          <w:fldChar w:fldCharType="begin"/>
        </w:r>
        <w:r w:rsidR="00690317">
          <w:rPr>
            <w:webHidden/>
          </w:rPr>
          <w:instrText xml:space="preserve"> PAGEREF _Toc271889822 \h </w:instrText>
        </w:r>
        <w:r>
          <w:rPr>
            <w:webHidden/>
          </w:rPr>
        </w:r>
        <w:r>
          <w:rPr>
            <w:webHidden/>
          </w:rPr>
          <w:fldChar w:fldCharType="separate"/>
        </w:r>
        <w:r w:rsidR="005546A0">
          <w:rPr>
            <w:webHidden/>
          </w:rPr>
          <w:t>44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3" w:history="1">
        <w:r w:rsidR="00690317" w:rsidRPr="00766CC6">
          <w:rPr>
            <w:rStyle w:val="Hyperlink"/>
          </w:rPr>
          <w:t>Table 5.2e.  Status Network Core and Supplemental Indicators for Metal Indicators</w:t>
        </w:r>
        <w:r w:rsidR="00690317">
          <w:rPr>
            <w:webHidden/>
          </w:rPr>
          <w:tab/>
        </w:r>
        <w:r>
          <w:rPr>
            <w:webHidden/>
          </w:rPr>
          <w:fldChar w:fldCharType="begin"/>
        </w:r>
        <w:r w:rsidR="00690317">
          <w:rPr>
            <w:webHidden/>
          </w:rPr>
          <w:instrText xml:space="preserve"> PAGEREF _Toc271889823 \h </w:instrText>
        </w:r>
        <w:r>
          <w:rPr>
            <w:webHidden/>
          </w:rPr>
        </w:r>
        <w:r>
          <w:rPr>
            <w:webHidden/>
          </w:rPr>
          <w:fldChar w:fldCharType="separate"/>
        </w:r>
        <w:r w:rsidR="005546A0">
          <w:rPr>
            <w:webHidden/>
          </w:rPr>
          <w:t>44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4" w:history="1">
        <w:r w:rsidR="00690317" w:rsidRPr="00766CC6">
          <w:rPr>
            <w:rStyle w:val="Hyperlink"/>
          </w:rPr>
          <w:t>Table 5.2f.  Status Network Core and Supplemental Indicators for Physical Property Indicators</w:t>
        </w:r>
        <w:r w:rsidR="00690317">
          <w:rPr>
            <w:webHidden/>
          </w:rPr>
          <w:tab/>
        </w:r>
        <w:r>
          <w:rPr>
            <w:webHidden/>
          </w:rPr>
          <w:fldChar w:fldCharType="begin"/>
        </w:r>
        <w:r w:rsidR="00690317">
          <w:rPr>
            <w:webHidden/>
          </w:rPr>
          <w:instrText xml:space="preserve"> PAGEREF _Toc271889824 \h </w:instrText>
        </w:r>
        <w:r>
          <w:rPr>
            <w:webHidden/>
          </w:rPr>
        </w:r>
        <w:r>
          <w:rPr>
            <w:webHidden/>
          </w:rPr>
          <w:fldChar w:fldCharType="separate"/>
        </w:r>
        <w:r w:rsidR="005546A0">
          <w:rPr>
            <w:webHidden/>
          </w:rPr>
          <w:t>45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5" w:history="1">
        <w:r w:rsidR="00690317" w:rsidRPr="00766CC6">
          <w:rPr>
            <w:rStyle w:val="Hyperlink"/>
          </w:rPr>
          <w:t>Table 5.3a.  Status Network Organic and Nutrient Indicators for Sediment Analysis in Lakes</w:t>
        </w:r>
        <w:r w:rsidR="00690317">
          <w:rPr>
            <w:webHidden/>
          </w:rPr>
          <w:tab/>
        </w:r>
        <w:r>
          <w:rPr>
            <w:webHidden/>
          </w:rPr>
          <w:fldChar w:fldCharType="begin"/>
        </w:r>
        <w:r w:rsidR="00690317">
          <w:rPr>
            <w:webHidden/>
          </w:rPr>
          <w:instrText xml:space="preserve"> PAGEREF _Toc271889825 \h </w:instrText>
        </w:r>
        <w:r>
          <w:rPr>
            <w:webHidden/>
          </w:rPr>
        </w:r>
        <w:r>
          <w:rPr>
            <w:webHidden/>
          </w:rPr>
          <w:fldChar w:fldCharType="separate"/>
        </w:r>
        <w:r w:rsidR="005546A0">
          <w:rPr>
            <w:webHidden/>
          </w:rPr>
          <w:t>45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6" w:history="1">
        <w:r w:rsidR="00690317" w:rsidRPr="00766CC6">
          <w:rPr>
            <w:rStyle w:val="Hyperlink"/>
          </w:rPr>
          <w:t>Table 5.3b.  Status Network Metal Indicators for Sediment Analysis in Lakes</w:t>
        </w:r>
        <w:r w:rsidR="00690317">
          <w:rPr>
            <w:webHidden/>
          </w:rPr>
          <w:tab/>
        </w:r>
        <w:r>
          <w:rPr>
            <w:webHidden/>
          </w:rPr>
          <w:fldChar w:fldCharType="begin"/>
        </w:r>
        <w:r w:rsidR="00690317">
          <w:rPr>
            <w:webHidden/>
          </w:rPr>
          <w:instrText xml:space="preserve"> PAGEREF _Toc271889826 \h </w:instrText>
        </w:r>
        <w:r>
          <w:rPr>
            <w:webHidden/>
          </w:rPr>
        </w:r>
        <w:r>
          <w:rPr>
            <w:webHidden/>
          </w:rPr>
          <w:fldChar w:fldCharType="separate"/>
        </w:r>
        <w:r w:rsidR="005546A0">
          <w:rPr>
            <w:webHidden/>
          </w:rPr>
          <w:t>45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7" w:history="1">
        <w:r w:rsidR="00690317" w:rsidRPr="00766CC6">
          <w:rPr>
            <w:rStyle w:val="Hyperlink"/>
          </w:rPr>
          <w:t>Table 5.3c.  Status Network Organic Indicators for Sediment Analysis in Lakes</w:t>
        </w:r>
        <w:r w:rsidR="00690317">
          <w:rPr>
            <w:webHidden/>
          </w:rPr>
          <w:tab/>
        </w:r>
        <w:r>
          <w:rPr>
            <w:webHidden/>
          </w:rPr>
          <w:fldChar w:fldCharType="begin"/>
        </w:r>
        <w:r w:rsidR="00690317">
          <w:rPr>
            <w:webHidden/>
          </w:rPr>
          <w:instrText xml:space="preserve"> PAGEREF _Toc271889827 \h </w:instrText>
        </w:r>
        <w:r>
          <w:rPr>
            <w:webHidden/>
          </w:rPr>
        </w:r>
        <w:r>
          <w:rPr>
            <w:webHidden/>
          </w:rPr>
          <w:fldChar w:fldCharType="separate"/>
        </w:r>
        <w:r w:rsidR="005546A0">
          <w:rPr>
            <w:webHidden/>
          </w:rPr>
          <w:t>45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8" w:history="1">
        <w:r w:rsidR="00690317" w:rsidRPr="00766CC6">
          <w:rPr>
            <w:rStyle w:val="Hyperlink"/>
          </w:rPr>
          <w:t>Table 5.4a.  Trend Network Field Measurement Indicators</w:t>
        </w:r>
        <w:r w:rsidR="00690317">
          <w:rPr>
            <w:webHidden/>
          </w:rPr>
          <w:tab/>
        </w:r>
        <w:r>
          <w:rPr>
            <w:webHidden/>
          </w:rPr>
          <w:fldChar w:fldCharType="begin"/>
        </w:r>
        <w:r w:rsidR="00690317">
          <w:rPr>
            <w:webHidden/>
          </w:rPr>
          <w:instrText xml:space="preserve"> PAGEREF _Toc271889828 \h </w:instrText>
        </w:r>
        <w:r>
          <w:rPr>
            <w:webHidden/>
          </w:rPr>
        </w:r>
        <w:r>
          <w:rPr>
            <w:webHidden/>
          </w:rPr>
          <w:fldChar w:fldCharType="separate"/>
        </w:r>
        <w:r w:rsidR="005546A0">
          <w:rPr>
            <w:webHidden/>
          </w:rPr>
          <w:t>48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29" w:history="1">
        <w:r w:rsidR="00690317" w:rsidRPr="00766CC6">
          <w:rPr>
            <w:rStyle w:val="Hyperlink"/>
          </w:rPr>
          <w:t>Table 5.4b.  Trend Network Biological and Microbiological Indicators</w:t>
        </w:r>
        <w:r w:rsidR="00690317">
          <w:rPr>
            <w:webHidden/>
          </w:rPr>
          <w:tab/>
        </w:r>
        <w:r>
          <w:rPr>
            <w:webHidden/>
          </w:rPr>
          <w:fldChar w:fldCharType="begin"/>
        </w:r>
        <w:r w:rsidR="00690317">
          <w:rPr>
            <w:webHidden/>
          </w:rPr>
          <w:instrText xml:space="preserve"> PAGEREF _Toc271889829 \h </w:instrText>
        </w:r>
        <w:r>
          <w:rPr>
            <w:webHidden/>
          </w:rPr>
        </w:r>
        <w:r>
          <w:rPr>
            <w:webHidden/>
          </w:rPr>
          <w:fldChar w:fldCharType="separate"/>
        </w:r>
        <w:r w:rsidR="005546A0">
          <w:rPr>
            <w:webHidden/>
          </w:rPr>
          <w:t>48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0" w:history="1">
        <w:r w:rsidR="00690317" w:rsidRPr="00766CC6">
          <w:rPr>
            <w:rStyle w:val="Hyperlink"/>
          </w:rPr>
          <w:t>Table 5.4c.  Trend Network Organic and Nutrient Indicators</w:t>
        </w:r>
        <w:r w:rsidR="00690317">
          <w:rPr>
            <w:webHidden/>
          </w:rPr>
          <w:tab/>
        </w:r>
        <w:r>
          <w:rPr>
            <w:webHidden/>
          </w:rPr>
          <w:fldChar w:fldCharType="begin"/>
        </w:r>
        <w:r w:rsidR="00690317">
          <w:rPr>
            <w:webHidden/>
          </w:rPr>
          <w:instrText xml:space="preserve"> PAGEREF _Toc271889830 \h </w:instrText>
        </w:r>
        <w:r>
          <w:rPr>
            <w:webHidden/>
          </w:rPr>
        </w:r>
        <w:r>
          <w:rPr>
            <w:webHidden/>
          </w:rPr>
          <w:fldChar w:fldCharType="separate"/>
        </w:r>
        <w:r w:rsidR="005546A0">
          <w:rPr>
            <w:webHidden/>
          </w:rPr>
          <w:t>49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1" w:history="1">
        <w:r w:rsidR="00690317" w:rsidRPr="00766CC6">
          <w:rPr>
            <w:rStyle w:val="Hyperlink"/>
          </w:rPr>
          <w:t>Table 5.4d.  Trend Network Major Ion Indicators</w:t>
        </w:r>
        <w:r w:rsidR="00690317">
          <w:rPr>
            <w:webHidden/>
          </w:rPr>
          <w:tab/>
        </w:r>
        <w:r>
          <w:rPr>
            <w:webHidden/>
          </w:rPr>
          <w:fldChar w:fldCharType="begin"/>
        </w:r>
        <w:r w:rsidR="00690317">
          <w:rPr>
            <w:webHidden/>
          </w:rPr>
          <w:instrText xml:space="preserve"> PAGEREF _Toc271889831 \h </w:instrText>
        </w:r>
        <w:r>
          <w:rPr>
            <w:webHidden/>
          </w:rPr>
        </w:r>
        <w:r>
          <w:rPr>
            <w:webHidden/>
          </w:rPr>
          <w:fldChar w:fldCharType="separate"/>
        </w:r>
        <w:r w:rsidR="005546A0">
          <w:rPr>
            <w:webHidden/>
          </w:rPr>
          <w:t>49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2" w:history="1">
        <w:r w:rsidR="00690317" w:rsidRPr="00766CC6">
          <w:rPr>
            <w:rStyle w:val="Hyperlink"/>
          </w:rPr>
          <w:t>Table 5.4e.  Trend Network Metal Indicators</w:t>
        </w:r>
        <w:r w:rsidR="00690317">
          <w:rPr>
            <w:webHidden/>
          </w:rPr>
          <w:tab/>
        </w:r>
        <w:r>
          <w:rPr>
            <w:webHidden/>
          </w:rPr>
          <w:fldChar w:fldCharType="begin"/>
        </w:r>
        <w:r w:rsidR="00690317">
          <w:rPr>
            <w:webHidden/>
          </w:rPr>
          <w:instrText xml:space="preserve"> PAGEREF _Toc271889832 \h </w:instrText>
        </w:r>
        <w:r>
          <w:rPr>
            <w:webHidden/>
          </w:rPr>
        </w:r>
        <w:r>
          <w:rPr>
            <w:webHidden/>
          </w:rPr>
          <w:fldChar w:fldCharType="separate"/>
        </w:r>
        <w:r w:rsidR="005546A0">
          <w:rPr>
            <w:webHidden/>
          </w:rPr>
          <w:t>49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3" w:history="1">
        <w:r w:rsidR="00690317" w:rsidRPr="00766CC6">
          <w:rPr>
            <w:rStyle w:val="Hyperlink"/>
          </w:rPr>
          <w:t>Table 5.4f.  Trend Network Physical Property Indicators</w:t>
        </w:r>
        <w:r w:rsidR="00690317">
          <w:rPr>
            <w:webHidden/>
          </w:rPr>
          <w:tab/>
        </w:r>
        <w:r>
          <w:rPr>
            <w:webHidden/>
          </w:rPr>
          <w:fldChar w:fldCharType="begin"/>
        </w:r>
        <w:r w:rsidR="00690317">
          <w:rPr>
            <w:webHidden/>
          </w:rPr>
          <w:instrText xml:space="preserve"> PAGEREF _Toc271889833 \h </w:instrText>
        </w:r>
        <w:r>
          <w:rPr>
            <w:webHidden/>
          </w:rPr>
        </w:r>
        <w:r>
          <w:rPr>
            <w:webHidden/>
          </w:rPr>
          <w:fldChar w:fldCharType="separate"/>
        </w:r>
        <w:r w:rsidR="005546A0">
          <w:rPr>
            <w:webHidden/>
          </w:rPr>
          <w:t>50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4" w:history="1">
        <w:r w:rsidR="00690317" w:rsidRPr="00766CC6">
          <w:rPr>
            <w:rStyle w:val="Hyperlink"/>
          </w:rPr>
          <w:t>Table 6.1.  Summary of Surface Water Resources Assessed by the Status Network’s Probabilistic Monitoring, 2004–08</w:t>
        </w:r>
        <w:r w:rsidR="00690317">
          <w:rPr>
            <w:webHidden/>
          </w:rPr>
          <w:tab/>
        </w:r>
        <w:r>
          <w:rPr>
            <w:webHidden/>
          </w:rPr>
          <w:fldChar w:fldCharType="begin"/>
        </w:r>
        <w:r w:rsidR="00690317">
          <w:rPr>
            <w:webHidden/>
          </w:rPr>
          <w:instrText xml:space="preserve"> PAGEREF _Toc271889834 \h </w:instrText>
        </w:r>
        <w:r>
          <w:rPr>
            <w:webHidden/>
          </w:rPr>
        </w:r>
        <w:r>
          <w:rPr>
            <w:webHidden/>
          </w:rPr>
          <w:fldChar w:fldCharType="separate"/>
        </w:r>
        <w:r w:rsidR="005546A0">
          <w:rPr>
            <w:webHidden/>
          </w:rPr>
          <w:t>54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5" w:history="1">
        <w:r w:rsidR="00690317" w:rsidRPr="00766CC6">
          <w:rPr>
            <w:rStyle w:val="Hyperlink"/>
          </w:rPr>
          <w:t>Table 6.2a.  Status Network Physical/Other Indicators/Index for Aquatic Life Use with Water Quality Criteria/Thresholds</w:t>
        </w:r>
        <w:r w:rsidR="00690317">
          <w:rPr>
            <w:webHidden/>
          </w:rPr>
          <w:tab/>
        </w:r>
        <w:r>
          <w:rPr>
            <w:webHidden/>
          </w:rPr>
          <w:fldChar w:fldCharType="begin"/>
        </w:r>
        <w:r w:rsidR="00690317">
          <w:rPr>
            <w:webHidden/>
          </w:rPr>
          <w:instrText xml:space="preserve"> PAGEREF _Toc271889835 \h </w:instrText>
        </w:r>
        <w:r>
          <w:rPr>
            <w:webHidden/>
          </w:rPr>
        </w:r>
        <w:r>
          <w:rPr>
            <w:webHidden/>
          </w:rPr>
          <w:fldChar w:fldCharType="separate"/>
        </w:r>
        <w:r w:rsidR="005546A0">
          <w:rPr>
            <w:webHidden/>
          </w:rPr>
          <w:t>55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6" w:history="1">
        <w:r w:rsidR="00690317" w:rsidRPr="00766CC6">
          <w:rPr>
            <w:rStyle w:val="Hyperlink"/>
          </w:rPr>
          <w:t>Table 6.2b.  Status Network Microbiological Indicators/Index for Recreation Use with Water Quality Criteria/Thresholds</w:t>
        </w:r>
        <w:r w:rsidR="00690317">
          <w:rPr>
            <w:webHidden/>
          </w:rPr>
          <w:tab/>
        </w:r>
        <w:r>
          <w:rPr>
            <w:webHidden/>
          </w:rPr>
          <w:fldChar w:fldCharType="begin"/>
        </w:r>
        <w:r w:rsidR="00690317">
          <w:rPr>
            <w:webHidden/>
          </w:rPr>
          <w:instrText xml:space="preserve"> PAGEREF _Toc271889836 \h </w:instrText>
        </w:r>
        <w:r>
          <w:rPr>
            <w:webHidden/>
          </w:rPr>
        </w:r>
        <w:r>
          <w:rPr>
            <w:webHidden/>
          </w:rPr>
          <w:fldChar w:fldCharType="separate"/>
        </w:r>
        <w:r w:rsidR="005546A0">
          <w:rPr>
            <w:webHidden/>
          </w:rPr>
          <w:t>55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7" w:history="1">
        <w:r w:rsidR="00690317" w:rsidRPr="00766CC6">
          <w:rPr>
            <w:rStyle w:val="Hyperlink"/>
          </w:rPr>
          <w:t>Table 6.2c.  FDEP Freshwater Lake Sediment Contaminant Thresholds for Metals</w:t>
        </w:r>
        <w:r w:rsidR="00690317">
          <w:rPr>
            <w:webHidden/>
          </w:rPr>
          <w:tab/>
        </w:r>
        <w:r>
          <w:rPr>
            <w:webHidden/>
          </w:rPr>
          <w:fldChar w:fldCharType="begin"/>
        </w:r>
        <w:r w:rsidR="00690317">
          <w:rPr>
            <w:webHidden/>
          </w:rPr>
          <w:instrText xml:space="preserve"> PAGEREF _Toc271889837 \h </w:instrText>
        </w:r>
        <w:r>
          <w:rPr>
            <w:webHidden/>
          </w:rPr>
        </w:r>
        <w:r>
          <w:rPr>
            <w:webHidden/>
          </w:rPr>
          <w:fldChar w:fldCharType="separate"/>
        </w:r>
        <w:r w:rsidR="005546A0">
          <w:rPr>
            <w:webHidden/>
          </w:rPr>
          <w:t>56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8" w:history="1">
        <w:r w:rsidR="00690317" w:rsidRPr="00766CC6">
          <w:rPr>
            <w:rStyle w:val="Hyperlink"/>
          </w:rPr>
          <w:t>Table 6.2d.  FDEP Freshwater Lake Sediment Contaminant Thresholds for Organic Contaminants</w:t>
        </w:r>
        <w:r w:rsidR="00690317">
          <w:rPr>
            <w:webHidden/>
          </w:rPr>
          <w:tab/>
        </w:r>
        <w:r>
          <w:rPr>
            <w:webHidden/>
          </w:rPr>
          <w:fldChar w:fldCharType="begin"/>
        </w:r>
        <w:r w:rsidR="00690317">
          <w:rPr>
            <w:webHidden/>
          </w:rPr>
          <w:instrText xml:space="preserve"> PAGEREF _Toc271889838 \h </w:instrText>
        </w:r>
        <w:r>
          <w:rPr>
            <w:webHidden/>
          </w:rPr>
        </w:r>
        <w:r>
          <w:rPr>
            <w:webHidden/>
          </w:rPr>
          <w:fldChar w:fldCharType="separate"/>
        </w:r>
        <w:r w:rsidR="005546A0">
          <w:rPr>
            <w:webHidden/>
          </w:rPr>
          <w:t>56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39" w:history="1">
        <w:r w:rsidR="00690317" w:rsidRPr="00766CC6">
          <w:rPr>
            <w:rStyle w:val="Hyperlink"/>
          </w:rPr>
          <w:t>Table 6.3a.  Legend for Terms Used in Tables 6.3b through 6.3e</w:t>
        </w:r>
        <w:r w:rsidR="00690317">
          <w:rPr>
            <w:webHidden/>
          </w:rPr>
          <w:tab/>
        </w:r>
        <w:r>
          <w:rPr>
            <w:webHidden/>
          </w:rPr>
          <w:fldChar w:fldCharType="begin"/>
        </w:r>
        <w:r w:rsidR="00690317">
          <w:rPr>
            <w:webHidden/>
          </w:rPr>
          <w:instrText xml:space="preserve"> PAGEREF _Toc271889839 \h </w:instrText>
        </w:r>
        <w:r>
          <w:rPr>
            <w:webHidden/>
          </w:rPr>
        </w:r>
        <w:r>
          <w:rPr>
            <w:webHidden/>
          </w:rPr>
          <w:fldChar w:fldCharType="separate"/>
        </w:r>
        <w:r w:rsidR="005546A0">
          <w:rPr>
            <w:webHidden/>
          </w:rPr>
          <w:t>57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0" w:history="1">
        <w:r w:rsidR="00690317" w:rsidRPr="00766CC6">
          <w:rPr>
            <w:rStyle w:val="Hyperlink"/>
          </w:rPr>
          <w:t>Table 6.3b.  Statewide Percentage of Rivers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_Toc271889840 \h </w:instrText>
        </w:r>
        <w:r>
          <w:rPr>
            <w:webHidden/>
          </w:rPr>
        </w:r>
        <w:r>
          <w:rPr>
            <w:webHidden/>
          </w:rPr>
          <w:fldChar w:fldCharType="separate"/>
        </w:r>
        <w:r w:rsidR="005546A0">
          <w:rPr>
            <w:webHidden/>
          </w:rPr>
          <w:t>60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1" w:history="1">
        <w:r w:rsidR="00690317" w:rsidRPr="00766CC6">
          <w:rPr>
            <w:rStyle w:val="Hyperlink"/>
          </w:rPr>
          <w:t>Table 6.3c.  Statewide Percentage of Streams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_Toc271889841 \h </w:instrText>
        </w:r>
        <w:r>
          <w:rPr>
            <w:webHidden/>
          </w:rPr>
        </w:r>
        <w:r>
          <w:rPr>
            <w:webHidden/>
          </w:rPr>
          <w:fldChar w:fldCharType="separate"/>
        </w:r>
        <w:r w:rsidR="005546A0">
          <w:rPr>
            <w:webHidden/>
          </w:rPr>
          <w:t>63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2" w:history="1">
        <w:r w:rsidR="00690317" w:rsidRPr="00766CC6">
          <w:rPr>
            <w:rStyle w:val="Hyperlink"/>
          </w:rPr>
          <w:t>Table 6.3d.  Statewide Percentage of Large Lakes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_Toc271889842 \h </w:instrText>
        </w:r>
        <w:r>
          <w:rPr>
            <w:webHidden/>
          </w:rPr>
        </w:r>
        <w:r>
          <w:rPr>
            <w:webHidden/>
          </w:rPr>
          <w:fldChar w:fldCharType="separate"/>
        </w:r>
        <w:r w:rsidR="005546A0">
          <w:rPr>
            <w:webHidden/>
          </w:rPr>
          <w:t>66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3" w:history="1">
        <w:r w:rsidR="00690317" w:rsidRPr="00766CC6">
          <w:rPr>
            <w:rStyle w:val="Hyperlink"/>
          </w:rPr>
          <w:t>Table 6.3e.  Statewide Percentage of Small Lakes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_Toc271889843 \h </w:instrText>
        </w:r>
        <w:r>
          <w:rPr>
            <w:webHidden/>
          </w:rPr>
        </w:r>
        <w:r>
          <w:rPr>
            <w:webHidden/>
          </w:rPr>
          <w:fldChar w:fldCharType="separate"/>
        </w:r>
        <w:r w:rsidR="005546A0">
          <w:rPr>
            <w:webHidden/>
          </w:rPr>
          <w:t>69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4" w:history="1">
        <w:r w:rsidR="00690317" w:rsidRPr="00766CC6">
          <w:rPr>
            <w:rStyle w:val="Hyperlink"/>
          </w:rPr>
          <w:t>Table 6.4a.  Statewide Percentage of Large Lakes Meeting Sediment Contaminant Threshold Values</w:t>
        </w:r>
        <w:r w:rsidR="00690317">
          <w:rPr>
            <w:webHidden/>
          </w:rPr>
          <w:tab/>
        </w:r>
        <w:r>
          <w:rPr>
            <w:webHidden/>
          </w:rPr>
          <w:fldChar w:fldCharType="begin"/>
        </w:r>
        <w:r w:rsidR="00690317">
          <w:rPr>
            <w:webHidden/>
          </w:rPr>
          <w:instrText xml:space="preserve"> PAGEREF _Toc271889844 \h </w:instrText>
        </w:r>
        <w:r>
          <w:rPr>
            <w:webHidden/>
          </w:rPr>
        </w:r>
        <w:r>
          <w:rPr>
            <w:webHidden/>
          </w:rPr>
          <w:fldChar w:fldCharType="separate"/>
        </w:r>
        <w:r w:rsidR="005546A0">
          <w:rPr>
            <w:webHidden/>
          </w:rPr>
          <w:t>73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5" w:history="1">
        <w:r w:rsidR="00690317" w:rsidRPr="00766CC6">
          <w:rPr>
            <w:rStyle w:val="Hyperlink"/>
          </w:rPr>
          <w:t>Table 6.4b.  Statewide Percentage of Small Lakes Meeting Sediment Contaminant Threshold Values</w:t>
        </w:r>
        <w:r w:rsidR="00690317">
          <w:rPr>
            <w:webHidden/>
          </w:rPr>
          <w:tab/>
        </w:r>
        <w:r>
          <w:rPr>
            <w:webHidden/>
          </w:rPr>
          <w:fldChar w:fldCharType="begin"/>
        </w:r>
        <w:r w:rsidR="00690317">
          <w:rPr>
            <w:webHidden/>
          </w:rPr>
          <w:instrText xml:space="preserve"> PAGEREF _Toc271889845 \h </w:instrText>
        </w:r>
        <w:r>
          <w:rPr>
            <w:webHidden/>
          </w:rPr>
        </w:r>
        <w:r>
          <w:rPr>
            <w:webHidden/>
          </w:rPr>
          <w:fldChar w:fldCharType="separate"/>
        </w:r>
        <w:r w:rsidR="005546A0">
          <w:rPr>
            <w:webHidden/>
          </w:rPr>
          <w:t>75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6" w:history="1">
        <w:r w:rsidR="00690317" w:rsidRPr="00766CC6">
          <w:rPr>
            <w:rStyle w:val="Hyperlink"/>
          </w:rPr>
          <w:t>Table 6.5.  Status Network Physical/Other Indicators/Index for Potable Water Supply for Ground Water with Water Quality Criteria/Thresholds</w:t>
        </w:r>
        <w:r w:rsidR="00690317">
          <w:rPr>
            <w:webHidden/>
          </w:rPr>
          <w:tab/>
        </w:r>
        <w:r>
          <w:rPr>
            <w:webHidden/>
          </w:rPr>
          <w:fldChar w:fldCharType="begin"/>
        </w:r>
        <w:r w:rsidR="00690317">
          <w:rPr>
            <w:webHidden/>
          </w:rPr>
          <w:instrText xml:space="preserve"> PAGEREF _Toc271889846 \h </w:instrText>
        </w:r>
        <w:r>
          <w:rPr>
            <w:webHidden/>
          </w:rPr>
        </w:r>
        <w:r>
          <w:rPr>
            <w:webHidden/>
          </w:rPr>
          <w:fldChar w:fldCharType="separate"/>
        </w:r>
        <w:r w:rsidR="005546A0">
          <w:rPr>
            <w:webHidden/>
          </w:rPr>
          <w:t>76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7" w:history="1">
        <w:r w:rsidR="00690317" w:rsidRPr="00766CC6">
          <w:rPr>
            <w:rStyle w:val="Hyperlink"/>
          </w:rPr>
          <w:t>Table 6.6a.  Legend for Terms Used in Tables 6.6b and 6.6c</w:t>
        </w:r>
        <w:r w:rsidR="00690317">
          <w:rPr>
            <w:webHidden/>
          </w:rPr>
          <w:tab/>
        </w:r>
        <w:r>
          <w:rPr>
            <w:webHidden/>
          </w:rPr>
          <w:fldChar w:fldCharType="begin"/>
        </w:r>
        <w:r w:rsidR="00690317">
          <w:rPr>
            <w:webHidden/>
          </w:rPr>
          <w:instrText xml:space="preserve"> PAGEREF _Toc271889847 \h </w:instrText>
        </w:r>
        <w:r>
          <w:rPr>
            <w:webHidden/>
          </w:rPr>
        </w:r>
        <w:r>
          <w:rPr>
            <w:webHidden/>
          </w:rPr>
          <w:fldChar w:fldCharType="separate"/>
        </w:r>
        <w:r w:rsidR="005546A0">
          <w:rPr>
            <w:webHidden/>
          </w:rPr>
          <w:t>77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8" w:history="1">
        <w:r w:rsidR="00690317" w:rsidRPr="00766CC6">
          <w:rPr>
            <w:rStyle w:val="Hyperlink"/>
          </w:rPr>
          <w:t>Table 6.6b.  Statewide Percentage of Confined Aquifers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_Toc271889848 \h </w:instrText>
        </w:r>
        <w:r>
          <w:rPr>
            <w:webHidden/>
          </w:rPr>
        </w:r>
        <w:r>
          <w:rPr>
            <w:webHidden/>
          </w:rPr>
          <w:fldChar w:fldCharType="separate"/>
        </w:r>
        <w:r w:rsidR="005546A0">
          <w:rPr>
            <w:webHidden/>
          </w:rPr>
          <w:t>80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49" w:history="1">
        <w:r w:rsidR="00690317" w:rsidRPr="00766CC6">
          <w:rPr>
            <w:rStyle w:val="Hyperlink"/>
          </w:rPr>
          <w:t>Table 6.6c.  Statewide Percentage of Unconfined Aquifers Meeting Threshold Values for Indicators Calculated Using Probabilistic Monitoring Design</w:t>
        </w:r>
        <w:r w:rsidR="00690317">
          <w:rPr>
            <w:webHidden/>
          </w:rPr>
          <w:tab/>
        </w:r>
        <w:r>
          <w:rPr>
            <w:webHidden/>
          </w:rPr>
          <w:fldChar w:fldCharType="begin"/>
        </w:r>
        <w:r w:rsidR="00690317">
          <w:rPr>
            <w:webHidden/>
          </w:rPr>
          <w:instrText xml:space="preserve"> PAGEREF _Toc271889849 \h </w:instrText>
        </w:r>
        <w:r>
          <w:rPr>
            <w:webHidden/>
          </w:rPr>
        </w:r>
        <w:r>
          <w:rPr>
            <w:webHidden/>
          </w:rPr>
          <w:fldChar w:fldCharType="separate"/>
        </w:r>
        <w:r w:rsidR="005546A0">
          <w:rPr>
            <w:webHidden/>
          </w:rPr>
          <w:t>84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0" w:history="1">
        <w:r w:rsidR="00690317" w:rsidRPr="00766CC6">
          <w:rPr>
            <w:rStyle w:val="Hyperlink"/>
          </w:rPr>
          <w:t>Table 6.7a.  Percentage of Combined Rivers and Streams Resource Meeting Threshold Values for Statewide Assessment for Cycles 1 and 2</w:t>
        </w:r>
        <w:r w:rsidR="00690317">
          <w:rPr>
            <w:webHidden/>
          </w:rPr>
          <w:tab/>
        </w:r>
        <w:r>
          <w:rPr>
            <w:webHidden/>
          </w:rPr>
          <w:fldChar w:fldCharType="begin"/>
        </w:r>
        <w:r w:rsidR="00690317">
          <w:rPr>
            <w:webHidden/>
          </w:rPr>
          <w:instrText xml:space="preserve"> PAGEREF _Toc271889850 \h </w:instrText>
        </w:r>
        <w:r>
          <w:rPr>
            <w:webHidden/>
          </w:rPr>
        </w:r>
        <w:r>
          <w:rPr>
            <w:webHidden/>
          </w:rPr>
          <w:fldChar w:fldCharType="separate"/>
        </w:r>
        <w:r w:rsidR="005546A0">
          <w:rPr>
            <w:webHidden/>
          </w:rPr>
          <w:t>86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1" w:history="1">
        <w:r w:rsidR="00690317" w:rsidRPr="00766CC6">
          <w:rPr>
            <w:rStyle w:val="Hyperlink"/>
          </w:rPr>
          <w:t>Table 6.7b.  Percentage of Small Lakes Resource Meeting Threshold Values for Statewide Assessment for Cycles 1 and 2</w:t>
        </w:r>
        <w:r w:rsidR="00690317">
          <w:rPr>
            <w:webHidden/>
          </w:rPr>
          <w:tab/>
        </w:r>
        <w:r>
          <w:rPr>
            <w:webHidden/>
          </w:rPr>
          <w:fldChar w:fldCharType="begin"/>
        </w:r>
        <w:r w:rsidR="00690317">
          <w:rPr>
            <w:webHidden/>
          </w:rPr>
          <w:instrText xml:space="preserve"> PAGEREF _Toc271889851 \h </w:instrText>
        </w:r>
        <w:r>
          <w:rPr>
            <w:webHidden/>
          </w:rPr>
        </w:r>
        <w:r>
          <w:rPr>
            <w:webHidden/>
          </w:rPr>
          <w:fldChar w:fldCharType="separate"/>
        </w:r>
        <w:r w:rsidR="005546A0">
          <w:rPr>
            <w:webHidden/>
          </w:rPr>
          <w:t>87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2" w:history="1">
        <w:r w:rsidR="00690317" w:rsidRPr="00766CC6">
          <w:rPr>
            <w:rStyle w:val="Hyperlink"/>
          </w:rPr>
          <w:t>Table 6.7c.  Percentage of Large Lakes Resource Meeting Threshold Values for Statewide Assessment for Cycles 1 and 2</w:t>
        </w:r>
        <w:r w:rsidR="00690317">
          <w:rPr>
            <w:webHidden/>
          </w:rPr>
          <w:tab/>
        </w:r>
        <w:r>
          <w:rPr>
            <w:webHidden/>
          </w:rPr>
          <w:fldChar w:fldCharType="begin"/>
        </w:r>
        <w:r w:rsidR="00690317">
          <w:rPr>
            <w:webHidden/>
          </w:rPr>
          <w:instrText xml:space="preserve"> PAGEREF _Toc271889852 \h </w:instrText>
        </w:r>
        <w:r>
          <w:rPr>
            <w:webHidden/>
          </w:rPr>
        </w:r>
        <w:r>
          <w:rPr>
            <w:webHidden/>
          </w:rPr>
          <w:fldChar w:fldCharType="separate"/>
        </w:r>
        <w:r w:rsidR="005546A0">
          <w:rPr>
            <w:webHidden/>
          </w:rPr>
          <w:t>87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3" w:history="1">
        <w:r w:rsidR="00690317" w:rsidRPr="00766CC6">
          <w:rPr>
            <w:rStyle w:val="Hyperlink"/>
          </w:rPr>
          <w:t>Table 6.8a.  Trends for Specified Analytes for Surface Water Trend Network Stations that Are Associated with a USGS Gauging Station and Adjusted for River Flow</w:t>
        </w:r>
        <w:r w:rsidR="00690317">
          <w:rPr>
            <w:webHidden/>
          </w:rPr>
          <w:tab/>
        </w:r>
        <w:r>
          <w:rPr>
            <w:webHidden/>
          </w:rPr>
          <w:fldChar w:fldCharType="begin"/>
        </w:r>
        <w:r w:rsidR="00690317">
          <w:rPr>
            <w:webHidden/>
          </w:rPr>
          <w:instrText xml:space="preserve"> PAGEREF _Toc271889853 \h </w:instrText>
        </w:r>
        <w:r>
          <w:rPr>
            <w:webHidden/>
          </w:rPr>
        </w:r>
        <w:r>
          <w:rPr>
            <w:webHidden/>
          </w:rPr>
          <w:fldChar w:fldCharType="separate"/>
        </w:r>
        <w:r w:rsidR="005546A0">
          <w:rPr>
            <w:webHidden/>
          </w:rPr>
          <w:t>88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4" w:history="1">
        <w:r w:rsidR="00690317" w:rsidRPr="00766CC6">
          <w:rPr>
            <w:rStyle w:val="Hyperlink"/>
          </w:rPr>
          <w:t>Table 6.8b.  Trends for Specified Analytes for Surface Water Stations from the Trend Network and not Adjusted for River Flow</w:t>
        </w:r>
        <w:r w:rsidR="00690317">
          <w:rPr>
            <w:webHidden/>
          </w:rPr>
          <w:tab/>
        </w:r>
        <w:r>
          <w:rPr>
            <w:webHidden/>
          </w:rPr>
          <w:fldChar w:fldCharType="begin"/>
        </w:r>
        <w:r w:rsidR="00690317">
          <w:rPr>
            <w:webHidden/>
          </w:rPr>
          <w:instrText xml:space="preserve"> PAGEREF _Toc271889854 \h </w:instrText>
        </w:r>
        <w:r>
          <w:rPr>
            <w:webHidden/>
          </w:rPr>
        </w:r>
        <w:r>
          <w:rPr>
            <w:webHidden/>
          </w:rPr>
          <w:fldChar w:fldCharType="separate"/>
        </w:r>
        <w:r w:rsidR="005546A0">
          <w:rPr>
            <w:webHidden/>
          </w:rPr>
          <w:t>89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5" w:history="1">
        <w:r w:rsidR="00690317" w:rsidRPr="00766CC6">
          <w:rPr>
            <w:rStyle w:val="Hyperlink"/>
          </w:rPr>
          <w:t>Table 6.9a.  Legend for the Acronyms and Abbreviations Used in Tables 6.9b and 6.9c</w:t>
        </w:r>
        <w:r w:rsidR="00690317">
          <w:rPr>
            <w:webHidden/>
          </w:rPr>
          <w:tab/>
        </w:r>
        <w:r>
          <w:rPr>
            <w:webHidden/>
          </w:rPr>
          <w:fldChar w:fldCharType="begin"/>
        </w:r>
        <w:r w:rsidR="00690317">
          <w:rPr>
            <w:webHidden/>
          </w:rPr>
          <w:instrText xml:space="preserve"> PAGEREF _Toc271889855 \h </w:instrText>
        </w:r>
        <w:r>
          <w:rPr>
            <w:webHidden/>
          </w:rPr>
        </w:r>
        <w:r>
          <w:rPr>
            <w:webHidden/>
          </w:rPr>
          <w:fldChar w:fldCharType="separate"/>
        </w:r>
        <w:r w:rsidR="005546A0">
          <w:rPr>
            <w:webHidden/>
          </w:rPr>
          <w:t>97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6" w:history="1">
        <w:r w:rsidR="00690317" w:rsidRPr="00766CC6">
          <w:rPr>
            <w:rStyle w:val="Hyperlink"/>
          </w:rPr>
          <w:t>Table 6.9b.  Trends for Specified Analytes for Stations in the Ground Water Trend Monitoring Network, Confined Aquifers</w:t>
        </w:r>
        <w:r w:rsidR="00690317">
          <w:rPr>
            <w:webHidden/>
          </w:rPr>
          <w:tab/>
        </w:r>
        <w:r>
          <w:rPr>
            <w:webHidden/>
          </w:rPr>
          <w:fldChar w:fldCharType="begin"/>
        </w:r>
        <w:r w:rsidR="00690317">
          <w:rPr>
            <w:webHidden/>
          </w:rPr>
          <w:instrText xml:space="preserve"> PAGEREF _Toc271889856 \h </w:instrText>
        </w:r>
        <w:r>
          <w:rPr>
            <w:webHidden/>
          </w:rPr>
        </w:r>
        <w:r>
          <w:rPr>
            <w:webHidden/>
          </w:rPr>
          <w:fldChar w:fldCharType="separate"/>
        </w:r>
        <w:r w:rsidR="005546A0">
          <w:rPr>
            <w:webHidden/>
          </w:rPr>
          <w:t>98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7" w:history="1">
        <w:r w:rsidR="00690317" w:rsidRPr="00766CC6">
          <w:rPr>
            <w:rStyle w:val="Hyperlink"/>
          </w:rPr>
          <w:t>Table 6.9c.  Trends for Specified Analytes for Stations in the Ground Water Trend Monitoring Network, Unconfined Aquifers</w:t>
        </w:r>
        <w:r w:rsidR="00690317">
          <w:rPr>
            <w:webHidden/>
          </w:rPr>
          <w:tab/>
        </w:r>
        <w:r>
          <w:rPr>
            <w:webHidden/>
          </w:rPr>
          <w:fldChar w:fldCharType="begin"/>
        </w:r>
        <w:r w:rsidR="00690317">
          <w:rPr>
            <w:webHidden/>
          </w:rPr>
          <w:instrText xml:space="preserve"> PAGEREF _Toc271889857 \h </w:instrText>
        </w:r>
        <w:r>
          <w:rPr>
            <w:webHidden/>
          </w:rPr>
        </w:r>
        <w:r>
          <w:rPr>
            <w:webHidden/>
          </w:rPr>
          <w:fldChar w:fldCharType="separate"/>
        </w:r>
        <w:r w:rsidR="005546A0">
          <w:rPr>
            <w:webHidden/>
          </w:rPr>
          <w:t>99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8" w:history="1">
        <w:r w:rsidR="00690317" w:rsidRPr="00766CC6">
          <w:rPr>
            <w:rStyle w:val="Hyperlink"/>
          </w:rPr>
          <w:t>Table 7.1.  Categories for Waterbodies or Waterbody Segments in the 2010 Integrated Report</w:t>
        </w:r>
        <w:r w:rsidR="00690317">
          <w:rPr>
            <w:webHidden/>
          </w:rPr>
          <w:tab/>
        </w:r>
        <w:r>
          <w:rPr>
            <w:webHidden/>
          </w:rPr>
          <w:fldChar w:fldCharType="begin"/>
        </w:r>
        <w:r w:rsidR="00690317">
          <w:rPr>
            <w:webHidden/>
          </w:rPr>
          <w:instrText xml:space="preserve"> PAGEREF _Toc271889858 \h </w:instrText>
        </w:r>
        <w:r>
          <w:rPr>
            <w:webHidden/>
          </w:rPr>
        </w:r>
        <w:r>
          <w:rPr>
            <w:webHidden/>
          </w:rPr>
          <w:fldChar w:fldCharType="separate"/>
        </w:r>
        <w:r w:rsidR="005546A0">
          <w:rPr>
            <w:webHidden/>
          </w:rPr>
          <w:t>117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59" w:history="1">
        <w:r w:rsidR="00690317" w:rsidRPr="00766CC6">
          <w:rPr>
            <w:rStyle w:val="Hyperlink"/>
          </w:rPr>
          <w:t>Table 7.2.  Basin Groups for Implementing the Watershed Management Cycle, by FDEP District Office</w:t>
        </w:r>
        <w:r w:rsidR="00690317">
          <w:rPr>
            <w:webHidden/>
          </w:rPr>
          <w:tab/>
        </w:r>
        <w:r>
          <w:rPr>
            <w:webHidden/>
          </w:rPr>
          <w:fldChar w:fldCharType="begin"/>
        </w:r>
        <w:r w:rsidR="00690317">
          <w:rPr>
            <w:webHidden/>
          </w:rPr>
          <w:instrText xml:space="preserve"> PAGEREF _Toc271889859 \h </w:instrText>
        </w:r>
        <w:r>
          <w:rPr>
            <w:webHidden/>
          </w:rPr>
        </w:r>
        <w:r>
          <w:rPr>
            <w:webHidden/>
          </w:rPr>
          <w:fldChar w:fldCharType="separate"/>
        </w:r>
        <w:r w:rsidR="005546A0">
          <w:rPr>
            <w:webHidden/>
          </w:rPr>
          <w:t>119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0" w:history="1">
        <w:r w:rsidR="00690317" w:rsidRPr="00766CC6">
          <w:rPr>
            <w:rStyle w:val="Hyperlink"/>
          </w:rPr>
          <w:t>Table 7.3.  Basin Rotation Schedule for TMDL Development and Implementation</w:t>
        </w:r>
        <w:r w:rsidR="00690317">
          <w:rPr>
            <w:webHidden/>
          </w:rPr>
          <w:tab/>
        </w:r>
        <w:r>
          <w:rPr>
            <w:webHidden/>
          </w:rPr>
          <w:fldChar w:fldCharType="begin"/>
        </w:r>
        <w:r w:rsidR="00690317">
          <w:rPr>
            <w:webHidden/>
          </w:rPr>
          <w:instrText xml:space="preserve"> PAGEREF _Toc271889860 \h </w:instrText>
        </w:r>
        <w:r>
          <w:rPr>
            <w:webHidden/>
          </w:rPr>
        </w:r>
        <w:r>
          <w:rPr>
            <w:webHidden/>
          </w:rPr>
          <w:fldChar w:fldCharType="separate"/>
        </w:r>
        <w:r w:rsidR="005546A0">
          <w:rPr>
            <w:webHidden/>
          </w:rPr>
          <w:t>119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1" w:history="1">
        <w:r w:rsidR="00690317" w:rsidRPr="00766CC6">
          <w:rPr>
            <w:rStyle w:val="Hyperlink"/>
          </w:rPr>
          <w:t>Table 7.4.  Designated Use Attainment Categories for Surface Waters in Florida</w:t>
        </w:r>
        <w:r w:rsidR="00690317">
          <w:rPr>
            <w:webHidden/>
          </w:rPr>
          <w:tab/>
        </w:r>
        <w:r>
          <w:rPr>
            <w:webHidden/>
          </w:rPr>
          <w:fldChar w:fldCharType="begin"/>
        </w:r>
        <w:r w:rsidR="00690317">
          <w:rPr>
            <w:webHidden/>
          </w:rPr>
          <w:instrText xml:space="preserve"> PAGEREF _Toc271889861 \h </w:instrText>
        </w:r>
        <w:r>
          <w:rPr>
            <w:webHidden/>
          </w:rPr>
        </w:r>
        <w:r>
          <w:rPr>
            <w:webHidden/>
          </w:rPr>
          <w:fldChar w:fldCharType="separate"/>
        </w:r>
        <w:r w:rsidR="005546A0">
          <w:rPr>
            <w:webHidden/>
          </w:rPr>
          <w:t>120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2" w:history="1">
        <w:r w:rsidR="00690317" w:rsidRPr="00766CC6">
          <w:rPr>
            <w:rStyle w:val="Hyperlink"/>
          </w:rPr>
          <w:t>Table 7.5.  Data Used in Developing the Planning and Verified Lists for the Basin Rotation Cycles</w:t>
        </w:r>
        <w:r w:rsidR="00690317">
          <w:rPr>
            <w:webHidden/>
          </w:rPr>
          <w:tab/>
        </w:r>
        <w:r>
          <w:rPr>
            <w:webHidden/>
          </w:rPr>
          <w:fldChar w:fldCharType="begin"/>
        </w:r>
        <w:r w:rsidR="00690317">
          <w:rPr>
            <w:webHidden/>
          </w:rPr>
          <w:instrText xml:space="preserve"> PAGEREF _Toc271889862 \h </w:instrText>
        </w:r>
        <w:r>
          <w:rPr>
            <w:webHidden/>
          </w:rPr>
        </w:r>
        <w:r>
          <w:rPr>
            <w:webHidden/>
          </w:rPr>
          <w:fldChar w:fldCharType="separate"/>
        </w:r>
        <w:r w:rsidR="005546A0">
          <w:rPr>
            <w:webHidden/>
          </w:rPr>
          <w:t>123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3" w:history="1">
        <w:r w:rsidR="00690317" w:rsidRPr="00766CC6">
          <w:rPr>
            <w:rStyle w:val="Hyperlink"/>
          </w:rPr>
          <w:t>Table 8.1.  Waters Assessed for the Statewide Basin Assessments, by Waterbody Type</w:t>
        </w:r>
        <w:r w:rsidR="00690317">
          <w:rPr>
            <w:webHidden/>
          </w:rPr>
          <w:tab/>
        </w:r>
        <w:r>
          <w:rPr>
            <w:webHidden/>
          </w:rPr>
          <w:fldChar w:fldCharType="begin"/>
        </w:r>
        <w:r w:rsidR="00690317">
          <w:rPr>
            <w:webHidden/>
          </w:rPr>
          <w:instrText xml:space="preserve"> PAGEREF _Toc271889863 \h </w:instrText>
        </w:r>
        <w:r>
          <w:rPr>
            <w:webHidden/>
          </w:rPr>
        </w:r>
        <w:r>
          <w:rPr>
            <w:webHidden/>
          </w:rPr>
          <w:fldChar w:fldCharType="separate"/>
        </w:r>
        <w:r w:rsidR="005546A0">
          <w:rPr>
            <w:webHidden/>
          </w:rPr>
          <w:t>126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4" w:history="1">
        <w:r w:rsidR="00690317" w:rsidRPr="00766CC6">
          <w:rPr>
            <w:rStyle w:val="Hyperlink"/>
          </w:rPr>
          <w:t>Table 8.2.  Size of Surface Waters Assigned to Each EPA Integrated Report Category</w:t>
        </w:r>
        <w:r w:rsidR="00690317">
          <w:rPr>
            <w:webHidden/>
          </w:rPr>
          <w:tab/>
        </w:r>
        <w:r>
          <w:rPr>
            <w:webHidden/>
          </w:rPr>
          <w:fldChar w:fldCharType="begin"/>
        </w:r>
        <w:r w:rsidR="00690317">
          <w:rPr>
            <w:webHidden/>
          </w:rPr>
          <w:instrText xml:space="preserve"> PAGEREF _Toc271889864 \h </w:instrText>
        </w:r>
        <w:r>
          <w:rPr>
            <w:webHidden/>
          </w:rPr>
        </w:r>
        <w:r>
          <w:rPr>
            <w:webHidden/>
          </w:rPr>
          <w:fldChar w:fldCharType="separate"/>
        </w:r>
        <w:r w:rsidR="005546A0">
          <w:rPr>
            <w:webHidden/>
          </w:rPr>
          <w:t>126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5" w:history="1">
        <w:r w:rsidR="00690317" w:rsidRPr="00766CC6">
          <w:rPr>
            <w:rStyle w:val="Hyperlink"/>
          </w:rPr>
          <w:t>Table 8.3a.  Miles of Rivers/Streams Impaired by Cause</w:t>
        </w:r>
        <w:r w:rsidR="00690317">
          <w:rPr>
            <w:webHidden/>
          </w:rPr>
          <w:tab/>
        </w:r>
        <w:r>
          <w:rPr>
            <w:webHidden/>
          </w:rPr>
          <w:fldChar w:fldCharType="begin"/>
        </w:r>
        <w:r w:rsidR="00690317">
          <w:rPr>
            <w:webHidden/>
          </w:rPr>
          <w:instrText xml:space="preserve"> PAGEREF _Toc271889865 \h </w:instrText>
        </w:r>
        <w:r>
          <w:rPr>
            <w:webHidden/>
          </w:rPr>
        </w:r>
        <w:r>
          <w:rPr>
            <w:webHidden/>
          </w:rPr>
          <w:fldChar w:fldCharType="separate"/>
        </w:r>
        <w:r w:rsidR="005546A0">
          <w:rPr>
            <w:webHidden/>
          </w:rPr>
          <w:t>127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6" w:history="1">
        <w:r w:rsidR="00690317" w:rsidRPr="00766CC6">
          <w:rPr>
            <w:rStyle w:val="Hyperlink"/>
          </w:rPr>
          <w:t>Table 8.3b.  Acres of Lakes Impaired by Cause</w:t>
        </w:r>
        <w:r w:rsidR="00690317">
          <w:rPr>
            <w:webHidden/>
          </w:rPr>
          <w:tab/>
        </w:r>
        <w:r>
          <w:rPr>
            <w:webHidden/>
          </w:rPr>
          <w:fldChar w:fldCharType="begin"/>
        </w:r>
        <w:r w:rsidR="00690317">
          <w:rPr>
            <w:webHidden/>
          </w:rPr>
          <w:instrText xml:space="preserve"> PAGEREF _Toc271889866 \h </w:instrText>
        </w:r>
        <w:r>
          <w:rPr>
            <w:webHidden/>
          </w:rPr>
        </w:r>
        <w:r>
          <w:rPr>
            <w:webHidden/>
          </w:rPr>
          <w:fldChar w:fldCharType="separate"/>
        </w:r>
        <w:r w:rsidR="005546A0">
          <w:rPr>
            <w:webHidden/>
          </w:rPr>
          <w:t>128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7" w:history="1">
        <w:r w:rsidR="00690317" w:rsidRPr="00766CC6">
          <w:rPr>
            <w:rStyle w:val="Hyperlink"/>
          </w:rPr>
          <w:t>Table 8.3c.  Square Miles of Estuaries Impaired by Cause</w:t>
        </w:r>
        <w:r w:rsidR="00690317">
          <w:rPr>
            <w:webHidden/>
          </w:rPr>
          <w:tab/>
        </w:r>
        <w:r>
          <w:rPr>
            <w:webHidden/>
          </w:rPr>
          <w:fldChar w:fldCharType="begin"/>
        </w:r>
        <w:r w:rsidR="00690317">
          <w:rPr>
            <w:webHidden/>
          </w:rPr>
          <w:instrText xml:space="preserve"> PAGEREF _Toc271889867 \h </w:instrText>
        </w:r>
        <w:r>
          <w:rPr>
            <w:webHidden/>
          </w:rPr>
        </w:r>
        <w:r>
          <w:rPr>
            <w:webHidden/>
          </w:rPr>
          <w:fldChar w:fldCharType="separate"/>
        </w:r>
        <w:r w:rsidR="005546A0">
          <w:rPr>
            <w:webHidden/>
          </w:rPr>
          <w:t>128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8" w:history="1">
        <w:r w:rsidR="00690317" w:rsidRPr="00766CC6">
          <w:rPr>
            <w:rStyle w:val="Hyperlink"/>
          </w:rPr>
          <w:t>Table 8.3d.  Square Miles of Coastal Waters Impaired by Cause</w:t>
        </w:r>
        <w:r w:rsidR="00690317">
          <w:rPr>
            <w:webHidden/>
          </w:rPr>
          <w:tab/>
        </w:r>
        <w:r>
          <w:rPr>
            <w:webHidden/>
          </w:rPr>
          <w:fldChar w:fldCharType="begin"/>
        </w:r>
        <w:r w:rsidR="00690317">
          <w:rPr>
            <w:webHidden/>
          </w:rPr>
          <w:instrText xml:space="preserve"> PAGEREF _Toc271889868 \h </w:instrText>
        </w:r>
        <w:r>
          <w:rPr>
            <w:webHidden/>
          </w:rPr>
        </w:r>
        <w:r>
          <w:rPr>
            <w:webHidden/>
          </w:rPr>
          <w:fldChar w:fldCharType="separate"/>
        </w:r>
        <w:r w:rsidR="005546A0">
          <w:rPr>
            <w:webHidden/>
          </w:rPr>
          <w:t>129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69" w:history="1">
        <w:r w:rsidR="00690317" w:rsidRPr="00766CC6">
          <w:rPr>
            <w:rStyle w:val="Hyperlink"/>
          </w:rPr>
          <w:t>Table 8.4.  Numbers of Measurements and Impairment Status for the BioRecon and SCI, 1992–October 2009</w:t>
        </w:r>
        <w:r w:rsidR="00690317">
          <w:rPr>
            <w:webHidden/>
          </w:rPr>
          <w:tab/>
        </w:r>
        <w:r>
          <w:rPr>
            <w:webHidden/>
          </w:rPr>
          <w:fldChar w:fldCharType="begin"/>
        </w:r>
        <w:r w:rsidR="00690317">
          <w:rPr>
            <w:webHidden/>
          </w:rPr>
          <w:instrText xml:space="preserve"> PAGEREF _Toc271889869 \h </w:instrText>
        </w:r>
        <w:r>
          <w:rPr>
            <w:webHidden/>
          </w:rPr>
        </w:r>
        <w:r>
          <w:rPr>
            <w:webHidden/>
          </w:rPr>
          <w:fldChar w:fldCharType="separate"/>
        </w:r>
        <w:r w:rsidR="005546A0">
          <w:rPr>
            <w:webHidden/>
          </w:rPr>
          <w:t>133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0" w:history="1">
        <w:r w:rsidR="00690317" w:rsidRPr="00766CC6">
          <w:rPr>
            <w:rStyle w:val="Hyperlink"/>
          </w:rPr>
          <w:t>Table 8.5.  Total Miles of Rivers/Streams and Acres of Lakes/Reservoirs Designated for Drinking Water Use</w:t>
        </w:r>
        <w:r w:rsidR="00690317">
          <w:rPr>
            <w:webHidden/>
          </w:rPr>
          <w:tab/>
        </w:r>
        <w:r>
          <w:rPr>
            <w:webHidden/>
          </w:rPr>
          <w:fldChar w:fldCharType="begin"/>
        </w:r>
        <w:r w:rsidR="00690317">
          <w:rPr>
            <w:webHidden/>
          </w:rPr>
          <w:instrText xml:space="preserve"> PAGEREF _Toc271889870 \h </w:instrText>
        </w:r>
        <w:r>
          <w:rPr>
            <w:webHidden/>
          </w:rPr>
        </w:r>
        <w:r>
          <w:rPr>
            <w:webHidden/>
          </w:rPr>
          <w:fldChar w:fldCharType="separate"/>
        </w:r>
        <w:r w:rsidR="005546A0">
          <w:rPr>
            <w:webHidden/>
          </w:rPr>
          <w:t>134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1" w:history="1">
        <w:r w:rsidR="00690317" w:rsidRPr="00766CC6">
          <w:rPr>
            <w:rStyle w:val="Hyperlink"/>
          </w:rPr>
          <w:t>Table 8.6.  Miles of Rivers/Streams and Acres of Lakes/Reservoirs Designated for Drinking Water Use that Are Assigned to Each of the EPA’s Five Reporting Categories</w:t>
        </w:r>
        <w:r w:rsidR="00690317">
          <w:rPr>
            <w:webHidden/>
          </w:rPr>
          <w:tab/>
        </w:r>
        <w:r>
          <w:rPr>
            <w:webHidden/>
          </w:rPr>
          <w:fldChar w:fldCharType="begin"/>
        </w:r>
        <w:r w:rsidR="00690317">
          <w:rPr>
            <w:webHidden/>
          </w:rPr>
          <w:instrText xml:space="preserve"> PAGEREF _Toc271889871 \h </w:instrText>
        </w:r>
        <w:r>
          <w:rPr>
            <w:webHidden/>
          </w:rPr>
        </w:r>
        <w:r>
          <w:rPr>
            <w:webHidden/>
          </w:rPr>
          <w:fldChar w:fldCharType="separate"/>
        </w:r>
        <w:r w:rsidR="005546A0">
          <w:rPr>
            <w:webHidden/>
          </w:rPr>
          <w:t>135</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2" w:history="1">
        <w:r w:rsidR="00690317" w:rsidRPr="00766CC6">
          <w:rPr>
            <w:rStyle w:val="Hyperlink"/>
          </w:rPr>
          <w:t>Table 8.7.  Summary of Impaired River/Stream Miles and Lake/Reservoir Acres Overlapping Source Water Areas of Community Water Systems</w:t>
        </w:r>
        <w:r w:rsidR="00690317">
          <w:rPr>
            <w:webHidden/>
          </w:rPr>
          <w:tab/>
        </w:r>
        <w:r>
          <w:rPr>
            <w:webHidden/>
          </w:rPr>
          <w:fldChar w:fldCharType="begin"/>
        </w:r>
        <w:r w:rsidR="00690317">
          <w:rPr>
            <w:webHidden/>
          </w:rPr>
          <w:instrText xml:space="preserve"> PAGEREF _Toc271889872 \h </w:instrText>
        </w:r>
        <w:r>
          <w:rPr>
            <w:webHidden/>
          </w:rPr>
        </w:r>
        <w:r>
          <w:rPr>
            <w:webHidden/>
          </w:rPr>
          <w:fldChar w:fldCharType="separate"/>
        </w:r>
        <w:r w:rsidR="005546A0">
          <w:rPr>
            <w:webHidden/>
          </w:rPr>
          <w:t>136</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3" w:history="1">
        <w:r w:rsidR="00690317" w:rsidRPr="00766CC6">
          <w:rPr>
            <w:rStyle w:val="Hyperlink"/>
            <w:snapToGrid w:val="0"/>
          </w:rPr>
          <w:t>Table 9.1a.  Summary of Ground Water Monitoring Programs and Data Sources:   FDEP-Maintained Monitoring Networks</w:t>
        </w:r>
        <w:r w:rsidR="00690317">
          <w:rPr>
            <w:webHidden/>
          </w:rPr>
          <w:tab/>
        </w:r>
        <w:r>
          <w:rPr>
            <w:webHidden/>
          </w:rPr>
          <w:fldChar w:fldCharType="begin"/>
        </w:r>
        <w:r w:rsidR="00690317">
          <w:rPr>
            <w:webHidden/>
          </w:rPr>
          <w:instrText xml:space="preserve"> PAGEREF _Toc271889873 \h </w:instrText>
        </w:r>
        <w:r>
          <w:rPr>
            <w:webHidden/>
          </w:rPr>
        </w:r>
        <w:r>
          <w:rPr>
            <w:webHidden/>
          </w:rPr>
          <w:fldChar w:fldCharType="separate"/>
        </w:r>
        <w:r w:rsidR="005546A0">
          <w:rPr>
            <w:webHidden/>
          </w:rPr>
          <w:t>139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4" w:history="1">
        <w:r w:rsidR="00690317" w:rsidRPr="00766CC6">
          <w:rPr>
            <w:rStyle w:val="Hyperlink"/>
            <w:snapToGrid w:val="0"/>
          </w:rPr>
          <w:t>Table 9.1b.  Summary of Ground Water Monitoring Programs and Data Sources:  Programs that Include Potable Ground Water Sampling:   FDEP-Maintained Monitoring Networks</w:t>
        </w:r>
        <w:r w:rsidR="00690317">
          <w:rPr>
            <w:webHidden/>
          </w:rPr>
          <w:tab/>
        </w:r>
        <w:r>
          <w:rPr>
            <w:webHidden/>
          </w:rPr>
          <w:fldChar w:fldCharType="begin"/>
        </w:r>
        <w:r w:rsidR="00690317">
          <w:rPr>
            <w:webHidden/>
          </w:rPr>
          <w:instrText xml:space="preserve"> PAGEREF _Toc271889874 \h </w:instrText>
        </w:r>
        <w:r>
          <w:rPr>
            <w:webHidden/>
          </w:rPr>
        </w:r>
        <w:r>
          <w:rPr>
            <w:webHidden/>
          </w:rPr>
          <w:fldChar w:fldCharType="separate"/>
        </w:r>
        <w:r w:rsidR="005546A0">
          <w:rPr>
            <w:webHidden/>
          </w:rPr>
          <w:t>140</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5" w:history="1">
        <w:r w:rsidR="00690317" w:rsidRPr="00766CC6">
          <w:rPr>
            <w:rStyle w:val="Hyperlink"/>
          </w:rPr>
          <w:t>Table 10.1.</w:t>
        </w:r>
        <w:r w:rsidR="00690317">
          <w:rPr>
            <w:rFonts w:asciiTheme="minorHAnsi" w:eastAsiaTheme="minorEastAsia" w:hAnsiTheme="minorHAnsi" w:cstheme="minorBidi"/>
            <w:b w:val="0"/>
            <w:bCs w:val="0"/>
            <w:i w:val="0"/>
          </w:rPr>
          <w:tab/>
        </w:r>
        <w:r w:rsidR="00690317" w:rsidRPr="00766CC6">
          <w:rPr>
            <w:rStyle w:val="Hyperlink"/>
          </w:rPr>
          <w:t>Summary of Percent Ground Water Samples Achieving Primary Ground Water Standards for Selected Analytes by Basin</w:t>
        </w:r>
        <w:r w:rsidR="00690317">
          <w:rPr>
            <w:webHidden/>
          </w:rPr>
          <w:tab/>
        </w:r>
        <w:r>
          <w:rPr>
            <w:webHidden/>
          </w:rPr>
          <w:fldChar w:fldCharType="begin"/>
        </w:r>
        <w:r w:rsidR="00690317">
          <w:rPr>
            <w:webHidden/>
          </w:rPr>
          <w:instrText xml:space="preserve"> PAGEREF _Toc271889875 \h </w:instrText>
        </w:r>
        <w:r>
          <w:rPr>
            <w:webHidden/>
          </w:rPr>
        </w:r>
        <w:r>
          <w:rPr>
            <w:webHidden/>
          </w:rPr>
          <w:fldChar w:fldCharType="separate"/>
        </w:r>
        <w:r w:rsidR="005546A0">
          <w:rPr>
            <w:webHidden/>
          </w:rPr>
          <w:t>144</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6" w:history="1">
        <w:r w:rsidR="00690317" w:rsidRPr="00766CC6">
          <w:rPr>
            <w:rStyle w:val="Hyperlink"/>
          </w:rPr>
          <w:t>Table 10.2a.</w:t>
        </w:r>
        <w:r w:rsidR="00690317">
          <w:rPr>
            <w:rFonts w:asciiTheme="minorHAnsi" w:eastAsiaTheme="minorEastAsia" w:hAnsiTheme="minorHAnsi" w:cstheme="minorBidi"/>
            <w:b w:val="0"/>
            <w:bCs w:val="0"/>
            <w:i w:val="0"/>
          </w:rPr>
          <w:tab/>
        </w:r>
        <w:r w:rsidR="00690317" w:rsidRPr="00766CC6">
          <w:rPr>
            <w:rStyle w:val="Hyperlink"/>
          </w:rPr>
          <w:t>Summary of Recent Exceedances of Primary Ground Water Standards in Samples from Private Wells and Ground Water–Based Public Water Systems</w:t>
        </w:r>
        <w:r w:rsidR="00690317">
          <w:rPr>
            <w:webHidden/>
          </w:rPr>
          <w:tab/>
        </w:r>
        <w:r>
          <w:rPr>
            <w:webHidden/>
          </w:rPr>
          <w:fldChar w:fldCharType="begin"/>
        </w:r>
        <w:r w:rsidR="00690317">
          <w:rPr>
            <w:webHidden/>
          </w:rPr>
          <w:instrText xml:space="preserve"> PAGEREF _Toc271889876 \h </w:instrText>
        </w:r>
        <w:r>
          <w:rPr>
            <w:webHidden/>
          </w:rPr>
        </w:r>
        <w:r>
          <w:rPr>
            <w:webHidden/>
          </w:rPr>
          <w:fldChar w:fldCharType="separate"/>
        </w:r>
        <w:r w:rsidR="005546A0">
          <w:rPr>
            <w:webHidden/>
          </w:rPr>
          <w:t>148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7" w:history="1">
        <w:r w:rsidR="00690317" w:rsidRPr="00766CC6">
          <w:rPr>
            <w:rStyle w:val="Hyperlink"/>
          </w:rPr>
          <w:t>Table 10.2b.</w:t>
        </w:r>
        <w:r w:rsidR="00690317">
          <w:rPr>
            <w:rFonts w:asciiTheme="minorHAnsi" w:eastAsiaTheme="minorEastAsia" w:hAnsiTheme="minorHAnsi" w:cstheme="minorBidi"/>
            <w:b w:val="0"/>
            <w:bCs w:val="0"/>
            <w:i w:val="0"/>
          </w:rPr>
          <w:tab/>
        </w:r>
        <w:r w:rsidR="00690317" w:rsidRPr="00766CC6">
          <w:rPr>
            <w:rStyle w:val="Hyperlink"/>
          </w:rPr>
          <w:t>Summary of Recent Exceedances of Primary Ground Water Standards in Samples from Private Wells and Ground Water–Based Public Water Systems</w:t>
        </w:r>
        <w:r w:rsidR="00690317">
          <w:rPr>
            <w:webHidden/>
          </w:rPr>
          <w:tab/>
        </w:r>
        <w:r>
          <w:rPr>
            <w:webHidden/>
          </w:rPr>
          <w:fldChar w:fldCharType="begin"/>
        </w:r>
        <w:r w:rsidR="00690317">
          <w:rPr>
            <w:webHidden/>
          </w:rPr>
          <w:instrText xml:space="preserve"> PAGEREF _Toc271889877 \h </w:instrText>
        </w:r>
        <w:r>
          <w:rPr>
            <w:webHidden/>
          </w:rPr>
        </w:r>
        <w:r>
          <w:rPr>
            <w:webHidden/>
          </w:rPr>
          <w:fldChar w:fldCharType="separate"/>
        </w:r>
        <w:r w:rsidR="005546A0">
          <w:rPr>
            <w:webHidden/>
          </w:rPr>
          <w:t>149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8" w:history="1">
        <w:r w:rsidR="00690317" w:rsidRPr="00766CC6">
          <w:rPr>
            <w:rStyle w:val="Hyperlink"/>
          </w:rPr>
          <w:t>Table 10.3.  Median Concentrations of Ground Water–Surface Water Constituents in Unconfined Aquifers (2000–2007/2008-2009)</w:t>
        </w:r>
        <w:r w:rsidR="00690317">
          <w:rPr>
            <w:webHidden/>
          </w:rPr>
          <w:tab/>
        </w:r>
        <w:r>
          <w:rPr>
            <w:webHidden/>
          </w:rPr>
          <w:fldChar w:fldCharType="begin"/>
        </w:r>
        <w:r w:rsidR="00690317">
          <w:rPr>
            <w:webHidden/>
          </w:rPr>
          <w:instrText xml:space="preserve"> PAGEREF _Toc271889878 \h </w:instrText>
        </w:r>
        <w:r>
          <w:rPr>
            <w:webHidden/>
          </w:rPr>
        </w:r>
        <w:r>
          <w:rPr>
            <w:webHidden/>
          </w:rPr>
          <w:fldChar w:fldCharType="separate"/>
        </w:r>
        <w:r w:rsidR="005546A0">
          <w:rPr>
            <w:webHidden/>
          </w:rPr>
          <w:t>157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79" w:history="1">
        <w:r w:rsidR="00690317" w:rsidRPr="00766CC6">
          <w:rPr>
            <w:rStyle w:val="Hyperlink"/>
          </w:rPr>
          <w:t>Table 11.1.  Status of Ongoing BMAP Efforts</w:t>
        </w:r>
        <w:r w:rsidR="00690317">
          <w:rPr>
            <w:webHidden/>
          </w:rPr>
          <w:tab/>
        </w:r>
        <w:r>
          <w:rPr>
            <w:webHidden/>
          </w:rPr>
          <w:fldChar w:fldCharType="begin"/>
        </w:r>
        <w:r w:rsidR="00690317">
          <w:rPr>
            <w:webHidden/>
          </w:rPr>
          <w:instrText xml:space="preserve"> PAGEREF _Toc271889879 \h </w:instrText>
        </w:r>
        <w:r>
          <w:rPr>
            <w:webHidden/>
          </w:rPr>
        </w:r>
        <w:r>
          <w:rPr>
            <w:webHidden/>
          </w:rPr>
          <w:fldChar w:fldCharType="separate"/>
        </w:r>
        <w:r w:rsidR="005546A0">
          <w:rPr>
            <w:webHidden/>
          </w:rPr>
          <w:t>169</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80" w:history="1">
        <w:r w:rsidR="00690317" w:rsidRPr="00766CC6">
          <w:rPr>
            <w:rStyle w:val="Hyperlink"/>
          </w:rPr>
          <w:t>Table 11.2.  Primary Coordination Mechanisms for Managing State, Regional, and Local Water Resources</w:t>
        </w:r>
        <w:r w:rsidR="00690317">
          <w:rPr>
            <w:webHidden/>
          </w:rPr>
          <w:tab/>
        </w:r>
        <w:r>
          <w:rPr>
            <w:webHidden/>
          </w:rPr>
          <w:fldChar w:fldCharType="begin"/>
        </w:r>
        <w:r w:rsidR="00690317">
          <w:rPr>
            <w:webHidden/>
          </w:rPr>
          <w:instrText xml:space="preserve"> PAGEREF _Toc271889880 \h </w:instrText>
        </w:r>
        <w:r>
          <w:rPr>
            <w:webHidden/>
          </w:rPr>
        </w:r>
        <w:r>
          <w:rPr>
            <w:webHidden/>
          </w:rPr>
          <w:fldChar w:fldCharType="separate"/>
        </w:r>
        <w:r w:rsidR="005546A0">
          <w:rPr>
            <w:webHidden/>
          </w:rPr>
          <w:t>177</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81" w:history="1">
        <w:r w:rsidR="00690317" w:rsidRPr="00766CC6">
          <w:rPr>
            <w:rStyle w:val="Hyperlink"/>
          </w:rPr>
          <w:t>Table 11.3.  Results of the 2004 Clean Watersheds Needs Survey for Florida</w:t>
        </w:r>
        <w:r w:rsidR="00690317">
          <w:rPr>
            <w:webHidden/>
          </w:rPr>
          <w:tab/>
        </w:r>
        <w:r>
          <w:rPr>
            <w:webHidden/>
          </w:rPr>
          <w:fldChar w:fldCharType="begin"/>
        </w:r>
        <w:r w:rsidR="00690317">
          <w:rPr>
            <w:webHidden/>
          </w:rPr>
          <w:instrText xml:space="preserve"> PAGEREF _Toc271889881 \h </w:instrText>
        </w:r>
        <w:r>
          <w:rPr>
            <w:webHidden/>
          </w:rPr>
        </w:r>
        <w:r>
          <w:rPr>
            <w:webHidden/>
          </w:rPr>
          <w:fldChar w:fldCharType="separate"/>
        </w:r>
        <w:r w:rsidR="005546A0">
          <w:rPr>
            <w:webHidden/>
          </w:rPr>
          <w:t>181</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82" w:history="1">
        <w:r w:rsidR="00690317" w:rsidRPr="00766CC6">
          <w:rPr>
            <w:rStyle w:val="Hyperlink"/>
            <w:snapToGrid w:val="0"/>
          </w:rPr>
          <w:t>Table 11.4.  Historical Estimates of Wetlands in Florida, 1780–1980</w:t>
        </w:r>
        <w:r w:rsidR="00690317">
          <w:rPr>
            <w:webHidden/>
          </w:rPr>
          <w:tab/>
        </w:r>
        <w:r>
          <w:rPr>
            <w:webHidden/>
          </w:rPr>
          <w:fldChar w:fldCharType="begin"/>
        </w:r>
        <w:r w:rsidR="00690317">
          <w:rPr>
            <w:webHidden/>
          </w:rPr>
          <w:instrText xml:space="preserve"> PAGEREF _Toc271889882 \h </w:instrText>
        </w:r>
        <w:r>
          <w:rPr>
            <w:webHidden/>
          </w:rPr>
        </w:r>
        <w:r>
          <w:rPr>
            <w:webHidden/>
          </w:rPr>
          <w:fldChar w:fldCharType="separate"/>
        </w:r>
        <w:r w:rsidR="005546A0">
          <w:rPr>
            <w:webHidden/>
          </w:rPr>
          <w:t>183</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83" w:history="1">
        <w:r w:rsidR="00690317" w:rsidRPr="00766CC6">
          <w:rPr>
            <w:rStyle w:val="Hyperlink"/>
          </w:rPr>
          <w:t>Table 11.5.  Open Mitigation Banks in Florida</w:t>
        </w:r>
        <w:r w:rsidR="00690317" w:rsidRPr="00766CC6">
          <w:rPr>
            <w:rStyle w:val="Hyperlink"/>
            <w:vertAlign w:val="superscript"/>
          </w:rPr>
          <w:t>1</w:t>
        </w:r>
        <w:r w:rsidR="00690317">
          <w:rPr>
            <w:webHidden/>
          </w:rPr>
          <w:tab/>
        </w:r>
        <w:r>
          <w:rPr>
            <w:webHidden/>
          </w:rPr>
          <w:fldChar w:fldCharType="begin"/>
        </w:r>
        <w:r w:rsidR="00690317">
          <w:rPr>
            <w:webHidden/>
          </w:rPr>
          <w:instrText xml:space="preserve"> PAGEREF _Toc271889883 \h </w:instrText>
        </w:r>
        <w:r>
          <w:rPr>
            <w:webHidden/>
          </w:rPr>
        </w:r>
        <w:r>
          <w:rPr>
            <w:webHidden/>
          </w:rPr>
          <w:fldChar w:fldCharType="separate"/>
        </w:r>
        <w:r w:rsidR="005546A0">
          <w:rPr>
            <w:webHidden/>
          </w:rPr>
          <w:t>188</w:t>
        </w:r>
        <w:r>
          <w:rPr>
            <w:webHidden/>
          </w:rPr>
          <w:fldChar w:fldCharType="end"/>
        </w:r>
      </w:hyperlink>
    </w:p>
    <w:p w:rsidR="00690317" w:rsidRDefault="00B2471C">
      <w:pPr>
        <w:pStyle w:val="TableofFigures"/>
        <w:rPr>
          <w:rFonts w:asciiTheme="minorHAnsi" w:eastAsiaTheme="minorEastAsia" w:hAnsiTheme="minorHAnsi" w:cstheme="minorBidi"/>
          <w:b w:val="0"/>
          <w:bCs w:val="0"/>
          <w:i w:val="0"/>
        </w:rPr>
      </w:pPr>
      <w:hyperlink w:anchor="_Toc271889884" w:history="1">
        <w:r w:rsidR="00690317" w:rsidRPr="00766CC6">
          <w:rPr>
            <w:rStyle w:val="Hyperlink"/>
            <w:snapToGrid w:val="0"/>
          </w:rPr>
          <w:t>Table 11.6.  Acreage of Affected Wetlands Regulated by FDEP and the Water Management Districts (2004–09)</w:t>
        </w:r>
        <w:r w:rsidR="00690317">
          <w:rPr>
            <w:webHidden/>
          </w:rPr>
          <w:tab/>
        </w:r>
        <w:r>
          <w:rPr>
            <w:webHidden/>
          </w:rPr>
          <w:fldChar w:fldCharType="begin"/>
        </w:r>
        <w:r w:rsidR="00690317">
          <w:rPr>
            <w:webHidden/>
          </w:rPr>
          <w:instrText xml:space="preserve"> PAGEREF _Toc271889884 \h </w:instrText>
        </w:r>
        <w:r>
          <w:rPr>
            <w:webHidden/>
          </w:rPr>
        </w:r>
        <w:r>
          <w:rPr>
            <w:webHidden/>
          </w:rPr>
          <w:fldChar w:fldCharType="separate"/>
        </w:r>
        <w:r w:rsidR="005546A0">
          <w:rPr>
            <w:webHidden/>
          </w:rPr>
          <w:t>189</w:t>
        </w:r>
        <w:r>
          <w:rPr>
            <w:webHidden/>
          </w:rPr>
          <w:fldChar w:fldCharType="end"/>
        </w:r>
      </w:hyperlink>
    </w:p>
    <w:p w:rsidR="00485094" w:rsidRDefault="00B2471C" w:rsidP="003675DD">
      <w:pPr>
        <w:pStyle w:val="Bodytext"/>
        <w:tabs>
          <w:tab w:val="left" w:pos="9090"/>
          <w:tab w:val="left" w:pos="9270"/>
          <w:tab w:val="right" w:leader="dot" w:pos="9360"/>
        </w:tabs>
        <w:rPr>
          <w:rFonts w:cs="Arial"/>
        </w:rPr>
      </w:pPr>
      <w:r>
        <w:rPr>
          <w:rFonts w:cs="Arial"/>
        </w:rPr>
        <w:fldChar w:fldCharType="end"/>
      </w:r>
    </w:p>
    <w:p w:rsidR="00485094" w:rsidRPr="00AB1274" w:rsidRDefault="00485094" w:rsidP="00A553DE">
      <w:pPr>
        <w:pStyle w:val="Bodytextreduced"/>
      </w:pPr>
    </w:p>
    <w:p w:rsidR="00485094" w:rsidRPr="003E1F65" w:rsidRDefault="00485094" w:rsidP="001C760A">
      <w:pPr>
        <w:pStyle w:val="BlockText"/>
        <w:jc w:val="center"/>
        <w:rPr>
          <w:rFonts w:ascii="Arial" w:hAnsi="Arial" w:cs="Arial"/>
          <w:b/>
          <w:sz w:val="28"/>
          <w:szCs w:val="28"/>
        </w:rPr>
      </w:pPr>
      <w:r w:rsidRPr="003E1F65">
        <w:rPr>
          <w:rFonts w:ascii="Arial" w:hAnsi="Arial" w:cs="Arial"/>
          <w:b/>
          <w:sz w:val="28"/>
          <w:szCs w:val="28"/>
        </w:rPr>
        <w:t>List of Figures</w:t>
      </w:r>
    </w:p>
    <w:p w:rsidR="00485094" w:rsidRPr="003A4461" w:rsidRDefault="00485094" w:rsidP="00FE7836">
      <w:pPr>
        <w:pStyle w:val="Bodytextreduced"/>
      </w:pPr>
    </w:p>
    <w:p w:rsidR="008A1744" w:rsidRDefault="00B2471C">
      <w:pPr>
        <w:pStyle w:val="TableofFigures"/>
        <w:rPr>
          <w:rFonts w:asciiTheme="minorHAnsi" w:eastAsiaTheme="minorEastAsia" w:hAnsiTheme="minorHAnsi" w:cstheme="minorBidi"/>
          <w:b w:val="0"/>
          <w:bCs w:val="0"/>
          <w:i w:val="0"/>
        </w:rPr>
      </w:pPr>
      <w:r>
        <w:rPr>
          <w:rFonts w:cs="Arial"/>
        </w:rPr>
        <w:fldChar w:fldCharType="begin"/>
      </w:r>
      <w:r w:rsidR="00485094">
        <w:rPr>
          <w:rFonts w:cs="Arial"/>
        </w:rPr>
        <w:instrText xml:space="preserve"> TOC \h \z \t "Caption" \c </w:instrText>
      </w:r>
      <w:r>
        <w:rPr>
          <w:rFonts w:cs="Arial"/>
        </w:rPr>
        <w:fldChar w:fldCharType="separate"/>
      </w:r>
      <w:hyperlink w:anchor="_Toc271280138" w:history="1">
        <w:r w:rsidR="008A1744" w:rsidRPr="001B438B">
          <w:rPr>
            <w:rStyle w:val="Hyperlink"/>
          </w:rPr>
          <w:t>Figure 2.1.  Florida’s Population Distribution, 2000</w:t>
        </w:r>
        <w:r w:rsidR="008A1744">
          <w:rPr>
            <w:webHidden/>
          </w:rPr>
          <w:tab/>
        </w:r>
        <w:r>
          <w:rPr>
            <w:webHidden/>
          </w:rPr>
          <w:fldChar w:fldCharType="begin"/>
        </w:r>
        <w:r w:rsidR="008A1744">
          <w:rPr>
            <w:webHidden/>
          </w:rPr>
          <w:instrText xml:space="preserve"> PAGEREF _Toc271280138 \h </w:instrText>
        </w:r>
        <w:r>
          <w:rPr>
            <w:webHidden/>
          </w:rPr>
        </w:r>
        <w:r>
          <w:rPr>
            <w:webHidden/>
          </w:rPr>
          <w:fldChar w:fldCharType="separate"/>
        </w:r>
        <w:r w:rsidR="005546A0">
          <w:rPr>
            <w:webHidden/>
          </w:rPr>
          <w:t>8</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39" w:history="1">
        <w:r w:rsidR="008A1744" w:rsidRPr="001B438B">
          <w:rPr>
            <w:rStyle w:val="Hyperlink"/>
          </w:rPr>
          <w:t>Figure 2.2.  Florida’s Average Annual Rainfall, 1971–2000</w:t>
        </w:r>
        <w:r w:rsidR="008A1744">
          <w:rPr>
            <w:webHidden/>
          </w:rPr>
          <w:tab/>
        </w:r>
        <w:r>
          <w:rPr>
            <w:webHidden/>
          </w:rPr>
          <w:fldChar w:fldCharType="begin"/>
        </w:r>
        <w:r w:rsidR="008A1744">
          <w:rPr>
            <w:webHidden/>
          </w:rPr>
          <w:instrText xml:space="preserve"> PAGEREF _Toc271280139 \h </w:instrText>
        </w:r>
        <w:r>
          <w:rPr>
            <w:webHidden/>
          </w:rPr>
        </w:r>
        <w:r>
          <w:rPr>
            <w:webHidden/>
          </w:rPr>
          <w:fldChar w:fldCharType="separate"/>
        </w:r>
        <w:r w:rsidR="005546A0">
          <w:rPr>
            <w:webHidden/>
          </w:rPr>
          <w:t>9</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0" w:history="1">
        <w:r w:rsidR="008A1744" w:rsidRPr="001B438B">
          <w:rPr>
            <w:rStyle w:val="Hyperlink"/>
          </w:rPr>
          <w:t>Figure 2.3.  Springs of Florida</w:t>
        </w:r>
        <w:r w:rsidR="008A1744">
          <w:rPr>
            <w:webHidden/>
          </w:rPr>
          <w:tab/>
        </w:r>
        <w:r>
          <w:rPr>
            <w:webHidden/>
          </w:rPr>
          <w:fldChar w:fldCharType="begin"/>
        </w:r>
        <w:r w:rsidR="008A1744">
          <w:rPr>
            <w:webHidden/>
          </w:rPr>
          <w:instrText xml:space="preserve"> PAGEREF _Toc271280140 \h </w:instrText>
        </w:r>
        <w:r>
          <w:rPr>
            <w:webHidden/>
          </w:rPr>
        </w:r>
        <w:r>
          <w:rPr>
            <w:webHidden/>
          </w:rPr>
          <w:fldChar w:fldCharType="separate"/>
        </w:r>
        <w:r w:rsidR="005546A0">
          <w:rPr>
            <w:webHidden/>
          </w:rPr>
          <w:t>14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1" w:history="1">
        <w:r w:rsidR="008A1744" w:rsidRPr="001B438B">
          <w:rPr>
            <w:rStyle w:val="Hyperlink"/>
          </w:rPr>
          <w:t>Figure 2.4.  Florida’s Hydrologic Divide</w:t>
        </w:r>
        <w:r w:rsidR="008A1744">
          <w:rPr>
            <w:webHidden/>
          </w:rPr>
          <w:tab/>
        </w:r>
        <w:r>
          <w:rPr>
            <w:webHidden/>
          </w:rPr>
          <w:fldChar w:fldCharType="begin"/>
        </w:r>
        <w:r w:rsidR="008A1744">
          <w:rPr>
            <w:webHidden/>
          </w:rPr>
          <w:instrText xml:space="preserve"> PAGEREF _Toc271280141 \h </w:instrText>
        </w:r>
        <w:r>
          <w:rPr>
            <w:webHidden/>
          </w:rPr>
        </w:r>
        <w:r>
          <w:rPr>
            <w:webHidden/>
          </w:rPr>
          <w:fldChar w:fldCharType="separate"/>
        </w:r>
        <w:r w:rsidR="005546A0">
          <w:rPr>
            <w:webHidden/>
          </w:rPr>
          <w:t>16</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2" w:history="1">
        <w:r w:rsidR="008A1744" w:rsidRPr="001B438B">
          <w:rPr>
            <w:rStyle w:val="Hyperlink"/>
          </w:rPr>
          <w:t>Figure 5.1.  Status Network Sampling Periods for the Florida Panhandle and Florida Peninsula</w:t>
        </w:r>
        <w:r w:rsidR="008A1744">
          <w:rPr>
            <w:webHidden/>
          </w:rPr>
          <w:tab/>
        </w:r>
        <w:r>
          <w:rPr>
            <w:webHidden/>
          </w:rPr>
          <w:fldChar w:fldCharType="begin"/>
        </w:r>
        <w:r w:rsidR="008A1744">
          <w:rPr>
            <w:webHidden/>
          </w:rPr>
          <w:instrText xml:space="preserve"> PAGEREF _Toc271280142 \h </w:instrText>
        </w:r>
        <w:r>
          <w:rPr>
            <w:webHidden/>
          </w:rPr>
        </w:r>
        <w:r>
          <w:rPr>
            <w:webHidden/>
          </w:rPr>
          <w:fldChar w:fldCharType="separate"/>
        </w:r>
        <w:r w:rsidR="005546A0">
          <w:rPr>
            <w:webHidden/>
          </w:rPr>
          <w:t>42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3" w:history="1">
        <w:r w:rsidR="008A1744" w:rsidRPr="001B438B">
          <w:rPr>
            <w:rStyle w:val="Hyperlink"/>
          </w:rPr>
          <w:t>Figure 5.2.  Status Monitoring Network Reporting Units</w:t>
        </w:r>
        <w:r w:rsidR="008A1744">
          <w:rPr>
            <w:webHidden/>
          </w:rPr>
          <w:tab/>
        </w:r>
        <w:r>
          <w:rPr>
            <w:webHidden/>
          </w:rPr>
          <w:fldChar w:fldCharType="begin"/>
        </w:r>
        <w:r w:rsidR="008A1744">
          <w:rPr>
            <w:webHidden/>
          </w:rPr>
          <w:instrText xml:space="preserve"> PAGEREF _Toc271280143 \h </w:instrText>
        </w:r>
        <w:r>
          <w:rPr>
            <w:webHidden/>
          </w:rPr>
        </w:r>
        <w:r>
          <w:rPr>
            <w:webHidden/>
          </w:rPr>
          <w:fldChar w:fldCharType="separate"/>
        </w:r>
        <w:r w:rsidR="005546A0">
          <w:rPr>
            <w:webHidden/>
          </w:rPr>
          <w:t>47</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4" w:history="1">
        <w:r w:rsidR="008A1744" w:rsidRPr="001B438B">
          <w:rPr>
            <w:rStyle w:val="Hyperlink"/>
          </w:rPr>
          <w:t>Figure 5.3.  Surface Water Trend Network Sites</w:t>
        </w:r>
        <w:r w:rsidR="008A1744">
          <w:rPr>
            <w:webHidden/>
          </w:rPr>
          <w:tab/>
        </w:r>
        <w:r>
          <w:rPr>
            <w:webHidden/>
          </w:rPr>
          <w:fldChar w:fldCharType="begin"/>
        </w:r>
        <w:r w:rsidR="008A1744">
          <w:rPr>
            <w:webHidden/>
          </w:rPr>
          <w:instrText xml:space="preserve"> PAGEREF _Toc271280144 \h </w:instrText>
        </w:r>
        <w:r>
          <w:rPr>
            <w:webHidden/>
          </w:rPr>
        </w:r>
        <w:r>
          <w:rPr>
            <w:webHidden/>
          </w:rPr>
          <w:fldChar w:fldCharType="separate"/>
        </w:r>
        <w:r w:rsidR="005546A0">
          <w:rPr>
            <w:webHidden/>
          </w:rPr>
          <w:t>51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5" w:history="1">
        <w:r w:rsidR="008A1744" w:rsidRPr="001B438B">
          <w:rPr>
            <w:rStyle w:val="Hyperlink"/>
          </w:rPr>
          <w:t>Figure 5.4.  Ground Water Trend Network Sites</w:t>
        </w:r>
        <w:r w:rsidR="008A1744">
          <w:rPr>
            <w:webHidden/>
          </w:rPr>
          <w:tab/>
        </w:r>
        <w:r>
          <w:rPr>
            <w:webHidden/>
          </w:rPr>
          <w:fldChar w:fldCharType="begin"/>
        </w:r>
        <w:r w:rsidR="008A1744">
          <w:rPr>
            <w:webHidden/>
          </w:rPr>
          <w:instrText xml:space="preserve"> PAGEREF _Toc271280145 \h </w:instrText>
        </w:r>
        <w:r>
          <w:rPr>
            <w:webHidden/>
          </w:rPr>
        </w:r>
        <w:r>
          <w:rPr>
            <w:webHidden/>
          </w:rPr>
          <w:fldChar w:fldCharType="separate"/>
        </w:r>
        <w:r w:rsidR="005546A0">
          <w:rPr>
            <w:webHidden/>
          </w:rPr>
          <w:t>52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6" w:history="1">
        <w:r w:rsidR="008A1744" w:rsidRPr="001B438B">
          <w:rPr>
            <w:rStyle w:val="Hyperlink"/>
          </w:rPr>
          <w:t>Figure 6.1.  Statewide River Sample Locations by Basin</w:t>
        </w:r>
        <w:r w:rsidR="008A1744">
          <w:rPr>
            <w:webHidden/>
          </w:rPr>
          <w:tab/>
        </w:r>
        <w:r>
          <w:rPr>
            <w:webHidden/>
          </w:rPr>
          <w:fldChar w:fldCharType="begin"/>
        </w:r>
        <w:r w:rsidR="008A1744">
          <w:rPr>
            <w:webHidden/>
          </w:rPr>
          <w:instrText xml:space="preserve"> PAGEREF _Toc271280146 \h </w:instrText>
        </w:r>
        <w:r>
          <w:rPr>
            <w:webHidden/>
          </w:rPr>
        </w:r>
        <w:r>
          <w:rPr>
            <w:webHidden/>
          </w:rPr>
          <w:fldChar w:fldCharType="separate"/>
        </w:r>
        <w:r w:rsidR="005546A0">
          <w:rPr>
            <w:webHidden/>
          </w:rPr>
          <w:t>58</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7" w:history="1">
        <w:r w:rsidR="008A1744" w:rsidRPr="001B438B">
          <w:rPr>
            <w:rStyle w:val="Hyperlink"/>
          </w:rPr>
          <w:t>Figure 6.2.  Statewide Summary of River Results</w:t>
        </w:r>
        <w:r w:rsidR="008A1744">
          <w:rPr>
            <w:webHidden/>
          </w:rPr>
          <w:tab/>
        </w:r>
        <w:r>
          <w:rPr>
            <w:webHidden/>
          </w:rPr>
          <w:fldChar w:fldCharType="begin"/>
        </w:r>
        <w:r w:rsidR="008A1744">
          <w:rPr>
            <w:webHidden/>
          </w:rPr>
          <w:instrText xml:space="preserve"> PAGEREF _Toc271280147 \h </w:instrText>
        </w:r>
        <w:r>
          <w:rPr>
            <w:webHidden/>
          </w:rPr>
        </w:r>
        <w:r>
          <w:rPr>
            <w:webHidden/>
          </w:rPr>
          <w:fldChar w:fldCharType="separate"/>
        </w:r>
        <w:r w:rsidR="005546A0">
          <w:rPr>
            <w:webHidden/>
          </w:rPr>
          <w:t>59</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8" w:history="1">
        <w:r w:rsidR="008A1744" w:rsidRPr="001B438B">
          <w:rPr>
            <w:rStyle w:val="Hyperlink"/>
          </w:rPr>
          <w:t>Figure 6.3.  Statewide Stream Sample Locations by Basin</w:t>
        </w:r>
        <w:r w:rsidR="008A1744">
          <w:rPr>
            <w:webHidden/>
          </w:rPr>
          <w:tab/>
        </w:r>
        <w:r>
          <w:rPr>
            <w:webHidden/>
          </w:rPr>
          <w:fldChar w:fldCharType="begin"/>
        </w:r>
        <w:r w:rsidR="008A1744">
          <w:rPr>
            <w:webHidden/>
          </w:rPr>
          <w:instrText xml:space="preserve"> PAGEREF _Toc271280148 \h </w:instrText>
        </w:r>
        <w:r>
          <w:rPr>
            <w:webHidden/>
          </w:rPr>
        </w:r>
        <w:r>
          <w:rPr>
            <w:webHidden/>
          </w:rPr>
          <w:fldChar w:fldCharType="separate"/>
        </w:r>
        <w:r w:rsidR="005546A0">
          <w:rPr>
            <w:webHidden/>
          </w:rPr>
          <w:t>61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49" w:history="1">
        <w:r w:rsidR="008A1744" w:rsidRPr="001B438B">
          <w:rPr>
            <w:rStyle w:val="Hyperlink"/>
          </w:rPr>
          <w:t>Figure 6.4.  Statewide Summary of Stream Results</w:t>
        </w:r>
        <w:r w:rsidR="008A1744">
          <w:rPr>
            <w:webHidden/>
          </w:rPr>
          <w:tab/>
        </w:r>
        <w:r>
          <w:rPr>
            <w:webHidden/>
          </w:rPr>
          <w:fldChar w:fldCharType="begin"/>
        </w:r>
        <w:r w:rsidR="008A1744">
          <w:rPr>
            <w:webHidden/>
          </w:rPr>
          <w:instrText xml:space="preserve"> PAGEREF _Toc271280149 \h </w:instrText>
        </w:r>
        <w:r>
          <w:rPr>
            <w:webHidden/>
          </w:rPr>
        </w:r>
        <w:r>
          <w:rPr>
            <w:webHidden/>
          </w:rPr>
          <w:fldChar w:fldCharType="separate"/>
        </w:r>
        <w:r w:rsidR="005546A0">
          <w:rPr>
            <w:webHidden/>
          </w:rPr>
          <w:t>62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0" w:history="1">
        <w:r w:rsidR="008A1744" w:rsidRPr="001B438B">
          <w:rPr>
            <w:rStyle w:val="Hyperlink"/>
          </w:rPr>
          <w:t>Figure 6.5.  Statewide Large Lake Sample Locations by Basin</w:t>
        </w:r>
        <w:r w:rsidR="008A1744">
          <w:rPr>
            <w:webHidden/>
          </w:rPr>
          <w:tab/>
        </w:r>
        <w:r>
          <w:rPr>
            <w:webHidden/>
          </w:rPr>
          <w:fldChar w:fldCharType="begin"/>
        </w:r>
        <w:r w:rsidR="008A1744">
          <w:rPr>
            <w:webHidden/>
          </w:rPr>
          <w:instrText xml:space="preserve"> PAGEREF _Toc271280150 \h </w:instrText>
        </w:r>
        <w:r>
          <w:rPr>
            <w:webHidden/>
          </w:rPr>
        </w:r>
        <w:r>
          <w:rPr>
            <w:webHidden/>
          </w:rPr>
          <w:fldChar w:fldCharType="separate"/>
        </w:r>
        <w:r w:rsidR="005546A0">
          <w:rPr>
            <w:webHidden/>
          </w:rPr>
          <w:t>64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1" w:history="1">
        <w:r w:rsidR="008A1744" w:rsidRPr="001B438B">
          <w:rPr>
            <w:rStyle w:val="Hyperlink"/>
          </w:rPr>
          <w:t>Figure 6.6.  Statewide Summary of Large Lake Results</w:t>
        </w:r>
        <w:r w:rsidR="008A1744">
          <w:rPr>
            <w:webHidden/>
          </w:rPr>
          <w:tab/>
        </w:r>
        <w:r>
          <w:rPr>
            <w:webHidden/>
          </w:rPr>
          <w:fldChar w:fldCharType="begin"/>
        </w:r>
        <w:r w:rsidR="008A1744">
          <w:rPr>
            <w:webHidden/>
          </w:rPr>
          <w:instrText xml:space="preserve"> PAGEREF _Toc271280151 \h </w:instrText>
        </w:r>
        <w:r>
          <w:rPr>
            <w:webHidden/>
          </w:rPr>
        </w:r>
        <w:r>
          <w:rPr>
            <w:webHidden/>
          </w:rPr>
          <w:fldChar w:fldCharType="separate"/>
        </w:r>
        <w:r w:rsidR="005546A0">
          <w:rPr>
            <w:webHidden/>
          </w:rPr>
          <w:t>65</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2" w:history="1">
        <w:r w:rsidR="008A1744" w:rsidRPr="001B438B">
          <w:rPr>
            <w:rStyle w:val="Hyperlink"/>
          </w:rPr>
          <w:t>Figure 6.7.  Statewide Small Lake Sample Locations by Basin</w:t>
        </w:r>
        <w:r w:rsidR="008A1744">
          <w:rPr>
            <w:webHidden/>
          </w:rPr>
          <w:tab/>
        </w:r>
        <w:r>
          <w:rPr>
            <w:webHidden/>
          </w:rPr>
          <w:fldChar w:fldCharType="begin"/>
        </w:r>
        <w:r w:rsidR="008A1744">
          <w:rPr>
            <w:webHidden/>
          </w:rPr>
          <w:instrText xml:space="preserve"> PAGEREF _Toc271280152 \h </w:instrText>
        </w:r>
        <w:r>
          <w:rPr>
            <w:webHidden/>
          </w:rPr>
        </w:r>
        <w:r>
          <w:rPr>
            <w:webHidden/>
          </w:rPr>
          <w:fldChar w:fldCharType="separate"/>
        </w:r>
        <w:r w:rsidR="005546A0">
          <w:rPr>
            <w:webHidden/>
          </w:rPr>
          <w:t>67</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3" w:history="1">
        <w:r w:rsidR="008A1744" w:rsidRPr="001B438B">
          <w:rPr>
            <w:rStyle w:val="Hyperlink"/>
          </w:rPr>
          <w:t>Figure 6.8.  Statewide Summary of Small Lake Results</w:t>
        </w:r>
        <w:r w:rsidR="008A1744">
          <w:rPr>
            <w:webHidden/>
          </w:rPr>
          <w:tab/>
        </w:r>
        <w:r>
          <w:rPr>
            <w:webHidden/>
          </w:rPr>
          <w:fldChar w:fldCharType="begin"/>
        </w:r>
        <w:r w:rsidR="008A1744">
          <w:rPr>
            <w:webHidden/>
          </w:rPr>
          <w:instrText xml:space="preserve"> PAGEREF _Toc271280153 \h </w:instrText>
        </w:r>
        <w:r>
          <w:rPr>
            <w:webHidden/>
          </w:rPr>
        </w:r>
        <w:r>
          <w:rPr>
            <w:webHidden/>
          </w:rPr>
          <w:fldChar w:fldCharType="separate"/>
        </w:r>
        <w:r w:rsidR="005546A0">
          <w:rPr>
            <w:webHidden/>
          </w:rPr>
          <w:t>68</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4" w:history="1">
        <w:r w:rsidR="008A1744" w:rsidRPr="001B438B">
          <w:rPr>
            <w:rStyle w:val="Hyperlink"/>
          </w:rPr>
          <w:t>Figure 6.9.  Statewide Summary of Large Lake Sediment Results</w:t>
        </w:r>
        <w:r w:rsidR="008A1744">
          <w:rPr>
            <w:webHidden/>
          </w:rPr>
          <w:tab/>
        </w:r>
        <w:r>
          <w:rPr>
            <w:webHidden/>
          </w:rPr>
          <w:fldChar w:fldCharType="begin"/>
        </w:r>
        <w:r w:rsidR="008A1744">
          <w:rPr>
            <w:webHidden/>
          </w:rPr>
          <w:instrText xml:space="preserve"> PAGEREF _Toc271280154 \h </w:instrText>
        </w:r>
        <w:r>
          <w:rPr>
            <w:webHidden/>
          </w:rPr>
        </w:r>
        <w:r>
          <w:rPr>
            <w:webHidden/>
          </w:rPr>
          <w:fldChar w:fldCharType="separate"/>
        </w:r>
        <w:r w:rsidR="005546A0">
          <w:rPr>
            <w:webHidden/>
          </w:rPr>
          <w:t>72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5" w:history="1">
        <w:r w:rsidR="008A1744" w:rsidRPr="001B438B">
          <w:rPr>
            <w:rStyle w:val="Hyperlink"/>
          </w:rPr>
          <w:t>Figure 6.10.  Statewide Summary of Small Lake Sediment Results</w:t>
        </w:r>
        <w:r w:rsidR="008A1744">
          <w:rPr>
            <w:webHidden/>
          </w:rPr>
          <w:tab/>
        </w:r>
        <w:r>
          <w:rPr>
            <w:webHidden/>
          </w:rPr>
          <w:fldChar w:fldCharType="begin"/>
        </w:r>
        <w:r w:rsidR="008A1744">
          <w:rPr>
            <w:webHidden/>
          </w:rPr>
          <w:instrText xml:space="preserve"> PAGEREF _Toc271280155 \h </w:instrText>
        </w:r>
        <w:r>
          <w:rPr>
            <w:webHidden/>
          </w:rPr>
        </w:r>
        <w:r>
          <w:rPr>
            <w:webHidden/>
          </w:rPr>
          <w:fldChar w:fldCharType="separate"/>
        </w:r>
        <w:r w:rsidR="005546A0">
          <w:rPr>
            <w:webHidden/>
          </w:rPr>
          <w:t>74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6" w:history="1">
        <w:r w:rsidR="008A1744" w:rsidRPr="001B438B">
          <w:rPr>
            <w:rStyle w:val="Hyperlink"/>
          </w:rPr>
          <w:t>Figure 6.11.  Statewide Confined Aquifer Well Locations by Basin</w:t>
        </w:r>
        <w:r w:rsidR="008A1744">
          <w:rPr>
            <w:webHidden/>
          </w:rPr>
          <w:tab/>
        </w:r>
        <w:r>
          <w:rPr>
            <w:webHidden/>
          </w:rPr>
          <w:fldChar w:fldCharType="begin"/>
        </w:r>
        <w:r w:rsidR="008A1744">
          <w:rPr>
            <w:webHidden/>
          </w:rPr>
          <w:instrText xml:space="preserve"> PAGEREF _Toc271280156 \h </w:instrText>
        </w:r>
        <w:r>
          <w:rPr>
            <w:webHidden/>
          </w:rPr>
        </w:r>
        <w:r>
          <w:rPr>
            <w:webHidden/>
          </w:rPr>
          <w:fldChar w:fldCharType="separate"/>
        </w:r>
        <w:r w:rsidR="005546A0">
          <w:rPr>
            <w:webHidden/>
          </w:rPr>
          <w:t>78</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7" w:history="1">
        <w:r w:rsidR="008A1744" w:rsidRPr="001B438B">
          <w:rPr>
            <w:rStyle w:val="Hyperlink"/>
          </w:rPr>
          <w:t>Figure 6.12.  Statewide Summary of Confined Aquifer Results</w:t>
        </w:r>
        <w:r w:rsidR="008A1744">
          <w:rPr>
            <w:webHidden/>
          </w:rPr>
          <w:tab/>
        </w:r>
        <w:r>
          <w:rPr>
            <w:webHidden/>
          </w:rPr>
          <w:fldChar w:fldCharType="begin"/>
        </w:r>
        <w:r w:rsidR="008A1744">
          <w:rPr>
            <w:webHidden/>
          </w:rPr>
          <w:instrText xml:space="preserve"> PAGEREF _Toc271280157 \h </w:instrText>
        </w:r>
        <w:r>
          <w:rPr>
            <w:webHidden/>
          </w:rPr>
        </w:r>
        <w:r>
          <w:rPr>
            <w:webHidden/>
          </w:rPr>
          <w:fldChar w:fldCharType="separate"/>
        </w:r>
        <w:r w:rsidR="005546A0">
          <w:rPr>
            <w:webHidden/>
          </w:rPr>
          <w:t>79</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8" w:history="1">
        <w:r w:rsidR="008A1744" w:rsidRPr="001B438B">
          <w:rPr>
            <w:rStyle w:val="Hyperlink"/>
          </w:rPr>
          <w:t>Figure 6.13.  Statewide Unconfined Aquifer Well Locations by Basin</w:t>
        </w:r>
        <w:r w:rsidR="008A1744">
          <w:rPr>
            <w:webHidden/>
          </w:rPr>
          <w:tab/>
        </w:r>
        <w:r>
          <w:rPr>
            <w:webHidden/>
          </w:rPr>
          <w:fldChar w:fldCharType="begin"/>
        </w:r>
        <w:r w:rsidR="008A1744">
          <w:rPr>
            <w:webHidden/>
          </w:rPr>
          <w:instrText xml:space="preserve"> PAGEREF _Toc271280158 \h </w:instrText>
        </w:r>
        <w:r>
          <w:rPr>
            <w:webHidden/>
          </w:rPr>
        </w:r>
        <w:r>
          <w:rPr>
            <w:webHidden/>
          </w:rPr>
          <w:fldChar w:fldCharType="separate"/>
        </w:r>
        <w:r w:rsidR="005546A0">
          <w:rPr>
            <w:webHidden/>
          </w:rPr>
          <w:t>82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59" w:history="1">
        <w:r w:rsidR="008A1744" w:rsidRPr="001B438B">
          <w:rPr>
            <w:rStyle w:val="Hyperlink"/>
          </w:rPr>
          <w:t>Figure 6.14.  Statewide Summary of Unconfined Aquifer Results</w:t>
        </w:r>
        <w:r w:rsidR="008A1744">
          <w:rPr>
            <w:webHidden/>
          </w:rPr>
          <w:tab/>
        </w:r>
        <w:r>
          <w:rPr>
            <w:webHidden/>
          </w:rPr>
          <w:fldChar w:fldCharType="begin"/>
        </w:r>
        <w:r w:rsidR="008A1744">
          <w:rPr>
            <w:webHidden/>
          </w:rPr>
          <w:instrText xml:space="preserve"> PAGEREF _Toc271280159 \h </w:instrText>
        </w:r>
        <w:r>
          <w:rPr>
            <w:webHidden/>
          </w:rPr>
        </w:r>
        <w:r>
          <w:rPr>
            <w:webHidden/>
          </w:rPr>
          <w:fldChar w:fldCharType="separate"/>
        </w:r>
        <w:r w:rsidR="005546A0">
          <w:rPr>
            <w:webHidden/>
          </w:rPr>
          <w:t>83</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0" w:history="1">
        <w:r w:rsidR="008A1744" w:rsidRPr="001B438B">
          <w:rPr>
            <w:rStyle w:val="Hyperlink"/>
          </w:rPr>
          <w:t>Figure 6.15.  Surface Water Trends for Nitrate + Nitrite, 1999–2008</w:t>
        </w:r>
        <w:r w:rsidR="008A1744">
          <w:rPr>
            <w:webHidden/>
          </w:rPr>
          <w:tab/>
        </w:r>
        <w:r>
          <w:rPr>
            <w:webHidden/>
          </w:rPr>
          <w:fldChar w:fldCharType="begin"/>
        </w:r>
        <w:r w:rsidR="008A1744">
          <w:rPr>
            <w:webHidden/>
          </w:rPr>
          <w:instrText xml:space="preserve"> PAGEREF _Toc271280160 \h </w:instrText>
        </w:r>
        <w:r>
          <w:rPr>
            <w:webHidden/>
          </w:rPr>
        </w:r>
        <w:r>
          <w:rPr>
            <w:webHidden/>
          </w:rPr>
          <w:fldChar w:fldCharType="separate"/>
        </w:r>
        <w:r w:rsidR="005546A0">
          <w:rPr>
            <w:webHidden/>
          </w:rPr>
          <w:t>90</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1" w:history="1">
        <w:r w:rsidR="008A1744" w:rsidRPr="001B438B">
          <w:rPr>
            <w:rStyle w:val="Hyperlink"/>
          </w:rPr>
          <w:t>Figure 6.16.  Surface Water Trends for TKN, 1999–2008</w:t>
        </w:r>
        <w:r w:rsidR="008A1744">
          <w:rPr>
            <w:webHidden/>
          </w:rPr>
          <w:tab/>
        </w:r>
        <w:r>
          <w:rPr>
            <w:webHidden/>
          </w:rPr>
          <w:fldChar w:fldCharType="begin"/>
        </w:r>
        <w:r w:rsidR="008A1744">
          <w:rPr>
            <w:webHidden/>
          </w:rPr>
          <w:instrText xml:space="preserve"> PAGEREF _Toc271280161 \h </w:instrText>
        </w:r>
        <w:r>
          <w:rPr>
            <w:webHidden/>
          </w:rPr>
        </w:r>
        <w:r>
          <w:rPr>
            <w:webHidden/>
          </w:rPr>
          <w:fldChar w:fldCharType="separate"/>
        </w:r>
        <w:r w:rsidR="005546A0">
          <w:rPr>
            <w:webHidden/>
          </w:rPr>
          <w:t>91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2" w:history="1">
        <w:r w:rsidR="008A1744" w:rsidRPr="001B438B">
          <w:rPr>
            <w:rStyle w:val="Hyperlink"/>
          </w:rPr>
          <w:t>Figure 6.17.  Surface Water Trends for TP, 1999–2008</w:t>
        </w:r>
        <w:r w:rsidR="008A1744">
          <w:rPr>
            <w:webHidden/>
          </w:rPr>
          <w:tab/>
        </w:r>
        <w:r>
          <w:rPr>
            <w:webHidden/>
          </w:rPr>
          <w:fldChar w:fldCharType="begin"/>
        </w:r>
        <w:r w:rsidR="008A1744">
          <w:rPr>
            <w:webHidden/>
          </w:rPr>
          <w:instrText xml:space="preserve"> PAGEREF _Toc271280162 \h </w:instrText>
        </w:r>
        <w:r>
          <w:rPr>
            <w:webHidden/>
          </w:rPr>
        </w:r>
        <w:r>
          <w:rPr>
            <w:webHidden/>
          </w:rPr>
          <w:fldChar w:fldCharType="separate"/>
        </w:r>
        <w:r w:rsidR="005546A0">
          <w:rPr>
            <w:webHidden/>
          </w:rPr>
          <w:t>92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3" w:history="1">
        <w:r w:rsidR="008A1744" w:rsidRPr="001B438B">
          <w:rPr>
            <w:rStyle w:val="Hyperlink"/>
          </w:rPr>
          <w:t>Figure 6.18.  Surface Water Trends for TOC, 1999–2008</w:t>
        </w:r>
        <w:r w:rsidR="008A1744">
          <w:rPr>
            <w:webHidden/>
          </w:rPr>
          <w:tab/>
        </w:r>
        <w:r>
          <w:rPr>
            <w:webHidden/>
          </w:rPr>
          <w:fldChar w:fldCharType="begin"/>
        </w:r>
        <w:r w:rsidR="008A1744">
          <w:rPr>
            <w:webHidden/>
          </w:rPr>
          <w:instrText xml:space="preserve"> PAGEREF _Toc271280163 \h </w:instrText>
        </w:r>
        <w:r>
          <w:rPr>
            <w:webHidden/>
          </w:rPr>
        </w:r>
        <w:r>
          <w:rPr>
            <w:webHidden/>
          </w:rPr>
          <w:fldChar w:fldCharType="separate"/>
        </w:r>
        <w:r w:rsidR="005546A0">
          <w:rPr>
            <w:webHidden/>
          </w:rPr>
          <w:t>93</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4" w:history="1">
        <w:r w:rsidR="008A1744" w:rsidRPr="001B438B">
          <w:rPr>
            <w:rStyle w:val="Hyperlink"/>
          </w:rPr>
          <w:t>Figure 6.19.  Surface Water Trends for Chlorophyll a, 1999–2008</w:t>
        </w:r>
        <w:r w:rsidR="008A1744">
          <w:rPr>
            <w:webHidden/>
          </w:rPr>
          <w:tab/>
        </w:r>
        <w:r>
          <w:rPr>
            <w:webHidden/>
          </w:rPr>
          <w:fldChar w:fldCharType="begin"/>
        </w:r>
        <w:r w:rsidR="008A1744">
          <w:rPr>
            <w:webHidden/>
          </w:rPr>
          <w:instrText xml:space="preserve"> PAGEREF _Toc271280164 \h </w:instrText>
        </w:r>
        <w:r>
          <w:rPr>
            <w:webHidden/>
          </w:rPr>
        </w:r>
        <w:r>
          <w:rPr>
            <w:webHidden/>
          </w:rPr>
          <w:fldChar w:fldCharType="separate"/>
        </w:r>
        <w:r w:rsidR="005546A0">
          <w:rPr>
            <w:webHidden/>
          </w:rPr>
          <w:t>94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5" w:history="1">
        <w:r w:rsidR="008A1744" w:rsidRPr="001B438B">
          <w:rPr>
            <w:rStyle w:val="Hyperlink"/>
          </w:rPr>
          <w:t>Figure 6.20.  Surface Water Trends for Fecal Coliform Bacteria, 1999–2008</w:t>
        </w:r>
        <w:r w:rsidR="008A1744">
          <w:rPr>
            <w:webHidden/>
          </w:rPr>
          <w:tab/>
        </w:r>
        <w:r>
          <w:rPr>
            <w:webHidden/>
          </w:rPr>
          <w:fldChar w:fldCharType="begin"/>
        </w:r>
        <w:r w:rsidR="008A1744">
          <w:rPr>
            <w:webHidden/>
          </w:rPr>
          <w:instrText xml:space="preserve"> PAGEREF _Toc271280165 \h </w:instrText>
        </w:r>
        <w:r>
          <w:rPr>
            <w:webHidden/>
          </w:rPr>
        </w:r>
        <w:r>
          <w:rPr>
            <w:webHidden/>
          </w:rPr>
          <w:fldChar w:fldCharType="separate"/>
        </w:r>
        <w:r w:rsidR="005546A0">
          <w:rPr>
            <w:webHidden/>
          </w:rPr>
          <w:t>95</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6" w:history="1">
        <w:r w:rsidR="008A1744" w:rsidRPr="001B438B">
          <w:rPr>
            <w:rStyle w:val="Hyperlink"/>
          </w:rPr>
          <w:t>Figure 6.21.  Surface Water Trends for DO, 1999–2008</w:t>
        </w:r>
        <w:r w:rsidR="008A1744">
          <w:rPr>
            <w:webHidden/>
          </w:rPr>
          <w:tab/>
        </w:r>
        <w:r>
          <w:rPr>
            <w:webHidden/>
          </w:rPr>
          <w:fldChar w:fldCharType="begin"/>
        </w:r>
        <w:r w:rsidR="008A1744">
          <w:rPr>
            <w:webHidden/>
          </w:rPr>
          <w:instrText xml:space="preserve"> PAGEREF _Toc271280166 \h </w:instrText>
        </w:r>
        <w:r>
          <w:rPr>
            <w:webHidden/>
          </w:rPr>
        </w:r>
        <w:r>
          <w:rPr>
            <w:webHidden/>
          </w:rPr>
          <w:fldChar w:fldCharType="separate"/>
        </w:r>
        <w:r w:rsidR="005546A0">
          <w:rPr>
            <w:webHidden/>
          </w:rPr>
          <w:t>96</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7" w:history="1">
        <w:r w:rsidR="008A1744" w:rsidRPr="001B438B">
          <w:rPr>
            <w:rStyle w:val="Hyperlink"/>
          </w:rPr>
          <w:t>Figure 6.22.  Ground Water Trends for Temperature, 1999–2008</w:t>
        </w:r>
        <w:r w:rsidR="008A1744">
          <w:rPr>
            <w:webHidden/>
          </w:rPr>
          <w:tab/>
        </w:r>
        <w:r>
          <w:rPr>
            <w:webHidden/>
          </w:rPr>
          <w:fldChar w:fldCharType="begin"/>
        </w:r>
        <w:r w:rsidR="008A1744">
          <w:rPr>
            <w:webHidden/>
          </w:rPr>
          <w:instrText xml:space="preserve"> PAGEREF _Toc271280167 \h </w:instrText>
        </w:r>
        <w:r>
          <w:rPr>
            <w:webHidden/>
          </w:rPr>
        </w:r>
        <w:r>
          <w:rPr>
            <w:webHidden/>
          </w:rPr>
          <w:fldChar w:fldCharType="separate"/>
        </w:r>
        <w:r w:rsidR="005546A0">
          <w:rPr>
            <w:webHidden/>
          </w:rPr>
          <w:t>100</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8" w:history="1">
        <w:r w:rsidR="008A1744" w:rsidRPr="001B438B">
          <w:rPr>
            <w:rStyle w:val="Hyperlink"/>
          </w:rPr>
          <w:t>Figure 6.23.  Ground Water Trends for Specific Conductance, 1999–2008</w:t>
        </w:r>
        <w:r w:rsidR="008A1744">
          <w:rPr>
            <w:webHidden/>
          </w:rPr>
          <w:tab/>
        </w:r>
        <w:r>
          <w:rPr>
            <w:webHidden/>
          </w:rPr>
          <w:fldChar w:fldCharType="begin"/>
        </w:r>
        <w:r w:rsidR="008A1744">
          <w:rPr>
            <w:webHidden/>
          </w:rPr>
          <w:instrText xml:space="preserve"> PAGEREF _Toc271280168 \h </w:instrText>
        </w:r>
        <w:r>
          <w:rPr>
            <w:webHidden/>
          </w:rPr>
        </w:r>
        <w:r>
          <w:rPr>
            <w:webHidden/>
          </w:rPr>
          <w:fldChar w:fldCharType="separate"/>
        </w:r>
        <w:r w:rsidR="005546A0">
          <w:rPr>
            <w:webHidden/>
          </w:rPr>
          <w:t>101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69" w:history="1">
        <w:r w:rsidR="008A1744" w:rsidRPr="001B438B">
          <w:rPr>
            <w:rStyle w:val="Hyperlink"/>
          </w:rPr>
          <w:t>Figure 6.24.  Ground Water Trends for pH, 1999–2008</w:t>
        </w:r>
        <w:r w:rsidR="008A1744">
          <w:rPr>
            <w:webHidden/>
          </w:rPr>
          <w:tab/>
        </w:r>
        <w:r>
          <w:rPr>
            <w:webHidden/>
          </w:rPr>
          <w:fldChar w:fldCharType="begin"/>
        </w:r>
        <w:r w:rsidR="008A1744">
          <w:rPr>
            <w:webHidden/>
          </w:rPr>
          <w:instrText xml:space="preserve"> PAGEREF _Toc271280169 \h </w:instrText>
        </w:r>
        <w:r>
          <w:rPr>
            <w:webHidden/>
          </w:rPr>
        </w:r>
        <w:r>
          <w:rPr>
            <w:webHidden/>
          </w:rPr>
          <w:fldChar w:fldCharType="separate"/>
        </w:r>
        <w:r w:rsidR="005546A0">
          <w:rPr>
            <w:webHidden/>
          </w:rPr>
          <w:t>102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0" w:history="1">
        <w:r w:rsidR="008A1744" w:rsidRPr="001B438B">
          <w:rPr>
            <w:rStyle w:val="Hyperlink"/>
          </w:rPr>
          <w:t>Figure 6.25.  Ground Water Trends for Depth to Water, 1999–2008</w:t>
        </w:r>
        <w:r w:rsidR="008A1744">
          <w:rPr>
            <w:webHidden/>
          </w:rPr>
          <w:tab/>
        </w:r>
        <w:r>
          <w:rPr>
            <w:webHidden/>
          </w:rPr>
          <w:fldChar w:fldCharType="begin"/>
        </w:r>
        <w:r w:rsidR="008A1744">
          <w:rPr>
            <w:webHidden/>
          </w:rPr>
          <w:instrText xml:space="preserve"> PAGEREF _Toc271280170 \h </w:instrText>
        </w:r>
        <w:r>
          <w:rPr>
            <w:webHidden/>
          </w:rPr>
        </w:r>
        <w:r>
          <w:rPr>
            <w:webHidden/>
          </w:rPr>
          <w:fldChar w:fldCharType="separate"/>
        </w:r>
        <w:r w:rsidR="005546A0">
          <w:rPr>
            <w:webHidden/>
          </w:rPr>
          <w:t>103</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1" w:history="1">
        <w:r w:rsidR="008A1744" w:rsidRPr="001B438B">
          <w:rPr>
            <w:rStyle w:val="Hyperlink"/>
          </w:rPr>
          <w:t>Figure 6.26.  Ground Water Trends for Total Dissolved Solids, 1999–2008</w:t>
        </w:r>
        <w:r w:rsidR="008A1744">
          <w:rPr>
            <w:webHidden/>
          </w:rPr>
          <w:tab/>
        </w:r>
        <w:r>
          <w:rPr>
            <w:webHidden/>
          </w:rPr>
          <w:fldChar w:fldCharType="begin"/>
        </w:r>
        <w:r w:rsidR="008A1744">
          <w:rPr>
            <w:webHidden/>
          </w:rPr>
          <w:instrText xml:space="preserve"> PAGEREF _Toc271280171 \h </w:instrText>
        </w:r>
        <w:r>
          <w:rPr>
            <w:webHidden/>
          </w:rPr>
        </w:r>
        <w:r>
          <w:rPr>
            <w:webHidden/>
          </w:rPr>
          <w:fldChar w:fldCharType="separate"/>
        </w:r>
        <w:r w:rsidR="005546A0">
          <w:rPr>
            <w:webHidden/>
          </w:rPr>
          <w:t>104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2" w:history="1">
        <w:r w:rsidR="008A1744" w:rsidRPr="001B438B">
          <w:rPr>
            <w:rStyle w:val="Hyperlink"/>
          </w:rPr>
          <w:t>Figure 6.27.  Ground Water Trends for Nitrate + Nitrite, 1999–2008</w:t>
        </w:r>
        <w:r w:rsidR="008A1744">
          <w:rPr>
            <w:webHidden/>
          </w:rPr>
          <w:tab/>
        </w:r>
        <w:r>
          <w:rPr>
            <w:webHidden/>
          </w:rPr>
          <w:fldChar w:fldCharType="begin"/>
        </w:r>
        <w:r w:rsidR="008A1744">
          <w:rPr>
            <w:webHidden/>
          </w:rPr>
          <w:instrText xml:space="preserve"> PAGEREF _Toc271280172 \h </w:instrText>
        </w:r>
        <w:r>
          <w:rPr>
            <w:webHidden/>
          </w:rPr>
        </w:r>
        <w:r>
          <w:rPr>
            <w:webHidden/>
          </w:rPr>
          <w:fldChar w:fldCharType="separate"/>
        </w:r>
        <w:r w:rsidR="005546A0">
          <w:rPr>
            <w:webHidden/>
          </w:rPr>
          <w:t>105</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3" w:history="1">
        <w:r w:rsidR="008A1744" w:rsidRPr="001B438B">
          <w:rPr>
            <w:rStyle w:val="Hyperlink"/>
          </w:rPr>
          <w:t>Figure 6.28.  Ground Water Trends for Phosphorus, 1999–2008</w:t>
        </w:r>
        <w:r w:rsidR="008A1744">
          <w:rPr>
            <w:webHidden/>
          </w:rPr>
          <w:tab/>
        </w:r>
        <w:r>
          <w:rPr>
            <w:webHidden/>
          </w:rPr>
          <w:fldChar w:fldCharType="begin"/>
        </w:r>
        <w:r w:rsidR="008A1744">
          <w:rPr>
            <w:webHidden/>
          </w:rPr>
          <w:instrText xml:space="preserve"> PAGEREF _Toc271280173 \h </w:instrText>
        </w:r>
        <w:r>
          <w:rPr>
            <w:webHidden/>
          </w:rPr>
        </w:r>
        <w:r>
          <w:rPr>
            <w:webHidden/>
          </w:rPr>
          <w:fldChar w:fldCharType="separate"/>
        </w:r>
        <w:r w:rsidR="005546A0">
          <w:rPr>
            <w:webHidden/>
          </w:rPr>
          <w:t>106</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4" w:history="1">
        <w:r w:rsidR="008A1744" w:rsidRPr="001B438B">
          <w:rPr>
            <w:rStyle w:val="Hyperlink"/>
          </w:rPr>
          <w:t>Figure 6.29.  Ground Water Trends for Potassium, 1999–2008</w:t>
        </w:r>
        <w:r w:rsidR="008A1744">
          <w:rPr>
            <w:webHidden/>
          </w:rPr>
          <w:tab/>
        </w:r>
        <w:r>
          <w:rPr>
            <w:webHidden/>
          </w:rPr>
          <w:fldChar w:fldCharType="begin"/>
        </w:r>
        <w:r w:rsidR="008A1744">
          <w:rPr>
            <w:webHidden/>
          </w:rPr>
          <w:instrText xml:space="preserve"> PAGEREF _Toc271280174 \h </w:instrText>
        </w:r>
        <w:r>
          <w:rPr>
            <w:webHidden/>
          </w:rPr>
        </w:r>
        <w:r>
          <w:rPr>
            <w:webHidden/>
          </w:rPr>
          <w:fldChar w:fldCharType="separate"/>
        </w:r>
        <w:r w:rsidR="005546A0">
          <w:rPr>
            <w:webHidden/>
          </w:rPr>
          <w:t>107</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5" w:history="1">
        <w:r w:rsidR="008A1744" w:rsidRPr="001B438B">
          <w:rPr>
            <w:rStyle w:val="Hyperlink"/>
          </w:rPr>
          <w:t>Figure 6.30.  Ground Water Trends for Sulfate, 1999–2008</w:t>
        </w:r>
        <w:r w:rsidR="008A1744">
          <w:rPr>
            <w:webHidden/>
          </w:rPr>
          <w:tab/>
        </w:r>
        <w:r>
          <w:rPr>
            <w:webHidden/>
          </w:rPr>
          <w:fldChar w:fldCharType="begin"/>
        </w:r>
        <w:r w:rsidR="008A1744">
          <w:rPr>
            <w:webHidden/>
          </w:rPr>
          <w:instrText xml:space="preserve"> PAGEREF _Toc271280175 \h </w:instrText>
        </w:r>
        <w:r>
          <w:rPr>
            <w:webHidden/>
          </w:rPr>
        </w:r>
        <w:r>
          <w:rPr>
            <w:webHidden/>
          </w:rPr>
          <w:fldChar w:fldCharType="separate"/>
        </w:r>
        <w:r w:rsidR="005546A0">
          <w:rPr>
            <w:webHidden/>
          </w:rPr>
          <w:t>108</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6" w:history="1">
        <w:r w:rsidR="008A1744" w:rsidRPr="001B438B">
          <w:rPr>
            <w:rStyle w:val="Hyperlink"/>
          </w:rPr>
          <w:t>Figure 6.31.  Ground Water Trends for Sodium, 1999–2008</w:t>
        </w:r>
        <w:r w:rsidR="008A1744">
          <w:rPr>
            <w:webHidden/>
          </w:rPr>
          <w:tab/>
        </w:r>
        <w:r>
          <w:rPr>
            <w:webHidden/>
          </w:rPr>
          <w:fldChar w:fldCharType="begin"/>
        </w:r>
        <w:r w:rsidR="008A1744">
          <w:rPr>
            <w:webHidden/>
          </w:rPr>
          <w:instrText xml:space="preserve"> PAGEREF _Toc271280176 \h </w:instrText>
        </w:r>
        <w:r>
          <w:rPr>
            <w:webHidden/>
          </w:rPr>
        </w:r>
        <w:r>
          <w:rPr>
            <w:webHidden/>
          </w:rPr>
          <w:fldChar w:fldCharType="separate"/>
        </w:r>
        <w:r w:rsidR="005546A0">
          <w:rPr>
            <w:webHidden/>
          </w:rPr>
          <w:t>109</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7" w:history="1">
        <w:r w:rsidR="008A1744" w:rsidRPr="001B438B">
          <w:rPr>
            <w:rStyle w:val="Hyperlink"/>
          </w:rPr>
          <w:t>Figure 6.32.  Ground Water Trends for Chloride, 1999–2008</w:t>
        </w:r>
        <w:r w:rsidR="008A1744">
          <w:rPr>
            <w:webHidden/>
          </w:rPr>
          <w:tab/>
        </w:r>
        <w:r>
          <w:rPr>
            <w:webHidden/>
          </w:rPr>
          <w:fldChar w:fldCharType="begin"/>
        </w:r>
        <w:r w:rsidR="008A1744">
          <w:rPr>
            <w:webHidden/>
          </w:rPr>
          <w:instrText xml:space="preserve"> PAGEREF _Toc271280177 \h </w:instrText>
        </w:r>
        <w:r>
          <w:rPr>
            <w:webHidden/>
          </w:rPr>
        </w:r>
        <w:r>
          <w:rPr>
            <w:webHidden/>
          </w:rPr>
          <w:fldChar w:fldCharType="separate"/>
        </w:r>
        <w:r w:rsidR="005546A0">
          <w:rPr>
            <w:webHidden/>
          </w:rPr>
          <w:t>110</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8" w:history="1">
        <w:r w:rsidR="008A1744" w:rsidRPr="001B438B">
          <w:rPr>
            <w:rStyle w:val="Hyperlink"/>
          </w:rPr>
          <w:t>Figure 6.33.  Ground Water Trends for Calcium, 1999–2008</w:t>
        </w:r>
        <w:r w:rsidR="008A1744">
          <w:rPr>
            <w:webHidden/>
          </w:rPr>
          <w:tab/>
        </w:r>
        <w:r>
          <w:rPr>
            <w:webHidden/>
          </w:rPr>
          <w:fldChar w:fldCharType="begin"/>
        </w:r>
        <w:r w:rsidR="008A1744">
          <w:rPr>
            <w:webHidden/>
          </w:rPr>
          <w:instrText xml:space="preserve"> PAGEREF _Toc271280178 \h </w:instrText>
        </w:r>
        <w:r>
          <w:rPr>
            <w:webHidden/>
          </w:rPr>
        </w:r>
        <w:r>
          <w:rPr>
            <w:webHidden/>
          </w:rPr>
          <w:fldChar w:fldCharType="separate"/>
        </w:r>
        <w:r w:rsidR="005546A0">
          <w:rPr>
            <w:webHidden/>
          </w:rPr>
          <w:t>111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79" w:history="1">
        <w:r w:rsidR="008A1744" w:rsidRPr="001B438B">
          <w:rPr>
            <w:rStyle w:val="Hyperlink"/>
          </w:rPr>
          <w:t>Figure 6.34.  Ground Water Trends for Magnesium, 1999–2008</w:t>
        </w:r>
        <w:r w:rsidR="008A1744">
          <w:rPr>
            <w:webHidden/>
          </w:rPr>
          <w:tab/>
        </w:r>
        <w:r>
          <w:rPr>
            <w:webHidden/>
          </w:rPr>
          <w:fldChar w:fldCharType="begin"/>
        </w:r>
        <w:r w:rsidR="008A1744">
          <w:rPr>
            <w:webHidden/>
          </w:rPr>
          <w:instrText xml:space="preserve"> PAGEREF _Toc271280179 \h </w:instrText>
        </w:r>
        <w:r>
          <w:rPr>
            <w:webHidden/>
          </w:rPr>
        </w:r>
        <w:r>
          <w:rPr>
            <w:webHidden/>
          </w:rPr>
          <w:fldChar w:fldCharType="separate"/>
        </w:r>
        <w:r w:rsidR="005546A0">
          <w:rPr>
            <w:webHidden/>
          </w:rPr>
          <w:t>112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0" w:history="1">
        <w:r w:rsidR="008A1744" w:rsidRPr="001B438B">
          <w:rPr>
            <w:rStyle w:val="Hyperlink"/>
          </w:rPr>
          <w:t>Figure 6.35.  Ground Water Trends for Alkalinity, 1999</w:t>
        </w:r>
        <w:r w:rsidR="008A1744" w:rsidRPr="001B438B">
          <w:rPr>
            <w:rStyle w:val="Hyperlink"/>
            <w:rFonts w:ascii="Times New Roman" w:hAnsi="Times New Roman"/>
          </w:rPr>
          <w:t>–</w:t>
        </w:r>
        <w:r w:rsidR="008A1744" w:rsidRPr="001B438B">
          <w:rPr>
            <w:rStyle w:val="Hyperlink"/>
          </w:rPr>
          <w:t>2008</w:t>
        </w:r>
        <w:r w:rsidR="008A1744">
          <w:rPr>
            <w:webHidden/>
          </w:rPr>
          <w:tab/>
        </w:r>
        <w:r>
          <w:rPr>
            <w:webHidden/>
          </w:rPr>
          <w:fldChar w:fldCharType="begin"/>
        </w:r>
        <w:r w:rsidR="008A1744">
          <w:rPr>
            <w:webHidden/>
          </w:rPr>
          <w:instrText xml:space="preserve"> PAGEREF _Toc271280180 \h </w:instrText>
        </w:r>
        <w:r>
          <w:rPr>
            <w:webHidden/>
          </w:rPr>
        </w:r>
        <w:r>
          <w:rPr>
            <w:webHidden/>
          </w:rPr>
          <w:fldChar w:fldCharType="separate"/>
        </w:r>
        <w:r w:rsidR="005546A0">
          <w:rPr>
            <w:webHidden/>
          </w:rPr>
          <w:t>113</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1" w:history="1">
        <w:r w:rsidR="008A1744" w:rsidRPr="001B438B">
          <w:rPr>
            <w:rStyle w:val="Hyperlink"/>
          </w:rPr>
          <w:t>Figure 6.36.  Ground Water Trends for Total Coliform, 1999–2008</w:t>
        </w:r>
        <w:r w:rsidR="008A1744">
          <w:rPr>
            <w:webHidden/>
          </w:rPr>
          <w:tab/>
        </w:r>
        <w:r>
          <w:rPr>
            <w:webHidden/>
          </w:rPr>
          <w:fldChar w:fldCharType="begin"/>
        </w:r>
        <w:r w:rsidR="008A1744">
          <w:rPr>
            <w:webHidden/>
          </w:rPr>
          <w:instrText xml:space="preserve"> PAGEREF _Toc271280181 \h </w:instrText>
        </w:r>
        <w:r>
          <w:rPr>
            <w:webHidden/>
          </w:rPr>
        </w:r>
        <w:r>
          <w:rPr>
            <w:webHidden/>
          </w:rPr>
          <w:fldChar w:fldCharType="separate"/>
        </w:r>
        <w:r w:rsidR="005546A0">
          <w:rPr>
            <w:webHidden/>
          </w:rPr>
          <w:t>114</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2" w:history="1">
        <w:r w:rsidR="008A1744" w:rsidRPr="001B438B">
          <w:rPr>
            <w:rStyle w:val="Hyperlink"/>
          </w:rPr>
          <w:t>Figure 6.37.  Ground Water Trends for Fecal Coliform, 1999–2008</w:t>
        </w:r>
        <w:r w:rsidR="008A1744">
          <w:rPr>
            <w:webHidden/>
          </w:rPr>
          <w:tab/>
        </w:r>
        <w:r>
          <w:rPr>
            <w:webHidden/>
          </w:rPr>
          <w:fldChar w:fldCharType="begin"/>
        </w:r>
        <w:r w:rsidR="008A1744">
          <w:rPr>
            <w:webHidden/>
          </w:rPr>
          <w:instrText xml:space="preserve"> PAGEREF _Toc271280182 \h </w:instrText>
        </w:r>
        <w:r>
          <w:rPr>
            <w:webHidden/>
          </w:rPr>
        </w:r>
        <w:r>
          <w:rPr>
            <w:webHidden/>
          </w:rPr>
          <w:fldChar w:fldCharType="separate"/>
        </w:r>
        <w:r w:rsidR="005546A0">
          <w:rPr>
            <w:webHidden/>
          </w:rPr>
          <w:t>115</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3" w:history="1">
        <w:r w:rsidR="008A1744" w:rsidRPr="001B438B">
          <w:rPr>
            <w:rStyle w:val="Hyperlink"/>
          </w:rPr>
          <w:t>Figure 7.1.  Period of Record Assessment Flow Chart</w:t>
        </w:r>
        <w:r w:rsidR="008A1744">
          <w:rPr>
            <w:webHidden/>
          </w:rPr>
          <w:tab/>
        </w:r>
        <w:r>
          <w:rPr>
            <w:webHidden/>
          </w:rPr>
          <w:fldChar w:fldCharType="begin"/>
        </w:r>
        <w:r w:rsidR="008A1744">
          <w:rPr>
            <w:webHidden/>
          </w:rPr>
          <w:instrText xml:space="preserve"> PAGEREF _Toc271280183 \h </w:instrText>
        </w:r>
        <w:r>
          <w:rPr>
            <w:webHidden/>
          </w:rPr>
        </w:r>
        <w:r>
          <w:rPr>
            <w:webHidden/>
          </w:rPr>
          <w:fldChar w:fldCharType="separate"/>
        </w:r>
        <w:r w:rsidR="005546A0">
          <w:rPr>
            <w:webHidden/>
          </w:rPr>
          <w:t>122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4" w:history="1">
        <w:r w:rsidR="008A1744" w:rsidRPr="001B438B">
          <w:rPr>
            <w:rStyle w:val="Hyperlink"/>
          </w:rPr>
          <w:t>Figure 8.1.  Decision Tree for Delisting Based on Chlorophyll a or TSI</w:t>
        </w:r>
        <w:r w:rsidR="008A1744">
          <w:rPr>
            <w:webHidden/>
          </w:rPr>
          <w:tab/>
        </w:r>
        <w:r>
          <w:rPr>
            <w:webHidden/>
          </w:rPr>
          <w:fldChar w:fldCharType="begin"/>
        </w:r>
        <w:r w:rsidR="008A1744">
          <w:rPr>
            <w:webHidden/>
          </w:rPr>
          <w:instrText xml:space="preserve"> PAGEREF _Toc271280184 \h </w:instrText>
        </w:r>
        <w:r>
          <w:rPr>
            <w:webHidden/>
          </w:rPr>
        </w:r>
        <w:r>
          <w:rPr>
            <w:webHidden/>
          </w:rPr>
          <w:fldChar w:fldCharType="separate"/>
        </w:r>
        <w:r w:rsidR="005546A0">
          <w:rPr>
            <w:webHidden/>
          </w:rPr>
          <w:t>130</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5" w:history="1">
        <w:r w:rsidR="008A1744" w:rsidRPr="001B438B">
          <w:rPr>
            <w:rStyle w:val="Hyperlink"/>
            <w:snapToGrid w:val="0"/>
          </w:rPr>
          <w:t>Figure 8.2.  Results of Florida’s Surface Water Quality Assessment for all Parameters (Excluding Mercury)</w:t>
        </w:r>
        <w:r w:rsidR="008A1744">
          <w:rPr>
            <w:webHidden/>
          </w:rPr>
          <w:tab/>
        </w:r>
        <w:r>
          <w:rPr>
            <w:webHidden/>
          </w:rPr>
          <w:fldChar w:fldCharType="begin"/>
        </w:r>
        <w:r w:rsidR="008A1744">
          <w:rPr>
            <w:webHidden/>
          </w:rPr>
          <w:instrText xml:space="preserve"> PAGEREF _Toc271280185 \h </w:instrText>
        </w:r>
        <w:r>
          <w:rPr>
            <w:webHidden/>
          </w:rPr>
        </w:r>
        <w:r>
          <w:rPr>
            <w:webHidden/>
          </w:rPr>
          <w:fldChar w:fldCharType="separate"/>
        </w:r>
        <w:r w:rsidR="005546A0">
          <w:rPr>
            <w:webHidden/>
          </w:rPr>
          <w:t>131</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6" w:history="1">
        <w:r w:rsidR="008A1744" w:rsidRPr="001B438B">
          <w:rPr>
            <w:rStyle w:val="Hyperlink"/>
            <w:snapToGrid w:val="0"/>
          </w:rPr>
          <w:t>Figure 8.3.  Results of Florida’s Surface Water Quality Assessment for Mercury</w:t>
        </w:r>
        <w:r w:rsidR="008A1744">
          <w:rPr>
            <w:webHidden/>
          </w:rPr>
          <w:tab/>
        </w:r>
        <w:r>
          <w:rPr>
            <w:webHidden/>
          </w:rPr>
          <w:fldChar w:fldCharType="begin"/>
        </w:r>
        <w:r w:rsidR="008A1744">
          <w:rPr>
            <w:webHidden/>
          </w:rPr>
          <w:instrText xml:space="preserve"> PAGEREF _Toc271280186 \h </w:instrText>
        </w:r>
        <w:r>
          <w:rPr>
            <w:webHidden/>
          </w:rPr>
        </w:r>
        <w:r>
          <w:rPr>
            <w:webHidden/>
          </w:rPr>
          <w:fldChar w:fldCharType="separate"/>
        </w:r>
        <w:r w:rsidR="005546A0">
          <w:rPr>
            <w:webHidden/>
          </w:rPr>
          <w:t>132</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7" w:history="1">
        <w:r w:rsidR="008A1744" w:rsidRPr="001B438B">
          <w:rPr>
            <w:rStyle w:val="Hyperlink"/>
          </w:rPr>
          <w:t>Figure 10.1.  Numbers of Primary MCL Exceedances in Samples from Public Water Systems and Private Wells for the Recent 2-Year Period</w:t>
        </w:r>
        <w:r w:rsidR="008A1744">
          <w:rPr>
            <w:webHidden/>
          </w:rPr>
          <w:tab/>
        </w:r>
        <w:r>
          <w:rPr>
            <w:webHidden/>
          </w:rPr>
          <w:fldChar w:fldCharType="begin"/>
        </w:r>
        <w:r w:rsidR="008A1744">
          <w:rPr>
            <w:webHidden/>
          </w:rPr>
          <w:instrText xml:space="preserve"> PAGEREF _Toc271280187 \h </w:instrText>
        </w:r>
        <w:r>
          <w:rPr>
            <w:webHidden/>
          </w:rPr>
        </w:r>
        <w:r>
          <w:rPr>
            <w:webHidden/>
          </w:rPr>
          <w:fldChar w:fldCharType="separate"/>
        </w:r>
        <w:r w:rsidR="005546A0">
          <w:rPr>
            <w:webHidden/>
          </w:rPr>
          <w:t>147</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8" w:history="1">
        <w:r w:rsidR="008A1744" w:rsidRPr="001B438B">
          <w:rPr>
            <w:rStyle w:val="Hyperlink"/>
          </w:rPr>
          <w:t>Figure 10.2.  Median Concentrations of Nitrate + Nitrite in FDEP’s Spring Network (2001–06)</w:t>
        </w:r>
        <w:r w:rsidR="008A1744">
          <w:rPr>
            <w:webHidden/>
          </w:rPr>
          <w:tab/>
        </w:r>
        <w:r>
          <w:rPr>
            <w:webHidden/>
          </w:rPr>
          <w:fldChar w:fldCharType="begin"/>
        </w:r>
        <w:r w:rsidR="008A1744">
          <w:rPr>
            <w:webHidden/>
          </w:rPr>
          <w:instrText xml:space="preserve"> PAGEREF _Toc271280188 \h </w:instrText>
        </w:r>
        <w:r>
          <w:rPr>
            <w:webHidden/>
          </w:rPr>
        </w:r>
        <w:r>
          <w:rPr>
            <w:webHidden/>
          </w:rPr>
          <w:fldChar w:fldCharType="separate"/>
        </w:r>
        <w:r w:rsidR="005546A0">
          <w:rPr>
            <w:webHidden/>
          </w:rPr>
          <w:t>159</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89" w:history="1">
        <w:r w:rsidR="008A1744" w:rsidRPr="001B438B">
          <w:rPr>
            <w:rStyle w:val="Hyperlink"/>
          </w:rPr>
          <w:t>Figure 10.3.  Median Orthophosphate Concentrations in the Spring Network, 2001–06</w:t>
        </w:r>
        <w:r w:rsidR="008A1744">
          <w:rPr>
            <w:webHidden/>
          </w:rPr>
          <w:tab/>
        </w:r>
        <w:r>
          <w:rPr>
            <w:webHidden/>
          </w:rPr>
          <w:fldChar w:fldCharType="begin"/>
        </w:r>
        <w:r w:rsidR="008A1744">
          <w:rPr>
            <w:webHidden/>
          </w:rPr>
          <w:instrText xml:space="preserve"> PAGEREF _Toc271280189 \h </w:instrText>
        </w:r>
        <w:r>
          <w:rPr>
            <w:webHidden/>
          </w:rPr>
        </w:r>
        <w:r>
          <w:rPr>
            <w:webHidden/>
          </w:rPr>
          <w:fldChar w:fldCharType="separate"/>
        </w:r>
        <w:r w:rsidR="005546A0">
          <w:rPr>
            <w:webHidden/>
          </w:rPr>
          <w:t>160</w:t>
        </w:r>
        <w:r>
          <w:rPr>
            <w:webHidden/>
          </w:rPr>
          <w:fldChar w:fldCharType="end"/>
        </w:r>
      </w:hyperlink>
    </w:p>
    <w:p w:rsidR="008A1744" w:rsidRDefault="00B2471C">
      <w:pPr>
        <w:pStyle w:val="TableofFigures"/>
        <w:rPr>
          <w:rFonts w:asciiTheme="minorHAnsi" w:eastAsiaTheme="minorEastAsia" w:hAnsiTheme="minorHAnsi" w:cstheme="minorBidi"/>
          <w:b w:val="0"/>
          <w:bCs w:val="0"/>
          <w:i w:val="0"/>
        </w:rPr>
      </w:pPr>
      <w:hyperlink w:anchor="_Toc271280190" w:history="1">
        <w:r w:rsidR="008A1744" w:rsidRPr="001B438B">
          <w:rPr>
            <w:rStyle w:val="Hyperlink"/>
            <w:snapToGrid w:val="0"/>
          </w:rPr>
          <w:t>Figure 11.1.  Agencies Responsible for Water Resource Coordination and Management in Florida</w:t>
        </w:r>
        <w:r w:rsidR="008A1744">
          <w:rPr>
            <w:webHidden/>
          </w:rPr>
          <w:tab/>
        </w:r>
        <w:r>
          <w:rPr>
            <w:webHidden/>
          </w:rPr>
          <w:fldChar w:fldCharType="begin"/>
        </w:r>
        <w:r w:rsidR="008A1744">
          <w:rPr>
            <w:webHidden/>
          </w:rPr>
          <w:instrText xml:space="preserve"> PAGEREF _Toc271280190 \h </w:instrText>
        </w:r>
        <w:r>
          <w:rPr>
            <w:webHidden/>
          </w:rPr>
        </w:r>
        <w:r>
          <w:rPr>
            <w:webHidden/>
          </w:rPr>
          <w:fldChar w:fldCharType="separate"/>
        </w:r>
        <w:r w:rsidR="005546A0">
          <w:rPr>
            <w:webHidden/>
          </w:rPr>
          <w:t>179</w:t>
        </w:r>
        <w:r>
          <w:rPr>
            <w:webHidden/>
          </w:rPr>
          <w:fldChar w:fldCharType="end"/>
        </w:r>
      </w:hyperlink>
    </w:p>
    <w:p w:rsidR="00485094" w:rsidRDefault="00B2471C" w:rsidP="00FE7836">
      <w:pPr>
        <w:pStyle w:val="TableofFigures"/>
      </w:pPr>
      <w:r>
        <w:rPr>
          <w:rFonts w:cs="Arial"/>
        </w:rPr>
        <w:fldChar w:fldCharType="end"/>
      </w:r>
    </w:p>
    <w:p w:rsidR="00485094" w:rsidRPr="000D1C65" w:rsidRDefault="00485094" w:rsidP="00A553DE">
      <w:pPr>
        <w:pStyle w:val="Bodytextreduced"/>
      </w:pPr>
      <w:r w:rsidRPr="003A4461">
        <w:br w:type="page"/>
      </w:r>
    </w:p>
    <w:p w:rsidR="00485094" w:rsidRDefault="00485094" w:rsidP="00B370E1">
      <w:pPr>
        <w:pStyle w:val="Heading1"/>
      </w:pPr>
      <w:bookmarkStart w:id="1" w:name="_Toc271794290"/>
      <w:bookmarkStart w:id="2" w:name="_Toc255822479"/>
      <w:bookmarkStart w:id="3" w:name="_Toc256082336"/>
      <w:bookmarkStart w:id="4" w:name="_Ref263768513"/>
      <w:bookmarkStart w:id="5" w:name="_Ref263768514"/>
      <w:bookmarkStart w:id="6" w:name="_Ref263768515"/>
      <w:bookmarkStart w:id="7" w:name="_Ref263768588"/>
      <w:r>
        <w:lastRenderedPageBreak/>
        <w:t>List of Acronyms and Abbreviations</w:t>
      </w:r>
      <w:bookmarkEnd w:id="1"/>
    </w:p>
    <w:p w:rsidR="00485094" w:rsidRPr="00612D89" w:rsidRDefault="00FC23B4" w:rsidP="00B370E1">
      <w:pPr>
        <w:rPr>
          <w:rFonts w:ascii="Arial" w:hAnsi="Arial" w:cs="Arial"/>
          <w:snapToGrid w:val="0"/>
          <w:sz w:val="22"/>
          <w:szCs w:val="22"/>
        </w:rPr>
      </w:pPr>
      <w:r w:rsidRPr="00647972">
        <w:rPr>
          <w:rFonts w:ascii="Symbol" w:hAnsi="Symbol" w:cs="Arial"/>
          <w:sz w:val="22"/>
          <w:szCs w:val="22"/>
        </w:rPr>
        <w:t></w:t>
      </w:r>
      <w:r w:rsidR="00485094" w:rsidRPr="00612D89">
        <w:rPr>
          <w:rFonts w:ascii="Arial" w:hAnsi="Arial" w:cs="Arial"/>
          <w:bCs/>
          <w:sz w:val="22"/>
          <w:szCs w:val="22"/>
        </w:rPr>
        <w:t>g</w:t>
      </w:r>
      <w:r w:rsidR="00485094" w:rsidRPr="00612D89">
        <w:rPr>
          <w:rFonts w:ascii="Arial" w:hAnsi="Arial" w:cs="Arial"/>
          <w:bCs/>
          <w:sz w:val="22"/>
          <w:szCs w:val="22"/>
        </w:rPr>
        <w:tab/>
      </w:r>
      <w:r w:rsidR="00485094" w:rsidRPr="00612D89">
        <w:rPr>
          <w:rFonts w:ascii="Arial" w:hAnsi="Arial" w:cs="Arial"/>
          <w:bCs/>
          <w:sz w:val="22"/>
          <w:szCs w:val="22"/>
        </w:rPr>
        <w:tab/>
        <w:t>Microgram</w:t>
      </w:r>
      <w:r w:rsidR="00485094" w:rsidRPr="00612D89">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647972">
        <w:rPr>
          <w:rFonts w:ascii="Symbol" w:hAnsi="Symbol" w:cs="Arial"/>
          <w:sz w:val="22"/>
          <w:szCs w:val="22"/>
        </w:rPr>
        <w:t></w:t>
      </w:r>
      <w:r w:rsidRPr="008B7C73">
        <w:rPr>
          <w:rFonts w:ascii="Arial" w:hAnsi="Arial" w:cs="Arial"/>
          <w:sz w:val="22"/>
          <w:szCs w:val="22"/>
        </w:rPr>
        <w:t xml:space="preserve">g/L </w:t>
      </w:r>
      <w:r>
        <w:rPr>
          <w:rFonts w:ascii="Arial" w:hAnsi="Arial" w:cs="Arial"/>
          <w:sz w:val="22"/>
          <w:szCs w:val="22"/>
        </w:rPr>
        <w:tab/>
      </w:r>
      <w:r>
        <w:rPr>
          <w:rFonts w:ascii="Arial" w:hAnsi="Arial" w:cs="Arial"/>
          <w:sz w:val="22"/>
          <w:szCs w:val="22"/>
        </w:rPr>
        <w:tab/>
        <w:t>Micrograms per Liter</w:t>
      </w:r>
    </w:p>
    <w:p w:rsidR="00485094"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S</w:t>
      </w:r>
      <w:r w:rsidR="00485094">
        <w:rPr>
          <w:rFonts w:ascii="Arial" w:hAnsi="Arial" w:cs="Arial"/>
          <w:sz w:val="22"/>
          <w:szCs w:val="22"/>
        </w:rPr>
        <w:tab/>
      </w:r>
      <w:r w:rsidR="00485094">
        <w:rPr>
          <w:rFonts w:ascii="Arial" w:hAnsi="Arial" w:cs="Arial"/>
          <w:sz w:val="22"/>
          <w:szCs w:val="22"/>
        </w:rPr>
        <w:tab/>
      </w:r>
      <w:proofErr w:type="spellStart"/>
      <w:r w:rsidR="00485094">
        <w:rPr>
          <w:rFonts w:ascii="Arial" w:hAnsi="Arial" w:cs="Arial"/>
          <w:sz w:val="22"/>
          <w:szCs w:val="22"/>
        </w:rPr>
        <w:t>MicroSiemen</w:t>
      </w:r>
      <w:proofErr w:type="spellEnd"/>
      <w:r w:rsidR="00485094" w:rsidRPr="008B7C73">
        <w:rPr>
          <w:rFonts w:ascii="Arial" w:hAnsi="Arial" w:cs="Arial"/>
          <w:sz w:val="22"/>
          <w:szCs w:val="22"/>
        </w:rPr>
        <w:t xml:space="preserve"> </w:t>
      </w:r>
    </w:p>
    <w:p w:rsidR="00485094" w:rsidRPr="008B7C73" w:rsidRDefault="00FC23B4" w:rsidP="00B370E1">
      <w:pPr>
        <w:rPr>
          <w:rFonts w:ascii="Arial" w:hAnsi="Arial" w:cs="Arial"/>
          <w:sz w:val="22"/>
          <w:szCs w:val="22"/>
        </w:rPr>
      </w:pPr>
      <w:r w:rsidRPr="00647972">
        <w:rPr>
          <w:rFonts w:ascii="Symbol" w:hAnsi="Symbol" w:cs="Arial"/>
          <w:sz w:val="22"/>
          <w:szCs w:val="22"/>
        </w:rPr>
        <w:t></w:t>
      </w:r>
      <w:r w:rsidR="00485094" w:rsidRPr="008B7C73">
        <w:rPr>
          <w:rFonts w:ascii="Arial" w:hAnsi="Arial" w:cs="Arial"/>
          <w:sz w:val="22"/>
          <w:szCs w:val="22"/>
        </w:rPr>
        <w:t xml:space="preserve">S/cm </w:t>
      </w:r>
      <w:r w:rsidR="00485094">
        <w:rPr>
          <w:rFonts w:ascii="Arial" w:hAnsi="Arial" w:cs="Arial"/>
          <w:sz w:val="22"/>
          <w:szCs w:val="22"/>
        </w:rPr>
        <w:tab/>
      </w:r>
      <w:r w:rsidR="00485094">
        <w:rPr>
          <w:rFonts w:ascii="Arial" w:hAnsi="Arial" w:cs="Arial"/>
          <w:sz w:val="22"/>
          <w:szCs w:val="22"/>
        </w:rPr>
        <w:tab/>
      </w:r>
      <w:proofErr w:type="spellStart"/>
      <w:r w:rsidR="00485094">
        <w:rPr>
          <w:rFonts w:ascii="Arial" w:hAnsi="Arial" w:cs="Arial"/>
          <w:sz w:val="22"/>
          <w:szCs w:val="22"/>
        </w:rPr>
        <w:t>M</w:t>
      </w:r>
      <w:r w:rsidR="00485094" w:rsidRPr="008B7C73">
        <w:rPr>
          <w:rFonts w:ascii="Arial" w:hAnsi="Arial" w:cs="Arial"/>
          <w:sz w:val="22"/>
          <w:szCs w:val="22"/>
        </w:rPr>
        <w:t>icroSiemens</w:t>
      </w:r>
      <w:proofErr w:type="spellEnd"/>
      <w:r w:rsidR="00485094" w:rsidRPr="008B7C73">
        <w:rPr>
          <w:rFonts w:ascii="Arial" w:hAnsi="Arial" w:cs="Arial"/>
          <w:sz w:val="22"/>
          <w:szCs w:val="22"/>
        </w:rPr>
        <w:t xml:space="preserve"> per </w:t>
      </w:r>
      <w:r w:rsidR="00485094">
        <w:rPr>
          <w:rFonts w:ascii="Arial" w:hAnsi="Arial" w:cs="Arial"/>
          <w:sz w:val="22"/>
          <w:szCs w:val="22"/>
        </w:rPr>
        <w:t>C</w:t>
      </w:r>
      <w:r w:rsidR="00485094" w:rsidRPr="008B7C73">
        <w:rPr>
          <w:rFonts w:ascii="Arial" w:hAnsi="Arial" w:cs="Arial"/>
          <w:sz w:val="22"/>
          <w:szCs w:val="22"/>
        </w:rPr>
        <w:t xml:space="preserve">entimeter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ALK </w:t>
      </w:r>
      <w:r>
        <w:rPr>
          <w:rFonts w:ascii="Arial" w:hAnsi="Arial" w:cs="Arial"/>
          <w:sz w:val="22"/>
          <w:szCs w:val="22"/>
        </w:rPr>
        <w:tab/>
      </w:r>
      <w:r>
        <w:rPr>
          <w:rFonts w:ascii="Arial" w:hAnsi="Arial" w:cs="Arial"/>
          <w:sz w:val="22"/>
          <w:szCs w:val="22"/>
        </w:rPr>
        <w:tab/>
      </w:r>
      <w:r w:rsidRPr="008B7C73">
        <w:rPr>
          <w:rFonts w:ascii="Arial" w:hAnsi="Arial" w:cs="Arial"/>
          <w:sz w:val="22"/>
          <w:szCs w:val="22"/>
        </w:rPr>
        <w:t>Alkalinity</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Arsenic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ASR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Aquifer Storage and Recovery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ATAC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Allocation Technical Advisory Committee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BGD </w:t>
      </w:r>
      <w:r>
        <w:rPr>
          <w:rFonts w:ascii="Arial" w:hAnsi="Arial" w:cs="Arial"/>
          <w:snapToGrid w:val="0"/>
          <w:sz w:val="22"/>
          <w:szCs w:val="22"/>
        </w:rPr>
        <w:tab/>
      </w:r>
      <w:r>
        <w:rPr>
          <w:rFonts w:ascii="Arial" w:hAnsi="Arial" w:cs="Arial"/>
          <w:snapToGrid w:val="0"/>
          <w:sz w:val="22"/>
          <w:szCs w:val="22"/>
        </w:rPr>
        <w:tab/>
        <w:t>B</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BioRecon </w:t>
      </w:r>
      <w:r>
        <w:rPr>
          <w:rFonts w:ascii="Arial" w:hAnsi="Arial" w:cs="Arial"/>
          <w:sz w:val="22"/>
          <w:szCs w:val="22"/>
        </w:rPr>
        <w:tab/>
      </w:r>
      <w:r w:rsidRPr="008B7C73">
        <w:rPr>
          <w:rFonts w:ascii="Arial" w:hAnsi="Arial" w:cs="Arial"/>
          <w:sz w:val="22"/>
          <w:szCs w:val="22"/>
        </w:rPr>
        <w:t xml:space="preserve">BioReconnaissance  </w:t>
      </w:r>
    </w:p>
    <w:p w:rsidR="00485094" w:rsidRPr="008B7C73" w:rsidRDefault="00485094" w:rsidP="00B370E1">
      <w:pPr>
        <w:rPr>
          <w:rFonts w:ascii="Arial" w:hAnsi="Arial" w:cs="Arial"/>
          <w:sz w:val="22"/>
          <w:szCs w:val="22"/>
        </w:rPr>
      </w:pPr>
      <w:r w:rsidRPr="008B7C73">
        <w:rPr>
          <w:rFonts w:ascii="Arial" w:hAnsi="Arial" w:cs="Arial"/>
          <w:sz w:val="22"/>
          <w:szCs w:val="22"/>
        </w:rPr>
        <w:t>BMAP</w:t>
      </w:r>
      <w:r>
        <w:rPr>
          <w:rFonts w:ascii="Arial" w:hAnsi="Arial" w:cs="Arial"/>
          <w:sz w:val="22"/>
          <w:szCs w:val="22"/>
        </w:rPr>
        <w:tab/>
      </w:r>
      <w:r w:rsidRPr="008B7C73">
        <w:rPr>
          <w:rFonts w:ascii="Arial" w:hAnsi="Arial" w:cs="Arial"/>
          <w:sz w:val="22"/>
          <w:szCs w:val="22"/>
        </w:rPr>
        <w:t xml:space="preserve"> </w:t>
      </w:r>
      <w:r>
        <w:rPr>
          <w:rFonts w:ascii="Arial" w:hAnsi="Arial" w:cs="Arial"/>
          <w:sz w:val="22"/>
          <w:szCs w:val="22"/>
        </w:rPr>
        <w:tab/>
      </w:r>
      <w:r w:rsidRPr="008B7C73">
        <w:rPr>
          <w:rFonts w:ascii="Arial" w:hAnsi="Arial" w:cs="Arial"/>
          <w:sz w:val="22"/>
          <w:szCs w:val="22"/>
        </w:rPr>
        <w:t xml:space="preserve">Basin Management Action Plan  </w:t>
      </w:r>
    </w:p>
    <w:p w:rsidR="00485094" w:rsidRPr="008B7C73" w:rsidRDefault="00485094" w:rsidP="00B370E1">
      <w:pPr>
        <w:rPr>
          <w:rFonts w:ascii="Arial" w:hAnsi="Arial" w:cs="Arial"/>
          <w:sz w:val="22"/>
          <w:szCs w:val="22"/>
        </w:rPr>
      </w:pPr>
      <w:r w:rsidRPr="008B7C73">
        <w:rPr>
          <w:rFonts w:ascii="Arial" w:hAnsi="Arial" w:cs="Arial"/>
          <w:sz w:val="22"/>
          <w:szCs w:val="22"/>
        </w:rPr>
        <w:t>BMP</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Best </w:t>
      </w:r>
      <w:r>
        <w:rPr>
          <w:rFonts w:ascii="Arial" w:hAnsi="Arial" w:cs="Arial"/>
          <w:sz w:val="22"/>
          <w:szCs w:val="22"/>
        </w:rPr>
        <w:t>M</w:t>
      </w:r>
      <w:r w:rsidRPr="008B7C73">
        <w:rPr>
          <w:rFonts w:ascii="Arial" w:hAnsi="Arial" w:cs="Arial"/>
          <w:sz w:val="22"/>
          <w:szCs w:val="22"/>
        </w:rPr>
        <w:t xml:space="preserve">anagement </w:t>
      </w:r>
      <w:r>
        <w:rPr>
          <w:rFonts w:ascii="Arial" w:hAnsi="Arial" w:cs="Arial"/>
          <w:sz w:val="22"/>
          <w:szCs w:val="22"/>
        </w:rPr>
        <w:t>P</w:t>
      </w:r>
      <w:r w:rsidRPr="008B7C73">
        <w:rPr>
          <w:rFonts w:ascii="Arial" w:hAnsi="Arial" w:cs="Arial"/>
          <w:sz w:val="22"/>
          <w:szCs w:val="22"/>
        </w:rPr>
        <w:t xml:space="preserve">ractice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BOD </w:t>
      </w:r>
      <w:r>
        <w:rPr>
          <w:rFonts w:ascii="Arial" w:hAnsi="Arial" w:cs="Arial"/>
          <w:sz w:val="22"/>
          <w:szCs w:val="22"/>
        </w:rPr>
        <w:tab/>
      </w:r>
      <w:r>
        <w:rPr>
          <w:rFonts w:ascii="Arial" w:hAnsi="Arial" w:cs="Arial"/>
          <w:sz w:val="22"/>
          <w:szCs w:val="22"/>
        </w:rPr>
        <w:tab/>
        <w:t>B</w:t>
      </w:r>
      <w:r w:rsidRPr="008B7C73">
        <w:rPr>
          <w:rFonts w:ascii="Arial" w:hAnsi="Arial" w:cs="Arial"/>
          <w:sz w:val="22"/>
          <w:szCs w:val="22"/>
        </w:rPr>
        <w:t xml:space="preserve">iological </w:t>
      </w:r>
      <w:r>
        <w:rPr>
          <w:rFonts w:ascii="Arial" w:hAnsi="Arial" w:cs="Arial"/>
          <w:sz w:val="22"/>
          <w:szCs w:val="22"/>
        </w:rPr>
        <w:t>O</w:t>
      </w:r>
      <w:r w:rsidRPr="008B7C73">
        <w:rPr>
          <w:rFonts w:ascii="Arial" w:hAnsi="Arial" w:cs="Arial"/>
          <w:sz w:val="22"/>
          <w:szCs w:val="22"/>
        </w:rPr>
        <w:t xml:space="preserve">xygen </w:t>
      </w:r>
      <w:r>
        <w:rPr>
          <w:rFonts w:ascii="Arial" w:hAnsi="Arial" w:cs="Arial"/>
          <w:sz w:val="22"/>
          <w:szCs w:val="22"/>
        </w:rPr>
        <w:t>D</w:t>
      </w:r>
      <w:r w:rsidRPr="008B7C73">
        <w:rPr>
          <w:rFonts w:ascii="Arial" w:hAnsi="Arial" w:cs="Arial"/>
          <w:sz w:val="22"/>
          <w:szCs w:val="22"/>
        </w:rPr>
        <w:t xml:space="preserve">emand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BRACE </w:t>
      </w:r>
      <w:r>
        <w:rPr>
          <w:rFonts w:ascii="Arial" w:hAnsi="Arial" w:cs="Arial"/>
          <w:sz w:val="22"/>
          <w:szCs w:val="22"/>
        </w:rPr>
        <w:tab/>
      </w:r>
      <w:r w:rsidRPr="008B7C73">
        <w:rPr>
          <w:rFonts w:ascii="Arial" w:hAnsi="Arial" w:cs="Arial"/>
          <w:sz w:val="22"/>
          <w:szCs w:val="22"/>
        </w:rPr>
        <w:t xml:space="preserve">Bay Regional Atmospheric Chemistry Experiment  </w:t>
      </w:r>
    </w:p>
    <w:p w:rsidR="00485094" w:rsidRPr="008B7C73" w:rsidRDefault="00542E8A" w:rsidP="00B370E1">
      <w:pPr>
        <w:rPr>
          <w:rFonts w:ascii="Arial" w:hAnsi="Arial" w:cs="Arial"/>
          <w:sz w:val="22"/>
          <w:szCs w:val="22"/>
        </w:rPr>
      </w:pPr>
      <w:r>
        <w:rPr>
          <w:rFonts w:ascii="Arial" w:hAnsi="Arial" w:cs="Arial"/>
          <w:sz w:val="22"/>
          <w:szCs w:val="22"/>
        </w:rPr>
        <w:t>Ca</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Calcium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CaCO3 </w:t>
      </w:r>
      <w:r>
        <w:rPr>
          <w:rFonts w:ascii="Arial" w:hAnsi="Arial" w:cs="Arial"/>
          <w:sz w:val="22"/>
          <w:szCs w:val="22"/>
        </w:rPr>
        <w:tab/>
      </w:r>
      <w:r w:rsidRPr="008B7C73">
        <w:rPr>
          <w:rFonts w:ascii="Arial" w:hAnsi="Arial" w:cs="Arial"/>
          <w:sz w:val="22"/>
          <w:szCs w:val="22"/>
        </w:rPr>
        <w:t>Calcium Carbonate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CAMA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Coastal and Aquatic Managed Areas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CARL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Conservation and Recreation Lands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CBI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Biomonitoring Inspection  </w:t>
      </w:r>
    </w:p>
    <w:p w:rsidR="00485094" w:rsidRDefault="00485094" w:rsidP="00B370E1">
      <w:pPr>
        <w:rPr>
          <w:rFonts w:ascii="Arial" w:hAnsi="Arial" w:cs="Arial"/>
          <w:sz w:val="22"/>
          <w:szCs w:val="22"/>
        </w:rPr>
      </w:pPr>
      <w:r w:rsidRPr="008B7C73">
        <w:rPr>
          <w:rFonts w:ascii="Arial" w:hAnsi="Arial" w:cs="Arial"/>
          <w:sz w:val="22"/>
          <w:szCs w:val="22"/>
        </w:rPr>
        <w:t xml:space="preserve">CBIR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Community Budget Initiative Request  </w:t>
      </w:r>
    </w:p>
    <w:p w:rsidR="00485094" w:rsidRDefault="00485094" w:rsidP="00B370E1">
      <w:pPr>
        <w:rPr>
          <w:rFonts w:ascii="Arial" w:hAnsi="Arial" w:cs="Arial"/>
          <w:sz w:val="22"/>
          <w:szCs w:val="22"/>
        </w:rPr>
      </w:pPr>
      <w:r w:rsidRPr="008B7C73">
        <w:rPr>
          <w:rFonts w:ascii="Arial" w:hAnsi="Arial" w:cs="Arial"/>
          <w:sz w:val="22"/>
          <w:szCs w:val="22"/>
        </w:rPr>
        <w:t xml:space="preserve">CCMP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Comprehensive Conservation and Management Plan </w:t>
      </w:r>
    </w:p>
    <w:p w:rsidR="00485094" w:rsidRPr="008B7C73" w:rsidRDefault="00485094" w:rsidP="00B370E1">
      <w:pPr>
        <w:rPr>
          <w:rFonts w:ascii="Arial" w:hAnsi="Arial" w:cs="Arial"/>
          <w:sz w:val="22"/>
          <w:szCs w:val="22"/>
        </w:rPr>
      </w:pPr>
      <w:r w:rsidRPr="004853D4">
        <w:rPr>
          <w:rFonts w:ascii="Arial" w:hAnsi="Arial" w:cs="Arial"/>
          <w:sz w:val="22"/>
          <w:szCs w:val="22"/>
        </w:rPr>
        <w:t>CCUA</w:t>
      </w:r>
      <w:r>
        <w:rPr>
          <w:rFonts w:ascii="Arial" w:hAnsi="Arial" w:cs="Arial"/>
          <w:sz w:val="22"/>
          <w:szCs w:val="22"/>
        </w:rPr>
        <w:tab/>
      </w:r>
      <w:r>
        <w:rPr>
          <w:rFonts w:ascii="Arial" w:hAnsi="Arial" w:cs="Arial"/>
          <w:sz w:val="22"/>
          <w:szCs w:val="22"/>
        </w:rPr>
        <w:tab/>
        <w:t>Clay County Utility Authority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CEI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Evaluation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CERCLA </w:t>
      </w:r>
      <w:r>
        <w:rPr>
          <w:rFonts w:ascii="Arial" w:hAnsi="Arial" w:cs="Arial"/>
          <w:sz w:val="22"/>
          <w:szCs w:val="22"/>
        </w:rPr>
        <w:tab/>
      </w:r>
      <w:r w:rsidRPr="008B7C73">
        <w:rPr>
          <w:rFonts w:ascii="Arial" w:hAnsi="Arial" w:cs="Arial"/>
          <w:sz w:val="22"/>
          <w:szCs w:val="22"/>
        </w:rPr>
        <w:t xml:space="preserve">Comprehensive Environmental Response Compensation and Liability Act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CERP </w:t>
      </w:r>
      <w:r w:rsidRPr="0093636F">
        <w:rPr>
          <w:rFonts w:ascii="Arial" w:hAnsi="Arial" w:cs="Arial"/>
          <w:sz w:val="22"/>
          <w:szCs w:val="22"/>
        </w:rPr>
        <w:tab/>
      </w:r>
      <w:r w:rsidRPr="0093636F">
        <w:rPr>
          <w:rFonts w:ascii="Arial" w:hAnsi="Arial" w:cs="Arial"/>
          <w:sz w:val="22"/>
          <w:szCs w:val="22"/>
        </w:rPr>
        <w:tab/>
      </w:r>
      <w:r>
        <w:rPr>
          <w:rFonts w:ascii="Arial" w:hAnsi="Arial" w:cs="Arial"/>
          <w:sz w:val="22"/>
          <w:szCs w:val="22"/>
        </w:rPr>
        <w:t>Comprehensive Everglades Restoration Plan</w:t>
      </w:r>
      <w:r w:rsidRPr="0093636F">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cfs </w:t>
      </w:r>
      <w:r>
        <w:rPr>
          <w:rFonts w:ascii="Arial" w:hAnsi="Arial" w:cs="Arial"/>
          <w:snapToGrid w:val="0"/>
          <w:sz w:val="22"/>
          <w:szCs w:val="22"/>
        </w:rPr>
        <w:tab/>
      </w:r>
      <w:r>
        <w:rPr>
          <w:rFonts w:ascii="Arial" w:hAnsi="Arial" w:cs="Arial"/>
          <w:snapToGrid w:val="0"/>
          <w:sz w:val="22"/>
          <w:szCs w:val="22"/>
        </w:rPr>
        <w:tab/>
        <w:t>C</w:t>
      </w:r>
      <w:r w:rsidRPr="008B7C73">
        <w:rPr>
          <w:rFonts w:ascii="Arial" w:hAnsi="Arial" w:cs="Arial"/>
          <w:snapToGrid w:val="0"/>
          <w:sz w:val="22"/>
          <w:szCs w:val="22"/>
        </w:rPr>
        <w:t xml:space="preserve">ubic </w:t>
      </w:r>
      <w:r>
        <w:rPr>
          <w:rFonts w:ascii="Arial" w:hAnsi="Arial" w:cs="Arial"/>
          <w:snapToGrid w:val="0"/>
          <w:sz w:val="22"/>
          <w:szCs w:val="22"/>
        </w:rPr>
        <w:t>F</w:t>
      </w:r>
      <w:r w:rsidRPr="008B7C73">
        <w:rPr>
          <w:rFonts w:ascii="Arial" w:hAnsi="Arial" w:cs="Arial"/>
          <w:snapToGrid w:val="0"/>
          <w:sz w:val="22"/>
          <w:szCs w:val="22"/>
        </w:rPr>
        <w:t xml:space="preserve">eet per </w:t>
      </w:r>
      <w:r>
        <w:rPr>
          <w:rFonts w:ascii="Arial" w:hAnsi="Arial" w:cs="Arial"/>
          <w:snapToGrid w:val="0"/>
          <w:sz w:val="22"/>
          <w:szCs w:val="22"/>
        </w:rPr>
        <w:t>S</w:t>
      </w:r>
      <w:r w:rsidRPr="008B7C73">
        <w:rPr>
          <w:rFonts w:ascii="Arial" w:hAnsi="Arial" w:cs="Arial"/>
          <w:snapToGrid w:val="0"/>
          <w:sz w:val="22"/>
          <w:szCs w:val="22"/>
        </w:rPr>
        <w:t>econd</w:t>
      </w:r>
    </w:p>
    <w:p w:rsidR="0044193D" w:rsidRDefault="0044193D" w:rsidP="00B370E1">
      <w:pPr>
        <w:rPr>
          <w:rFonts w:ascii="Arial" w:hAnsi="Arial" w:cs="Arial"/>
          <w:sz w:val="22"/>
          <w:szCs w:val="22"/>
        </w:rPr>
      </w:pPr>
      <w:proofErr w:type="spellStart"/>
      <w:r>
        <w:rPr>
          <w:rFonts w:ascii="Arial" w:hAnsi="Arial" w:cs="Arial"/>
          <w:sz w:val="22"/>
          <w:szCs w:val="22"/>
        </w:rPr>
        <w:t>Chl</w:t>
      </w:r>
      <w:proofErr w:type="spellEnd"/>
      <w:r>
        <w:rPr>
          <w:rFonts w:ascii="Arial" w:hAnsi="Arial" w:cs="Arial"/>
          <w:sz w:val="22"/>
          <w:szCs w:val="22"/>
        </w:rPr>
        <w:t>-a</w:t>
      </w:r>
      <w:r>
        <w:rPr>
          <w:rFonts w:ascii="Arial" w:hAnsi="Arial" w:cs="Arial"/>
          <w:sz w:val="22"/>
          <w:szCs w:val="22"/>
        </w:rPr>
        <w:tab/>
      </w:r>
      <w:r>
        <w:rPr>
          <w:rFonts w:ascii="Arial" w:hAnsi="Arial" w:cs="Arial"/>
          <w:sz w:val="22"/>
          <w:szCs w:val="22"/>
        </w:rPr>
        <w:tab/>
        <w:t>Chlorophyll a</w:t>
      </w:r>
    </w:p>
    <w:p w:rsidR="00485094" w:rsidRPr="008B7C73" w:rsidRDefault="00542E8A" w:rsidP="00B370E1">
      <w:pPr>
        <w:rPr>
          <w:rFonts w:ascii="Arial" w:hAnsi="Arial" w:cs="Arial"/>
          <w:sz w:val="22"/>
          <w:szCs w:val="22"/>
        </w:rPr>
      </w:pPr>
      <w:proofErr w:type="spellStart"/>
      <w:r>
        <w:rPr>
          <w:rFonts w:ascii="Arial" w:hAnsi="Arial" w:cs="Arial"/>
          <w:sz w:val="22"/>
          <w:szCs w:val="22"/>
        </w:rPr>
        <w:t>Cl</w:t>
      </w:r>
      <w:proofErr w:type="spellEnd"/>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Chloride</w:t>
      </w:r>
    </w:p>
    <w:p w:rsidR="00485094" w:rsidRDefault="00485094" w:rsidP="00B370E1">
      <w:pPr>
        <w:rPr>
          <w:rFonts w:ascii="Arial" w:hAnsi="Arial" w:cs="Arial"/>
          <w:sz w:val="22"/>
          <w:szCs w:val="22"/>
        </w:rPr>
      </w:pPr>
      <w:r>
        <w:rPr>
          <w:rFonts w:ascii="Arial" w:hAnsi="Arial" w:cs="Arial"/>
          <w:sz w:val="22"/>
          <w:szCs w:val="22"/>
        </w:rPr>
        <w:t>cm</w:t>
      </w:r>
      <w:r>
        <w:rPr>
          <w:rFonts w:ascii="Arial" w:hAnsi="Arial" w:cs="Arial"/>
          <w:sz w:val="22"/>
          <w:szCs w:val="22"/>
        </w:rPr>
        <w:tab/>
      </w:r>
      <w:r>
        <w:rPr>
          <w:rFonts w:ascii="Arial" w:hAnsi="Arial" w:cs="Arial"/>
          <w:sz w:val="22"/>
          <w:szCs w:val="22"/>
        </w:rPr>
        <w:tab/>
        <w:t>Centimeter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CSI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Compliance Sampling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CSO </w:t>
      </w:r>
      <w:r>
        <w:rPr>
          <w:rFonts w:ascii="Arial" w:hAnsi="Arial" w:cs="Arial"/>
          <w:sz w:val="22"/>
          <w:szCs w:val="22"/>
        </w:rPr>
        <w:tab/>
      </w:r>
      <w:r>
        <w:rPr>
          <w:rFonts w:ascii="Arial" w:hAnsi="Arial" w:cs="Arial"/>
          <w:sz w:val="22"/>
          <w:szCs w:val="22"/>
        </w:rPr>
        <w:tab/>
        <w:t>C</w:t>
      </w:r>
      <w:r w:rsidRPr="008B7C73">
        <w:rPr>
          <w:rFonts w:ascii="Arial" w:hAnsi="Arial" w:cs="Arial"/>
          <w:sz w:val="22"/>
          <w:szCs w:val="22"/>
        </w:rPr>
        <w:t xml:space="preserve">ombined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O</w:t>
      </w:r>
      <w:r w:rsidRPr="008B7C73">
        <w:rPr>
          <w:rFonts w:ascii="Arial" w:hAnsi="Arial" w:cs="Arial"/>
          <w:sz w:val="22"/>
          <w:szCs w:val="22"/>
        </w:rPr>
        <w:t xml:space="preserve">verflow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 Act  </w:t>
      </w:r>
    </w:p>
    <w:p w:rsidR="00485094" w:rsidRPr="008B7C73" w:rsidRDefault="00485094" w:rsidP="00B370E1">
      <w:pPr>
        <w:rPr>
          <w:rFonts w:ascii="Arial" w:hAnsi="Arial" w:cs="Arial"/>
          <w:sz w:val="22"/>
          <w:szCs w:val="22"/>
        </w:rPr>
      </w:pPr>
      <w:r w:rsidRPr="008B7C73">
        <w:rPr>
          <w:rFonts w:ascii="Arial" w:hAnsi="Arial" w:cs="Arial"/>
          <w:sz w:val="22"/>
          <w:szCs w:val="22"/>
        </w:rPr>
        <w:t>CWNS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Clean Watersheds Needs Survey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CWSRF </w:t>
      </w:r>
      <w:r>
        <w:rPr>
          <w:rFonts w:ascii="Arial" w:hAnsi="Arial" w:cs="Arial"/>
          <w:sz w:val="22"/>
          <w:szCs w:val="22"/>
        </w:rPr>
        <w:tab/>
      </w:r>
      <w:r w:rsidRPr="008B7C73">
        <w:rPr>
          <w:rFonts w:ascii="Arial" w:hAnsi="Arial" w:cs="Arial"/>
          <w:sz w:val="22"/>
          <w:szCs w:val="22"/>
        </w:rPr>
        <w:t xml:space="preserve">Clean Water State Revolving Fund  </w:t>
      </w:r>
    </w:p>
    <w:p w:rsidR="00A75953" w:rsidRDefault="00A75953" w:rsidP="00B370E1">
      <w:pPr>
        <w:rPr>
          <w:rFonts w:ascii="Arial" w:hAnsi="Arial" w:cs="Arial"/>
          <w:snapToGrid w:val="0"/>
          <w:sz w:val="22"/>
          <w:szCs w:val="22"/>
        </w:rPr>
      </w:pPr>
      <w:r>
        <w:rPr>
          <w:rFonts w:ascii="Arial" w:hAnsi="Arial" w:cs="Arial"/>
          <w:snapToGrid w:val="0"/>
          <w:sz w:val="22"/>
          <w:szCs w:val="22"/>
        </w:rPr>
        <w:t>DEP</w:t>
      </w:r>
      <w:r>
        <w:rPr>
          <w:rFonts w:ascii="Arial" w:hAnsi="Arial" w:cs="Arial"/>
          <w:snapToGrid w:val="0"/>
          <w:sz w:val="22"/>
          <w:szCs w:val="22"/>
        </w:rPr>
        <w:tab/>
      </w:r>
      <w:r>
        <w:rPr>
          <w:rFonts w:ascii="Arial" w:hAnsi="Arial" w:cs="Arial"/>
          <w:snapToGrid w:val="0"/>
          <w:sz w:val="22"/>
          <w:szCs w:val="22"/>
        </w:rPr>
        <w:tab/>
        <w:t>Department of Environmental Protection</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DMR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Discharge Monitoring Report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DO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Dissolved </w:t>
      </w:r>
      <w:r>
        <w:rPr>
          <w:rFonts w:ascii="Arial" w:hAnsi="Arial" w:cs="Arial"/>
          <w:sz w:val="22"/>
          <w:szCs w:val="22"/>
        </w:rPr>
        <w:t>O</w:t>
      </w:r>
      <w:r w:rsidRPr="008B7C73">
        <w:rPr>
          <w:rFonts w:ascii="Arial" w:hAnsi="Arial" w:cs="Arial"/>
          <w:sz w:val="22"/>
          <w:szCs w:val="22"/>
        </w:rPr>
        <w:t xml:space="preserve">xygen </w:t>
      </w:r>
    </w:p>
    <w:p w:rsidR="00485094" w:rsidRPr="008B7C73" w:rsidRDefault="00485094" w:rsidP="00B370E1">
      <w:pPr>
        <w:rPr>
          <w:rFonts w:ascii="Arial" w:hAnsi="Arial" w:cs="Arial"/>
          <w:sz w:val="22"/>
          <w:szCs w:val="22"/>
        </w:rPr>
      </w:pPr>
      <w:r w:rsidRPr="0093636F">
        <w:rPr>
          <w:rFonts w:ascii="Arial" w:hAnsi="Arial" w:cs="Arial"/>
          <w:sz w:val="22"/>
          <w:szCs w:val="22"/>
        </w:rPr>
        <w:t xml:space="preserve">DSCP </w:t>
      </w:r>
      <w:r>
        <w:rPr>
          <w:rFonts w:ascii="Arial" w:hAnsi="Arial" w:cs="Arial"/>
          <w:sz w:val="22"/>
          <w:szCs w:val="22"/>
        </w:rPr>
        <w:tab/>
      </w:r>
      <w:r>
        <w:rPr>
          <w:rFonts w:ascii="Arial" w:hAnsi="Arial" w:cs="Arial"/>
          <w:sz w:val="22"/>
          <w:szCs w:val="22"/>
        </w:rPr>
        <w:tab/>
      </w:r>
      <w:proofErr w:type="spellStart"/>
      <w:r w:rsidRPr="0093636F">
        <w:rPr>
          <w:rFonts w:ascii="Arial" w:hAnsi="Arial" w:cs="Arial"/>
          <w:sz w:val="22"/>
          <w:szCs w:val="22"/>
        </w:rPr>
        <w:t>Drycleaning</w:t>
      </w:r>
      <w:proofErr w:type="spellEnd"/>
      <w:r w:rsidRPr="0093636F">
        <w:rPr>
          <w:rFonts w:ascii="Arial" w:hAnsi="Arial" w:cs="Arial"/>
          <w:sz w:val="22"/>
          <w:szCs w:val="22"/>
        </w:rPr>
        <w:t xml:space="preserve"> Solvent Cleanup Program </w:t>
      </w:r>
      <w:r w:rsidRPr="008B7C73">
        <w:rPr>
          <w:rFonts w:ascii="Arial" w:hAnsi="Arial" w:cs="Arial"/>
          <w:sz w:val="22"/>
          <w:szCs w:val="22"/>
        </w:rPr>
        <w:t xml:space="preserv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DWMP </w:t>
      </w:r>
      <w:r>
        <w:rPr>
          <w:rFonts w:ascii="Arial" w:hAnsi="Arial" w:cs="Arial"/>
          <w:snapToGrid w:val="0"/>
          <w:sz w:val="22"/>
          <w:szCs w:val="22"/>
        </w:rPr>
        <w:tab/>
      </w:r>
      <w:r w:rsidRPr="008B7C73">
        <w:rPr>
          <w:rFonts w:ascii="Arial" w:hAnsi="Arial" w:cs="Arial"/>
          <w:snapToGrid w:val="0"/>
          <w:sz w:val="22"/>
          <w:szCs w:val="22"/>
        </w:rPr>
        <w:t xml:space="preserve">District Water Management Plan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EDB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Ethylene </w:t>
      </w:r>
      <w:r>
        <w:rPr>
          <w:rFonts w:ascii="Arial" w:hAnsi="Arial" w:cs="Arial"/>
          <w:sz w:val="22"/>
          <w:szCs w:val="22"/>
        </w:rPr>
        <w:t>D</w:t>
      </w:r>
      <w:r w:rsidRPr="008B7C73">
        <w:rPr>
          <w:rFonts w:ascii="Arial" w:hAnsi="Arial" w:cs="Arial"/>
          <w:sz w:val="22"/>
          <w:szCs w:val="22"/>
        </w:rPr>
        <w:t xml:space="preserve">ibromide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ELRA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Environmental Litigation Reform Act  </w:t>
      </w:r>
    </w:p>
    <w:p w:rsidR="00485094" w:rsidRPr="008B7C73" w:rsidRDefault="00485094" w:rsidP="00B370E1">
      <w:pPr>
        <w:rPr>
          <w:rFonts w:ascii="Arial" w:hAnsi="Arial" w:cs="Arial"/>
          <w:sz w:val="22"/>
          <w:szCs w:val="22"/>
        </w:rPr>
      </w:pPr>
      <w:r w:rsidRPr="0093636F">
        <w:rPr>
          <w:rFonts w:ascii="Arial" w:hAnsi="Arial" w:cs="Arial"/>
          <w:sz w:val="22"/>
        </w:rPr>
        <w:t xml:space="preserve">EMAP </w:t>
      </w:r>
      <w:r>
        <w:rPr>
          <w:rFonts w:ascii="Arial" w:hAnsi="Arial" w:cs="Arial"/>
          <w:sz w:val="22"/>
        </w:rPr>
        <w:tab/>
      </w:r>
      <w:r>
        <w:rPr>
          <w:rFonts w:ascii="Arial" w:hAnsi="Arial" w:cs="Arial"/>
          <w:sz w:val="22"/>
        </w:rPr>
        <w:tab/>
      </w:r>
      <w:r w:rsidRPr="0093636F">
        <w:rPr>
          <w:rFonts w:ascii="Arial" w:hAnsi="Arial" w:cs="Arial"/>
          <w:sz w:val="22"/>
        </w:rPr>
        <w:t xml:space="preserve">Environmental Monitoring and Assessment Program  </w:t>
      </w:r>
      <w:r w:rsidRPr="008B7C73">
        <w:rPr>
          <w:rFonts w:ascii="Arial" w:hAnsi="Arial" w:cs="Arial"/>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EPA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U.S. Environmental Protection Agency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ERP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Environmental Resource Permit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ESOC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Emerging Substances of Concern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F.A.C.</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Administrative Code  </w:t>
      </w:r>
    </w:p>
    <w:p w:rsidR="00485094" w:rsidRPr="008B7C73" w:rsidRDefault="00485094" w:rsidP="00B370E1">
      <w:pPr>
        <w:rPr>
          <w:rFonts w:ascii="Arial" w:hAnsi="Arial" w:cs="Arial"/>
          <w:sz w:val="22"/>
          <w:szCs w:val="22"/>
        </w:rPr>
      </w:pPr>
      <w:r w:rsidRPr="008B7C73">
        <w:rPr>
          <w:rFonts w:ascii="Arial" w:hAnsi="Arial" w:cs="Arial"/>
          <w:sz w:val="22"/>
          <w:szCs w:val="22"/>
        </w:rPr>
        <w:lastRenderedPageBreak/>
        <w:t xml:space="preserve">FC </w:t>
      </w:r>
      <w:r>
        <w:rPr>
          <w:rFonts w:ascii="Arial" w:hAnsi="Arial" w:cs="Arial"/>
          <w:sz w:val="22"/>
          <w:szCs w:val="22"/>
        </w:rPr>
        <w:tab/>
      </w:r>
      <w:r>
        <w:rPr>
          <w:rFonts w:ascii="Arial" w:hAnsi="Arial" w:cs="Arial"/>
          <w:sz w:val="22"/>
          <w:szCs w:val="22"/>
        </w:rPr>
        <w:tab/>
      </w:r>
      <w:r w:rsidRPr="008B7C73">
        <w:rPr>
          <w:rFonts w:ascii="Arial" w:hAnsi="Arial" w:cs="Arial"/>
          <w:sz w:val="22"/>
          <w:szCs w:val="22"/>
        </w:rPr>
        <w:t>Fecal Coliform</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FDACS </w:t>
      </w:r>
      <w:r>
        <w:rPr>
          <w:rFonts w:ascii="Arial" w:hAnsi="Arial" w:cs="Arial"/>
          <w:snapToGrid w:val="0"/>
          <w:sz w:val="22"/>
          <w:szCs w:val="22"/>
        </w:rPr>
        <w:tab/>
      </w:r>
      <w:r w:rsidRPr="008B7C73">
        <w:rPr>
          <w:rFonts w:ascii="Arial" w:hAnsi="Arial" w:cs="Arial"/>
          <w:snapToGrid w:val="0"/>
          <w:sz w:val="22"/>
          <w:szCs w:val="22"/>
        </w:rPr>
        <w:t xml:space="preserve">Florida Department of Agriculture and Consumer Services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FDCA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Community Affairs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FDEP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Department of Environmental Protection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FDER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Environmental Regulation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FDOH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Department of Health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FDOT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Department of Transportation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FGS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Geological Survey  </w:t>
      </w:r>
    </w:p>
    <w:p w:rsidR="00485094" w:rsidRPr="008B7C73" w:rsidRDefault="00485094" w:rsidP="00B370E1">
      <w:pPr>
        <w:rPr>
          <w:rFonts w:ascii="Arial" w:hAnsi="Arial" w:cs="Arial"/>
          <w:snapToGrid w:val="0"/>
          <w:sz w:val="22"/>
          <w:szCs w:val="22"/>
        </w:rPr>
      </w:pPr>
      <w:r w:rsidRPr="008B7C73">
        <w:rPr>
          <w:rFonts w:ascii="Arial" w:hAnsi="Arial" w:cs="Arial"/>
          <w:sz w:val="22"/>
          <w:szCs w:val="22"/>
        </w:rPr>
        <w:t xml:space="preserve">FL STORET </w:t>
      </w:r>
      <w:r>
        <w:rPr>
          <w:rFonts w:ascii="Arial" w:hAnsi="Arial" w:cs="Arial"/>
          <w:sz w:val="22"/>
          <w:szCs w:val="22"/>
        </w:rPr>
        <w:tab/>
      </w:r>
      <w:r w:rsidRPr="0093636F">
        <w:rPr>
          <w:rFonts w:ascii="Arial" w:hAnsi="Arial" w:cs="Arial"/>
          <w:sz w:val="22"/>
          <w:szCs w:val="22"/>
        </w:rPr>
        <w:t>F</w:t>
      </w:r>
      <w:r>
        <w:rPr>
          <w:rFonts w:ascii="Arial" w:hAnsi="Arial" w:cs="Arial"/>
          <w:sz w:val="22"/>
          <w:szCs w:val="22"/>
        </w:rPr>
        <w:t>lorida Storage and Retrieval (database)</w:t>
      </w:r>
      <w:r w:rsidRPr="0093636F">
        <w:rPr>
          <w:rFonts w:ascii="Arial" w:hAnsi="Arial" w:cs="Arial"/>
          <w:sz w:val="22"/>
          <w:szCs w:val="22"/>
        </w:rPr>
        <w:t xml:space="preserve"> </w:t>
      </w:r>
    </w:p>
    <w:p w:rsidR="00485094" w:rsidRPr="008B7C73" w:rsidRDefault="00485094" w:rsidP="00B370E1">
      <w:pPr>
        <w:rPr>
          <w:rFonts w:ascii="Arial" w:hAnsi="Arial" w:cs="Arial"/>
          <w:bCs/>
          <w:sz w:val="22"/>
          <w:szCs w:val="22"/>
        </w:rPr>
      </w:pPr>
      <w:r w:rsidRPr="008B7C73">
        <w:rPr>
          <w:rFonts w:ascii="Arial" w:hAnsi="Arial" w:cs="Arial"/>
          <w:bCs/>
          <w:sz w:val="22"/>
          <w:szCs w:val="22"/>
        </w:rPr>
        <w:t>FMRI</w:t>
      </w:r>
      <w:r w:rsidRPr="008B7C73">
        <w:rPr>
          <w:rFonts w:ascii="Arial" w:hAnsi="Arial" w:cs="Arial"/>
          <w:sz w:val="22"/>
          <w:szCs w:val="22"/>
        </w:rPr>
        <w:t xml:space="preserve"> </w:t>
      </w:r>
      <w:r>
        <w:rPr>
          <w:rFonts w:ascii="Arial" w:hAnsi="Arial" w:cs="Arial"/>
          <w:sz w:val="22"/>
          <w:szCs w:val="22"/>
        </w:rPr>
        <w:tab/>
      </w:r>
      <w:r>
        <w:rPr>
          <w:rFonts w:ascii="Arial" w:hAnsi="Arial" w:cs="Arial"/>
          <w:sz w:val="22"/>
          <w:szCs w:val="22"/>
        </w:rPr>
        <w:tab/>
      </w:r>
      <w:r w:rsidRPr="008B7C73">
        <w:rPr>
          <w:rFonts w:ascii="Arial" w:hAnsi="Arial" w:cs="Arial"/>
          <w:bCs/>
          <w:sz w:val="22"/>
          <w:szCs w:val="22"/>
        </w:rPr>
        <w:t xml:space="preserve">Florida Marine Research Institute  </w:t>
      </w:r>
    </w:p>
    <w:p w:rsidR="00485094" w:rsidRPr="008B7C73" w:rsidRDefault="00485094" w:rsidP="00B370E1">
      <w:pPr>
        <w:rPr>
          <w:rFonts w:ascii="Arial" w:hAnsi="Arial" w:cs="Arial"/>
          <w:sz w:val="22"/>
          <w:szCs w:val="22"/>
        </w:rPr>
      </w:pPr>
      <w:r w:rsidRPr="008B7C73">
        <w:rPr>
          <w:rFonts w:ascii="Arial" w:hAnsi="Arial" w:cs="Arial"/>
          <w:sz w:val="22"/>
          <w:szCs w:val="22"/>
        </w:rPr>
        <w:t>F.S.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Florida Statutes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FWC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Fish and Wildlife Conservation Commission  </w:t>
      </w:r>
    </w:p>
    <w:p w:rsidR="00485094" w:rsidRPr="0093636F" w:rsidRDefault="00485094" w:rsidP="00B370E1">
      <w:pPr>
        <w:rPr>
          <w:rFonts w:ascii="Arial" w:hAnsi="Arial" w:cs="Arial"/>
          <w:sz w:val="22"/>
          <w:szCs w:val="22"/>
        </w:rPr>
      </w:pPr>
      <w:r w:rsidRPr="0093636F">
        <w:rPr>
          <w:rFonts w:ascii="Arial" w:hAnsi="Arial" w:cs="Arial"/>
          <w:sz w:val="22"/>
          <w:szCs w:val="22"/>
        </w:rPr>
        <w:t xml:space="preserve">FWCI </w:t>
      </w:r>
      <w:r w:rsidRPr="0093636F">
        <w:rPr>
          <w:rFonts w:ascii="Arial" w:hAnsi="Arial" w:cs="Arial"/>
          <w:sz w:val="22"/>
          <w:szCs w:val="22"/>
        </w:rPr>
        <w:tab/>
      </w:r>
      <w:r w:rsidRPr="0093636F">
        <w:rPr>
          <w:rFonts w:ascii="Arial" w:hAnsi="Arial" w:cs="Arial"/>
          <w:sz w:val="22"/>
          <w:szCs w:val="22"/>
        </w:rPr>
        <w:tab/>
        <w:t xml:space="preserve">Florida Wetland Condition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FWRA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Florida Watershed Restoration Act  </w:t>
      </w:r>
    </w:p>
    <w:p w:rsidR="00485094" w:rsidRPr="008B7C73" w:rsidRDefault="00485094" w:rsidP="00B370E1">
      <w:pPr>
        <w:rPr>
          <w:rFonts w:ascii="Arial" w:hAnsi="Arial" w:cs="Arial"/>
          <w:sz w:val="22"/>
          <w:szCs w:val="22"/>
        </w:rPr>
      </w:pPr>
      <w:r w:rsidRPr="008B7C73">
        <w:rPr>
          <w:rFonts w:ascii="Arial" w:hAnsi="Arial" w:cs="Arial"/>
          <w:color w:val="000000"/>
          <w:sz w:val="22"/>
          <w:szCs w:val="22"/>
        </w:rPr>
        <w:t>FWRI</w:t>
      </w:r>
      <w:r w:rsidRPr="008B7C73">
        <w:rPr>
          <w:rFonts w:ascii="Arial" w:hAnsi="Arial" w:cs="Arial"/>
          <w:sz w:val="22"/>
          <w:szCs w:val="22"/>
        </w:rPr>
        <w:t xml:space="preserve"> </w:t>
      </w:r>
      <w:r>
        <w:rPr>
          <w:rFonts w:ascii="Arial" w:hAnsi="Arial" w:cs="Arial"/>
          <w:sz w:val="22"/>
          <w:szCs w:val="22"/>
        </w:rPr>
        <w:tab/>
      </w:r>
      <w:r>
        <w:rPr>
          <w:rFonts w:ascii="Arial" w:hAnsi="Arial" w:cs="Arial"/>
          <w:sz w:val="22"/>
          <w:szCs w:val="22"/>
        </w:rPr>
        <w:tab/>
        <w:t xml:space="preserve">Fish and </w:t>
      </w:r>
      <w:r w:rsidRPr="008B7C73">
        <w:rPr>
          <w:rFonts w:ascii="Arial" w:hAnsi="Arial" w:cs="Arial"/>
          <w:sz w:val="22"/>
          <w:szCs w:val="22"/>
        </w:rPr>
        <w:t xml:space="preserve">Wildlife Research Institute </w:t>
      </w:r>
      <w:r w:rsidRPr="008B7C73">
        <w:rPr>
          <w:rFonts w:ascii="Arial" w:hAnsi="Arial" w:cs="Arial"/>
          <w:color w:val="00000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FWVSS </w:t>
      </w:r>
      <w:r>
        <w:rPr>
          <w:rFonts w:ascii="Arial" w:hAnsi="Arial" w:cs="Arial"/>
          <w:sz w:val="22"/>
          <w:szCs w:val="22"/>
        </w:rPr>
        <w:tab/>
      </w:r>
      <w:r w:rsidRPr="008B7C73">
        <w:rPr>
          <w:rFonts w:ascii="Arial" w:hAnsi="Arial" w:cs="Arial"/>
          <w:sz w:val="22"/>
          <w:szCs w:val="22"/>
        </w:rPr>
        <w:t xml:space="preserve">Foodborne, Waterborne, and Vectorborne Disease Surveillance System  </w:t>
      </w:r>
    </w:p>
    <w:p w:rsidR="00485094" w:rsidRPr="008B7C73" w:rsidRDefault="00485094" w:rsidP="00B370E1">
      <w:pPr>
        <w:rPr>
          <w:rFonts w:ascii="Arial" w:hAnsi="Arial" w:cs="Arial"/>
          <w:bCs/>
          <w:sz w:val="22"/>
          <w:szCs w:val="22"/>
        </w:rPr>
      </w:pPr>
      <w:r w:rsidRPr="008B7C73">
        <w:rPr>
          <w:rFonts w:ascii="Arial" w:hAnsi="Arial" w:cs="Arial"/>
          <w:bCs/>
          <w:sz w:val="22"/>
          <w:szCs w:val="22"/>
        </w:rPr>
        <w:t xml:space="preserve">FY </w:t>
      </w:r>
      <w:r>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Fiscal year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FYI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Fifth Year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GIS </w:t>
      </w:r>
      <w:r>
        <w:rPr>
          <w:rFonts w:ascii="Arial" w:hAnsi="Arial" w:cs="Arial"/>
          <w:sz w:val="22"/>
          <w:szCs w:val="22"/>
        </w:rPr>
        <w:tab/>
      </w:r>
      <w:r>
        <w:rPr>
          <w:rFonts w:ascii="Arial" w:hAnsi="Arial" w:cs="Arial"/>
          <w:sz w:val="22"/>
          <w:szCs w:val="22"/>
        </w:rPr>
        <w:tab/>
        <w:t>Geographic Information System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GRTS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Generalized Random Tessellation Stratified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GWTV </w:t>
      </w:r>
      <w:r>
        <w:rPr>
          <w:rFonts w:ascii="Arial" w:hAnsi="Arial" w:cs="Arial"/>
          <w:sz w:val="22"/>
          <w:szCs w:val="22"/>
        </w:rPr>
        <w:tab/>
      </w:r>
      <w:r w:rsidRPr="008B7C73">
        <w:rPr>
          <w:rFonts w:ascii="Arial" w:hAnsi="Arial" w:cs="Arial"/>
          <w:sz w:val="22"/>
          <w:szCs w:val="22"/>
        </w:rPr>
        <w:t xml:space="preserve">Ground Water Temporal Variability  </w:t>
      </w:r>
    </w:p>
    <w:p w:rsidR="007C2526" w:rsidRPr="008B7C73" w:rsidRDefault="007C2526" w:rsidP="007C2526">
      <w:pPr>
        <w:rPr>
          <w:rFonts w:ascii="Arial" w:hAnsi="Arial" w:cs="Arial"/>
          <w:color w:val="008000"/>
          <w:sz w:val="22"/>
          <w:szCs w:val="22"/>
        </w:rPr>
      </w:pPr>
      <w:r w:rsidRPr="008B7C73">
        <w:rPr>
          <w:rFonts w:ascii="Arial" w:hAnsi="Arial" w:cs="Arial"/>
          <w:snapToGrid w:val="0"/>
          <w:sz w:val="22"/>
          <w:szCs w:val="22"/>
        </w:rPr>
        <w:t xml:space="preserve">HAB </w:t>
      </w:r>
      <w:r>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armful </w:t>
      </w:r>
      <w:r>
        <w:rPr>
          <w:rFonts w:ascii="Arial" w:hAnsi="Arial" w:cs="Arial"/>
          <w:snapToGrid w:val="0"/>
          <w:sz w:val="22"/>
          <w:szCs w:val="22"/>
        </w:rPr>
        <w:t>A</w:t>
      </w:r>
      <w:r w:rsidRPr="008B7C73">
        <w:rPr>
          <w:rFonts w:ascii="Arial" w:hAnsi="Arial" w:cs="Arial"/>
          <w:snapToGrid w:val="0"/>
          <w:sz w:val="22"/>
          <w:szCs w:val="22"/>
        </w:rPr>
        <w:t xml:space="preserve">lgal </w:t>
      </w:r>
      <w:r>
        <w:rPr>
          <w:rFonts w:ascii="Arial" w:hAnsi="Arial" w:cs="Arial"/>
          <w:snapToGrid w:val="0"/>
          <w:sz w:val="22"/>
          <w:szCs w:val="22"/>
        </w:rPr>
        <w:t>B</w:t>
      </w:r>
      <w:r w:rsidRPr="008B7C73">
        <w:rPr>
          <w:rFonts w:ascii="Arial" w:hAnsi="Arial" w:cs="Arial"/>
          <w:snapToGrid w:val="0"/>
          <w:sz w:val="22"/>
          <w:szCs w:val="22"/>
        </w:rPr>
        <w:t xml:space="preserve">loom  </w:t>
      </w:r>
    </w:p>
    <w:p w:rsidR="00485094" w:rsidRPr="008B7C73" w:rsidRDefault="00485094" w:rsidP="00B370E1">
      <w:pPr>
        <w:rPr>
          <w:rFonts w:ascii="Arial" w:hAnsi="Arial" w:cs="Arial"/>
          <w:color w:val="008000"/>
          <w:sz w:val="22"/>
          <w:szCs w:val="22"/>
        </w:rPr>
      </w:pPr>
      <w:r w:rsidRPr="008B7C73">
        <w:rPr>
          <w:rFonts w:ascii="Arial" w:hAnsi="Arial" w:cs="Arial"/>
          <w:snapToGrid w:val="0"/>
          <w:sz w:val="22"/>
          <w:szCs w:val="22"/>
        </w:rPr>
        <w:t>HAB</w:t>
      </w:r>
      <w:r w:rsidR="007C2526">
        <w:rPr>
          <w:rFonts w:ascii="Arial" w:hAnsi="Arial" w:cs="Arial"/>
          <w:snapToGrid w:val="0"/>
          <w:sz w:val="22"/>
          <w:szCs w:val="22"/>
        </w:rPr>
        <w:t>SOS</w:t>
      </w:r>
      <w:r w:rsidRPr="008B7C73">
        <w:rPr>
          <w:rFonts w:ascii="Arial" w:hAnsi="Arial" w:cs="Arial"/>
          <w:snapToGrid w:val="0"/>
          <w:sz w:val="22"/>
          <w:szCs w:val="22"/>
        </w:rPr>
        <w:t xml:space="preserve"> </w:t>
      </w:r>
      <w:r>
        <w:rPr>
          <w:rFonts w:ascii="Arial" w:hAnsi="Arial" w:cs="Arial"/>
          <w:snapToGrid w:val="0"/>
          <w:sz w:val="22"/>
          <w:szCs w:val="22"/>
        </w:rPr>
        <w:tab/>
        <w:t>H</w:t>
      </w:r>
      <w:r w:rsidRPr="008B7C73">
        <w:rPr>
          <w:rFonts w:ascii="Arial" w:hAnsi="Arial" w:cs="Arial"/>
          <w:snapToGrid w:val="0"/>
          <w:sz w:val="22"/>
          <w:szCs w:val="22"/>
        </w:rPr>
        <w:t xml:space="preserve">armful </w:t>
      </w:r>
      <w:r>
        <w:rPr>
          <w:rFonts w:ascii="Arial" w:hAnsi="Arial" w:cs="Arial"/>
          <w:snapToGrid w:val="0"/>
          <w:sz w:val="22"/>
          <w:szCs w:val="22"/>
        </w:rPr>
        <w:t>A</w:t>
      </w:r>
      <w:r w:rsidRPr="008B7C73">
        <w:rPr>
          <w:rFonts w:ascii="Arial" w:hAnsi="Arial" w:cs="Arial"/>
          <w:snapToGrid w:val="0"/>
          <w:sz w:val="22"/>
          <w:szCs w:val="22"/>
        </w:rPr>
        <w:t xml:space="preserve">lgal </w:t>
      </w:r>
      <w:r>
        <w:rPr>
          <w:rFonts w:ascii="Arial" w:hAnsi="Arial" w:cs="Arial"/>
          <w:snapToGrid w:val="0"/>
          <w:sz w:val="22"/>
          <w:szCs w:val="22"/>
        </w:rPr>
        <w:t>B</w:t>
      </w:r>
      <w:r w:rsidRPr="008B7C73">
        <w:rPr>
          <w:rFonts w:ascii="Arial" w:hAnsi="Arial" w:cs="Arial"/>
          <w:snapToGrid w:val="0"/>
          <w:sz w:val="22"/>
          <w:szCs w:val="22"/>
        </w:rPr>
        <w:t xml:space="preserve">loom </w:t>
      </w:r>
      <w:r w:rsidR="007C2526">
        <w:rPr>
          <w:rFonts w:ascii="Arial" w:hAnsi="Arial" w:cs="Arial"/>
          <w:snapToGrid w:val="0"/>
          <w:sz w:val="22"/>
          <w:szCs w:val="22"/>
        </w:rPr>
        <w:t>Observing System</w:t>
      </w:r>
      <w:r w:rsidRPr="008B7C73">
        <w:rPr>
          <w:rFonts w:ascii="Arial" w:hAnsi="Arial" w:cs="Arial"/>
          <w:snapToGrid w:val="0"/>
          <w:sz w:val="22"/>
          <w:szCs w:val="22"/>
        </w:rPr>
        <w:t xml:space="preserve">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HUC </w:t>
      </w:r>
      <w:r>
        <w:rPr>
          <w:rFonts w:ascii="Arial" w:hAnsi="Arial" w:cs="Arial"/>
          <w:snapToGrid w:val="0"/>
          <w:sz w:val="22"/>
          <w:szCs w:val="22"/>
        </w:rPr>
        <w:tab/>
      </w:r>
      <w:r>
        <w:rPr>
          <w:rFonts w:ascii="Arial" w:hAnsi="Arial" w:cs="Arial"/>
          <w:snapToGrid w:val="0"/>
          <w:sz w:val="22"/>
          <w:szCs w:val="22"/>
        </w:rPr>
        <w:tab/>
        <w:t>H</w:t>
      </w:r>
      <w:r w:rsidRPr="008B7C73">
        <w:rPr>
          <w:rFonts w:ascii="Arial" w:hAnsi="Arial" w:cs="Arial"/>
          <w:snapToGrid w:val="0"/>
          <w:sz w:val="22"/>
          <w:szCs w:val="22"/>
        </w:rPr>
        <w:t xml:space="preserve">ydrologic </w:t>
      </w:r>
      <w:r>
        <w:rPr>
          <w:rFonts w:ascii="Arial" w:hAnsi="Arial" w:cs="Arial"/>
          <w:snapToGrid w:val="0"/>
          <w:sz w:val="22"/>
          <w:szCs w:val="22"/>
        </w:rPr>
        <w:t>U</w:t>
      </w:r>
      <w:r w:rsidRPr="008B7C73">
        <w:rPr>
          <w:rFonts w:ascii="Arial" w:hAnsi="Arial" w:cs="Arial"/>
          <w:snapToGrid w:val="0"/>
          <w:sz w:val="22"/>
          <w:szCs w:val="22"/>
        </w:rPr>
        <w:t xml:space="preserve">nit </w:t>
      </w:r>
      <w:r>
        <w:rPr>
          <w:rFonts w:ascii="Arial" w:hAnsi="Arial" w:cs="Arial"/>
          <w:snapToGrid w:val="0"/>
          <w:sz w:val="22"/>
          <w:szCs w:val="22"/>
        </w:rPr>
        <w:t>C</w:t>
      </w:r>
      <w:r w:rsidRPr="008B7C73">
        <w:rPr>
          <w:rFonts w:ascii="Arial" w:hAnsi="Arial" w:cs="Arial"/>
          <w:snapToGrid w:val="0"/>
          <w:sz w:val="22"/>
          <w:szCs w:val="22"/>
        </w:rPr>
        <w:t xml:space="preserve">ode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IBI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Impact Bioassessment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IMAP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Inshore Marine Monitoring and Assessment Program  </w:t>
      </w:r>
    </w:p>
    <w:p w:rsidR="00161289" w:rsidRDefault="00161289" w:rsidP="00B370E1">
      <w:pPr>
        <w:rPr>
          <w:rFonts w:ascii="Arial" w:hAnsi="Arial" w:cs="Arial"/>
          <w:sz w:val="22"/>
          <w:szCs w:val="22"/>
        </w:rPr>
      </w:pPr>
      <w:r>
        <w:rPr>
          <w:rFonts w:ascii="Arial" w:hAnsi="Arial" w:cs="Arial"/>
          <w:sz w:val="22"/>
          <w:szCs w:val="22"/>
        </w:rPr>
        <w:t>IMC</w:t>
      </w:r>
      <w:r>
        <w:rPr>
          <w:rFonts w:ascii="Arial" w:hAnsi="Arial" w:cs="Arial"/>
          <w:sz w:val="22"/>
          <w:szCs w:val="22"/>
        </w:rPr>
        <w:tab/>
      </w:r>
      <w:r>
        <w:rPr>
          <w:rFonts w:ascii="Arial" w:hAnsi="Arial" w:cs="Arial"/>
          <w:sz w:val="22"/>
          <w:szCs w:val="22"/>
        </w:rPr>
        <w:tab/>
        <w:t>International Minerals and Chemicals Corporation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ISD </w:t>
      </w:r>
      <w:r>
        <w:rPr>
          <w:rFonts w:ascii="Arial" w:hAnsi="Arial" w:cs="Arial"/>
          <w:sz w:val="22"/>
          <w:szCs w:val="22"/>
        </w:rPr>
        <w:tab/>
      </w:r>
      <w:r>
        <w:rPr>
          <w:rFonts w:ascii="Arial" w:hAnsi="Arial" w:cs="Arial"/>
          <w:sz w:val="22"/>
          <w:szCs w:val="22"/>
        </w:rPr>
        <w:tab/>
      </w:r>
      <w:r w:rsidRPr="008B7C73">
        <w:rPr>
          <w:rFonts w:ascii="Arial" w:hAnsi="Arial" w:cs="Arial"/>
          <w:sz w:val="22"/>
          <w:szCs w:val="22"/>
        </w:rPr>
        <w:t>Insufficient Data</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IWR</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Impaired Surface Waters Rule </w:t>
      </w:r>
    </w:p>
    <w:p w:rsidR="007C2526" w:rsidRDefault="007C2526" w:rsidP="00B370E1">
      <w:pPr>
        <w:rPr>
          <w:rFonts w:ascii="Arial" w:hAnsi="Arial" w:cs="Arial"/>
          <w:sz w:val="22"/>
          <w:szCs w:val="22"/>
        </w:rPr>
      </w:pPr>
      <w:r>
        <w:rPr>
          <w:rFonts w:ascii="Arial" w:hAnsi="Arial" w:cs="Arial"/>
          <w:sz w:val="22"/>
          <w:szCs w:val="22"/>
        </w:rPr>
        <w:t>IWRM</w:t>
      </w:r>
      <w:r>
        <w:rPr>
          <w:rFonts w:ascii="Arial" w:hAnsi="Arial" w:cs="Arial"/>
          <w:sz w:val="22"/>
          <w:szCs w:val="22"/>
        </w:rPr>
        <w:tab/>
      </w:r>
      <w:r>
        <w:rPr>
          <w:rFonts w:ascii="Arial" w:hAnsi="Arial" w:cs="Arial"/>
          <w:sz w:val="22"/>
          <w:szCs w:val="22"/>
        </w:rPr>
        <w:tab/>
        <w:t>Integrated Water Resources Monitoring</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K </w:t>
      </w:r>
      <w:r>
        <w:rPr>
          <w:rFonts w:ascii="Arial" w:hAnsi="Arial" w:cs="Arial"/>
          <w:sz w:val="22"/>
          <w:szCs w:val="22"/>
        </w:rPr>
        <w:tab/>
      </w:r>
      <w:r>
        <w:rPr>
          <w:rFonts w:ascii="Arial" w:hAnsi="Arial" w:cs="Arial"/>
          <w:sz w:val="22"/>
          <w:szCs w:val="22"/>
        </w:rPr>
        <w:tab/>
      </w:r>
      <w:r w:rsidRPr="008B7C73">
        <w:rPr>
          <w:rFonts w:ascii="Arial" w:hAnsi="Arial" w:cs="Arial"/>
          <w:sz w:val="22"/>
          <w:szCs w:val="22"/>
        </w:rPr>
        <w:t>Potassium</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k</w:t>
      </w:r>
      <w:r w:rsidRPr="008B7C73">
        <w:rPr>
          <w:rFonts w:ascii="Arial" w:hAnsi="Arial" w:cs="Arial"/>
          <w:snapToGrid w:val="0"/>
          <w:sz w:val="22"/>
          <w:szCs w:val="22"/>
        </w:rPr>
        <w:t>g</w:t>
      </w:r>
      <w:r>
        <w:rPr>
          <w:rFonts w:ascii="Arial" w:hAnsi="Arial" w:cs="Arial"/>
          <w:snapToGrid w:val="0"/>
          <w:sz w:val="22"/>
          <w:szCs w:val="22"/>
        </w:rPr>
        <w:tab/>
      </w:r>
      <w:r>
        <w:rPr>
          <w:rFonts w:ascii="Arial" w:hAnsi="Arial" w:cs="Arial"/>
          <w:snapToGrid w:val="0"/>
          <w:sz w:val="22"/>
          <w:szCs w:val="22"/>
        </w:rPr>
        <w:tab/>
        <w:t>Kilogram</w:t>
      </w:r>
    </w:p>
    <w:p w:rsidR="00485094" w:rsidRDefault="00485094" w:rsidP="00B370E1">
      <w:pPr>
        <w:rPr>
          <w:rFonts w:ascii="Arial" w:hAnsi="Arial" w:cs="Arial"/>
          <w:sz w:val="22"/>
          <w:szCs w:val="22"/>
        </w:rPr>
      </w:pPr>
      <w:r>
        <w:rPr>
          <w:rFonts w:ascii="Arial" w:hAnsi="Arial" w:cs="Arial"/>
          <w:sz w:val="22"/>
          <w:szCs w:val="22"/>
        </w:rPr>
        <w:t xml:space="preserve">L </w:t>
      </w:r>
      <w:r>
        <w:rPr>
          <w:rFonts w:ascii="Arial" w:hAnsi="Arial" w:cs="Arial"/>
          <w:sz w:val="22"/>
          <w:szCs w:val="22"/>
        </w:rPr>
        <w:tab/>
      </w:r>
      <w:r>
        <w:rPr>
          <w:rFonts w:ascii="Arial" w:hAnsi="Arial" w:cs="Arial"/>
          <w:sz w:val="22"/>
          <w:szCs w:val="22"/>
        </w:rPr>
        <w:tab/>
        <w:t>Liter</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LVI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Lake Vegetation Index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MCL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Maximum Contaminant Level  </w:t>
      </w:r>
    </w:p>
    <w:p w:rsidR="00485094" w:rsidRPr="008B7C73" w:rsidRDefault="00485094" w:rsidP="00B370E1">
      <w:pPr>
        <w:rPr>
          <w:rFonts w:ascii="Arial" w:hAnsi="Arial" w:cs="Arial"/>
          <w:snapToGrid w:val="0"/>
          <w:sz w:val="22"/>
          <w:szCs w:val="22"/>
        </w:rPr>
      </w:pPr>
      <w:r>
        <w:rPr>
          <w:rFonts w:ascii="Arial" w:hAnsi="Arial" w:cs="Arial"/>
          <w:snapToGrid w:val="0"/>
          <w:sz w:val="22"/>
          <w:szCs w:val="22"/>
        </w:rPr>
        <w:t>m</w:t>
      </w:r>
      <w:r w:rsidRPr="008B7C73">
        <w:rPr>
          <w:rFonts w:ascii="Arial" w:hAnsi="Arial" w:cs="Arial"/>
          <w:snapToGrid w:val="0"/>
          <w:sz w:val="22"/>
          <w:szCs w:val="22"/>
        </w:rPr>
        <w:t>g</w:t>
      </w:r>
      <w:r>
        <w:rPr>
          <w:rFonts w:ascii="Arial" w:hAnsi="Arial" w:cs="Arial"/>
          <w:snapToGrid w:val="0"/>
          <w:sz w:val="22"/>
          <w:szCs w:val="22"/>
        </w:rPr>
        <w:tab/>
      </w:r>
      <w:r>
        <w:rPr>
          <w:rFonts w:ascii="Arial" w:hAnsi="Arial" w:cs="Arial"/>
          <w:snapToGrid w:val="0"/>
          <w:sz w:val="22"/>
          <w:szCs w:val="22"/>
        </w:rPr>
        <w:tab/>
        <w:t>Milligram</w:t>
      </w:r>
    </w:p>
    <w:p w:rsidR="00485094" w:rsidRPr="008B7C73" w:rsidRDefault="00FC23B4" w:rsidP="00B370E1">
      <w:pPr>
        <w:rPr>
          <w:rFonts w:ascii="Arial" w:hAnsi="Arial" w:cs="Arial"/>
          <w:sz w:val="22"/>
          <w:szCs w:val="22"/>
        </w:rPr>
      </w:pPr>
      <w:r>
        <w:rPr>
          <w:rFonts w:ascii="Arial" w:hAnsi="Arial" w:cs="Arial"/>
          <w:sz w:val="22"/>
          <w:szCs w:val="22"/>
        </w:rPr>
        <w:t>Mg</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Magnesium</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MGD </w:t>
      </w:r>
      <w:r>
        <w:rPr>
          <w:rFonts w:ascii="Arial" w:hAnsi="Arial" w:cs="Arial"/>
          <w:snapToGrid w:val="0"/>
          <w:sz w:val="22"/>
          <w:szCs w:val="22"/>
        </w:rPr>
        <w:tab/>
      </w:r>
      <w:r>
        <w:rPr>
          <w:rFonts w:ascii="Arial" w:hAnsi="Arial" w:cs="Arial"/>
          <w:snapToGrid w:val="0"/>
          <w:sz w:val="22"/>
          <w:szCs w:val="22"/>
        </w:rPr>
        <w:tab/>
      </w:r>
      <w:r>
        <w:rPr>
          <w:rFonts w:ascii="Arial" w:hAnsi="Arial" w:cs="Arial"/>
          <w:sz w:val="22"/>
          <w:szCs w:val="22"/>
        </w:rPr>
        <w:t>M</w:t>
      </w:r>
      <w:r w:rsidRPr="008B7C73">
        <w:rPr>
          <w:rFonts w:ascii="Arial" w:hAnsi="Arial" w:cs="Arial"/>
          <w:snapToGrid w:val="0"/>
          <w:sz w:val="22"/>
          <w:szCs w:val="22"/>
        </w:rPr>
        <w:t xml:space="preserve">illion </w:t>
      </w:r>
      <w:r>
        <w:rPr>
          <w:rFonts w:ascii="Arial" w:hAnsi="Arial" w:cs="Arial"/>
          <w:snapToGrid w:val="0"/>
          <w:sz w:val="22"/>
          <w:szCs w:val="22"/>
        </w:rPr>
        <w:t>G</w:t>
      </w:r>
      <w:r w:rsidRPr="008B7C73">
        <w:rPr>
          <w:rFonts w:ascii="Arial" w:hAnsi="Arial" w:cs="Arial"/>
          <w:snapToGrid w:val="0"/>
          <w:sz w:val="22"/>
          <w:szCs w:val="22"/>
        </w:rPr>
        <w:t xml:space="preserve">allons per </w:t>
      </w:r>
      <w:r>
        <w:rPr>
          <w:rFonts w:ascii="Arial" w:hAnsi="Arial" w:cs="Arial"/>
          <w:snapToGrid w:val="0"/>
          <w:sz w:val="22"/>
          <w:szCs w:val="22"/>
        </w:rPr>
        <w:t>D</w:t>
      </w:r>
      <w:r w:rsidRPr="008B7C73">
        <w:rPr>
          <w:rFonts w:ascii="Arial" w:hAnsi="Arial" w:cs="Arial"/>
          <w:snapToGrid w:val="0"/>
          <w:sz w:val="22"/>
          <w:szCs w:val="22"/>
        </w:rPr>
        <w:t xml:space="preserve">ay </w:t>
      </w:r>
    </w:p>
    <w:p w:rsidR="00485094" w:rsidRPr="008B7C73" w:rsidRDefault="00485094" w:rsidP="00B370E1">
      <w:pPr>
        <w:rPr>
          <w:rFonts w:ascii="Arial" w:hAnsi="Arial" w:cs="Arial"/>
          <w:sz w:val="22"/>
          <w:szCs w:val="22"/>
        </w:rPr>
      </w:pPr>
      <w:r w:rsidRPr="008B7C73">
        <w:rPr>
          <w:rFonts w:ascii="Arial" w:hAnsi="Arial" w:cs="Arial"/>
          <w:sz w:val="22"/>
          <w:szCs w:val="22"/>
        </w:rPr>
        <w:t>mg/L</w:t>
      </w:r>
      <w:r>
        <w:rPr>
          <w:rFonts w:ascii="Arial" w:hAnsi="Arial" w:cs="Arial"/>
          <w:sz w:val="22"/>
          <w:szCs w:val="22"/>
        </w:rPr>
        <w:tab/>
      </w:r>
      <w:r>
        <w:rPr>
          <w:rFonts w:ascii="Arial" w:hAnsi="Arial" w:cs="Arial"/>
          <w:sz w:val="22"/>
          <w:szCs w:val="22"/>
        </w:rPr>
        <w:tab/>
        <w:t>Milligrams per Liter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mL</w:t>
      </w:r>
      <w:r>
        <w:rPr>
          <w:rFonts w:ascii="Arial" w:hAnsi="Arial" w:cs="Arial"/>
          <w:snapToGrid w:val="0"/>
          <w:sz w:val="22"/>
          <w:szCs w:val="22"/>
        </w:rPr>
        <w:tab/>
      </w:r>
      <w:r>
        <w:rPr>
          <w:rFonts w:ascii="Arial" w:hAnsi="Arial" w:cs="Arial"/>
          <w:snapToGrid w:val="0"/>
          <w:sz w:val="22"/>
          <w:szCs w:val="22"/>
        </w:rPr>
        <w:tab/>
        <w:t>Milliliter</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MML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Mote Marine Laboratory </w:t>
      </w:r>
    </w:p>
    <w:p w:rsidR="00485094" w:rsidRPr="008B7C73" w:rsidRDefault="00485094" w:rsidP="00B370E1">
      <w:pPr>
        <w:rPr>
          <w:rFonts w:ascii="Arial" w:hAnsi="Arial" w:cs="Arial"/>
          <w:sz w:val="22"/>
          <w:szCs w:val="22"/>
        </w:rPr>
      </w:pPr>
      <w:r w:rsidRPr="008B7C73">
        <w:rPr>
          <w:rFonts w:ascii="Arial" w:hAnsi="Arial" w:cs="Arial"/>
          <w:sz w:val="22"/>
          <w:szCs w:val="22"/>
        </w:rPr>
        <w:t>MS4</w:t>
      </w:r>
      <w:r>
        <w:rPr>
          <w:rFonts w:ascii="Arial" w:hAnsi="Arial" w:cs="Arial"/>
          <w:sz w:val="22"/>
          <w:szCs w:val="22"/>
        </w:rPr>
        <w:tab/>
      </w:r>
      <w:r>
        <w:rPr>
          <w:rFonts w:ascii="Arial" w:hAnsi="Arial" w:cs="Arial"/>
          <w:sz w:val="22"/>
          <w:szCs w:val="22"/>
        </w:rPr>
        <w:tab/>
        <w:t>M</w:t>
      </w:r>
      <w:r w:rsidRPr="008B7C73">
        <w:rPr>
          <w:rFonts w:ascii="Arial" w:hAnsi="Arial" w:cs="Arial"/>
          <w:sz w:val="22"/>
          <w:szCs w:val="22"/>
        </w:rPr>
        <w:t xml:space="preserve">unicipal </w:t>
      </w:r>
      <w:r>
        <w:rPr>
          <w:rFonts w:ascii="Arial" w:hAnsi="Arial" w:cs="Arial"/>
          <w:sz w:val="22"/>
          <w:szCs w:val="22"/>
        </w:rPr>
        <w:t>S</w:t>
      </w:r>
      <w:r w:rsidRPr="008B7C73">
        <w:rPr>
          <w:rFonts w:ascii="Arial" w:hAnsi="Arial" w:cs="Arial"/>
          <w:sz w:val="22"/>
          <w:szCs w:val="22"/>
        </w:rPr>
        <w:t xml:space="preserve">eparate </w:t>
      </w:r>
      <w:r>
        <w:rPr>
          <w:rFonts w:ascii="Arial" w:hAnsi="Arial" w:cs="Arial"/>
          <w:sz w:val="22"/>
          <w:szCs w:val="22"/>
        </w:rPr>
        <w:t>S</w:t>
      </w:r>
      <w:r w:rsidRPr="008B7C73">
        <w:rPr>
          <w:rFonts w:ascii="Arial" w:hAnsi="Arial" w:cs="Arial"/>
          <w:sz w:val="22"/>
          <w:szCs w:val="22"/>
        </w:rPr>
        <w:t xml:space="preserve">torm </w:t>
      </w:r>
      <w:r>
        <w:rPr>
          <w:rFonts w:ascii="Arial" w:hAnsi="Arial" w:cs="Arial"/>
          <w:sz w:val="22"/>
          <w:szCs w:val="22"/>
        </w:rPr>
        <w:t>S</w:t>
      </w:r>
      <w:r w:rsidRPr="008B7C73">
        <w:rPr>
          <w:rFonts w:ascii="Arial" w:hAnsi="Arial" w:cs="Arial"/>
          <w:sz w:val="22"/>
          <w:szCs w:val="22"/>
        </w:rPr>
        <w:t xml:space="preserve">ewer </w:t>
      </w:r>
      <w:r>
        <w:rPr>
          <w:rFonts w:ascii="Arial" w:hAnsi="Arial" w:cs="Arial"/>
          <w:sz w:val="22"/>
          <w:szCs w:val="22"/>
        </w:rPr>
        <w:t>S</w:t>
      </w:r>
      <w:r w:rsidRPr="008B7C73">
        <w:rPr>
          <w:rFonts w:ascii="Arial" w:hAnsi="Arial" w:cs="Arial"/>
          <w:sz w:val="22"/>
          <w:szCs w:val="22"/>
        </w:rPr>
        <w:t xml:space="preserve">ystem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MSSW </w:t>
      </w:r>
      <w:r>
        <w:rPr>
          <w:rFonts w:ascii="Arial" w:hAnsi="Arial" w:cs="Arial"/>
          <w:snapToGrid w:val="0"/>
          <w:sz w:val="22"/>
          <w:szCs w:val="22"/>
        </w:rPr>
        <w:tab/>
      </w:r>
      <w:r w:rsidRPr="008B7C73">
        <w:rPr>
          <w:rFonts w:ascii="Arial" w:hAnsi="Arial" w:cs="Arial"/>
          <w:snapToGrid w:val="0"/>
          <w:sz w:val="22"/>
          <w:szCs w:val="22"/>
        </w:rPr>
        <w:t xml:space="preserve">Management and Storage of Surface Water </w:t>
      </w:r>
    </w:p>
    <w:p w:rsidR="00FC23B4" w:rsidRPr="008B7C73" w:rsidRDefault="00FC23B4" w:rsidP="00FC23B4">
      <w:pPr>
        <w:rPr>
          <w:rFonts w:ascii="Arial" w:hAnsi="Arial" w:cs="Arial"/>
          <w:sz w:val="22"/>
          <w:szCs w:val="22"/>
        </w:rPr>
      </w:pPr>
      <w:r>
        <w:rPr>
          <w:rFonts w:ascii="Arial" w:hAnsi="Arial" w:cs="Arial"/>
          <w:sz w:val="22"/>
          <w:szCs w:val="22"/>
        </w:rPr>
        <w:t>NO</w:t>
      </w:r>
      <w:r w:rsidRPr="0093750F">
        <w:rPr>
          <w:rFonts w:ascii="Arial" w:hAnsi="Arial" w:cs="Arial"/>
          <w:sz w:val="22"/>
          <w:szCs w:val="22"/>
          <w:vertAlign w:val="subscript"/>
        </w:rPr>
        <w:t>X</w:t>
      </w:r>
      <w:r>
        <w:rPr>
          <w:rFonts w:ascii="Arial" w:hAnsi="Arial" w:cs="Arial"/>
          <w:sz w:val="22"/>
          <w:szCs w:val="22"/>
        </w:rPr>
        <w:tab/>
      </w:r>
      <w:r>
        <w:rPr>
          <w:rFonts w:ascii="Arial" w:hAnsi="Arial" w:cs="Arial"/>
          <w:sz w:val="22"/>
          <w:szCs w:val="22"/>
        </w:rPr>
        <w:tab/>
      </w:r>
      <w:r w:rsidR="007C2526">
        <w:rPr>
          <w:rFonts w:ascii="Arial" w:hAnsi="Arial" w:cs="Arial"/>
          <w:sz w:val="22"/>
          <w:szCs w:val="22"/>
        </w:rPr>
        <w:t>Nitrate + Nitrite</w:t>
      </w:r>
    </w:p>
    <w:p w:rsidR="00485094" w:rsidRDefault="00485094" w:rsidP="00B370E1">
      <w:pPr>
        <w:rPr>
          <w:rFonts w:ascii="Arial" w:hAnsi="Arial" w:cs="Arial"/>
          <w:sz w:val="22"/>
          <w:szCs w:val="22"/>
        </w:rPr>
      </w:pPr>
      <w:r w:rsidRPr="008B7C73">
        <w:rPr>
          <w:rFonts w:ascii="Arial" w:hAnsi="Arial" w:cs="Arial"/>
          <w:sz w:val="22"/>
          <w:szCs w:val="22"/>
        </w:rPr>
        <w:t xml:space="preserve">N </w:t>
      </w:r>
      <w:r>
        <w:rPr>
          <w:rFonts w:ascii="Arial" w:hAnsi="Arial" w:cs="Arial"/>
          <w:sz w:val="22"/>
          <w:szCs w:val="22"/>
        </w:rPr>
        <w:tab/>
      </w:r>
      <w:r>
        <w:rPr>
          <w:rFonts w:ascii="Arial" w:hAnsi="Arial" w:cs="Arial"/>
          <w:sz w:val="22"/>
          <w:szCs w:val="22"/>
        </w:rPr>
        <w:tab/>
        <w:t>Nitrogen</w:t>
      </w:r>
    </w:p>
    <w:p w:rsidR="00485094" w:rsidRPr="008B7C73" w:rsidRDefault="00FC23B4" w:rsidP="00B370E1">
      <w:pPr>
        <w:rPr>
          <w:rFonts w:ascii="Arial" w:hAnsi="Arial" w:cs="Arial"/>
          <w:sz w:val="22"/>
          <w:szCs w:val="22"/>
        </w:rPr>
      </w:pPr>
      <w:r>
        <w:rPr>
          <w:rFonts w:ascii="Arial" w:hAnsi="Arial" w:cs="Arial"/>
          <w:sz w:val="22"/>
          <w:szCs w:val="22"/>
        </w:rPr>
        <w:t>Na</w:t>
      </w:r>
      <w:r w:rsidR="00485094" w:rsidRPr="008B7C73">
        <w:rPr>
          <w:rFonts w:ascii="Arial" w:hAnsi="Arial" w:cs="Arial"/>
          <w:sz w:val="22"/>
          <w:szCs w:val="22"/>
        </w:rPr>
        <w:t xml:space="preserve">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Sodium</w:t>
      </w:r>
    </w:p>
    <w:p w:rsidR="00485094" w:rsidRPr="008B7C73" w:rsidRDefault="00485094" w:rsidP="00B370E1">
      <w:pPr>
        <w:rPr>
          <w:rFonts w:ascii="Arial" w:hAnsi="Arial" w:cs="Arial"/>
          <w:sz w:val="22"/>
          <w:szCs w:val="22"/>
        </w:rPr>
      </w:pPr>
      <w:r w:rsidRPr="008B7C73">
        <w:rPr>
          <w:rFonts w:ascii="Arial" w:hAnsi="Arial" w:cs="Arial"/>
          <w:sz w:val="22"/>
          <w:szCs w:val="22"/>
        </w:rPr>
        <w:t>NEEPP</w:t>
      </w:r>
      <w:r>
        <w:rPr>
          <w:rFonts w:ascii="Arial" w:hAnsi="Arial" w:cs="Arial"/>
          <w:sz w:val="22"/>
          <w:szCs w:val="22"/>
        </w:rPr>
        <w:tab/>
      </w:r>
      <w:r w:rsidRPr="004853D4">
        <w:rPr>
          <w:rFonts w:ascii="Arial" w:hAnsi="Arial" w:cs="Arial"/>
          <w:sz w:val="22"/>
          <w:szCs w:val="22"/>
        </w:rPr>
        <w:t>Northern Everglades and Estuaries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NELAC </w:t>
      </w:r>
      <w:r>
        <w:rPr>
          <w:rFonts w:ascii="Arial" w:hAnsi="Arial" w:cs="Arial"/>
          <w:sz w:val="22"/>
          <w:szCs w:val="22"/>
        </w:rPr>
        <w:tab/>
      </w:r>
      <w:r w:rsidRPr="008B7C73">
        <w:rPr>
          <w:rFonts w:ascii="Arial" w:hAnsi="Arial" w:cs="Arial"/>
          <w:sz w:val="22"/>
          <w:szCs w:val="22"/>
        </w:rPr>
        <w:t xml:space="preserve">National Environmental Laboratory Accreditation Conference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NEP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National Estuary Program  </w:t>
      </w:r>
    </w:p>
    <w:p w:rsidR="00485094" w:rsidRPr="008B7C73" w:rsidRDefault="00485094" w:rsidP="00B370E1">
      <w:pPr>
        <w:rPr>
          <w:rFonts w:ascii="Arial" w:hAnsi="Arial" w:cs="Arial"/>
          <w:sz w:val="22"/>
          <w:szCs w:val="22"/>
        </w:rPr>
      </w:pPr>
      <w:r w:rsidRPr="008B7C73">
        <w:rPr>
          <w:rFonts w:ascii="Arial" w:hAnsi="Arial" w:cs="Arial"/>
          <w:sz w:val="22"/>
          <w:szCs w:val="22"/>
        </w:rPr>
        <w:t>NHD</w:t>
      </w:r>
      <w:r>
        <w:rPr>
          <w:rFonts w:ascii="Arial" w:hAnsi="Arial" w:cs="Arial"/>
          <w:sz w:val="22"/>
          <w:szCs w:val="22"/>
        </w:rPr>
        <w:tab/>
      </w:r>
      <w:r>
        <w:rPr>
          <w:rFonts w:ascii="Arial" w:hAnsi="Arial" w:cs="Arial"/>
          <w:sz w:val="22"/>
          <w:szCs w:val="22"/>
        </w:rPr>
        <w:tab/>
      </w:r>
      <w:r w:rsidRPr="008B7C73">
        <w:rPr>
          <w:rFonts w:ascii="Arial" w:hAnsi="Arial" w:cs="Arial"/>
          <w:sz w:val="22"/>
          <w:szCs w:val="22"/>
        </w:rPr>
        <w:t>National Hydrography Dataset</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NOAA</w:t>
      </w:r>
      <w:r>
        <w:rPr>
          <w:rFonts w:ascii="Arial" w:hAnsi="Arial" w:cs="Arial"/>
          <w:snapToGrid w:val="0"/>
          <w:sz w:val="22"/>
          <w:szCs w:val="22"/>
        </w:rPr>
        <w:tab/>
      </w:r>
      <w:r>
        <w:rPr>
          <w:rFonts w:ascii="Arial" w:hAnsi="Arial" w:cs="Arial"/>
          <w:snapToGrid w:val="0"/>
          <w:sz w:val="22"/>
          <w:szCs w:val="22"/>
        </w:rPr>
        <w:tab/>
        <w:t>National Oceanic and Atmospheric Administration</w:t>
      </w:r>
    </w:p>
    <w:p w:rsidR="00485094" w:rsidRPr="008B7C73" w:rsidRDefault="00485094" w:rsidP="00B370E1">
      <w:pPr>
        <w:rPr>
          <w:rFonts w:ascii="Arial" w:hAnsi="Arial" w:cs="Arial"/>
          <w:sz w:val="22"/>
          <w:szCs w:val="22"/>
        </w:rPr>
      </w:pPr>
      <w:r w:rsidRPr="008B7C73">
        <w:rPr>
          <w:rFonts w:ascii="Arial" w:hAnsi="Arial" w:cs="Arial"/>
          <w:sz w:val="22"/>
          <w:szCs w:val="22"/>
        </w:rPr>
        <w:lastRenderedPageBreak/>
        <w:t xml:space="preserve">NOI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Intent </w:t>
      </w:r>
    </w:p>
    <w:p w:rsidR="00485094" w:rsidRPr="008B7C73" w:rsidRDefault="00485094" w:rsidP="00B370E1">
      <w:pPr>
        <w:rPr>
          <w:rStyle w:val="BodytextChar1"/>
          <w:rFonts w:cs="Arial"/>
          <w:sz w:val="22"/>
          <w:szCs w:val="22"/>
        </w:rPr>
      </w:pPr>
      <w:r w:rsidRPr="008B7C73">
        <w:rPr>
          <w:rFonts w:ascii="Arial" w:hAnsi="Arial" w:cs="Arial"/>
          <w:sz w:val="22"/>
          <w:szCs w:val="22"/>
        </w:rPr>
        <w:t xml:space="preserve">NOV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Notice of Violation  </w:t>
      </w:r>
    </w:p>
    <w:p w:rsidR="00485094" w:rsidRPr="008B7C73" w:rsidRDefault="00485094" w:rsidP="00B370E1">
      <w:pPr>
        <w:rPr>
          <w:rFonts w:ascii="Arial" w:hAnsi="Arial" w:cs="Arial"/>
          <w:bCs/>
          <w:i/>
          <w:sz w:val="22"/>
          <w:szCs w:val="22"/>
        </w:rPr>
      </w:pPr>
      <w:r w:rsidRPr="008B7C73">
        <w:rPr>
          <w:rFonts w:ascii="Arial" w:hAnsi="Arial" w:cs="Arial"/>
          <w:sz w:val="22"/>
          <w:szCs w:val="22"/>
        </w:rPr>
        <w:t xml:space="preserve">NPDES </w:t>
      </w:r>
      <w:r>
        <w:rPr>
          <w:rFonts w:ascii="Arial" w:hAnsi="Arial" w:cs="Arial"/>
          <w:sz w:val="22"/>
          <w:szCs w:val="22"/>
        </w:rPr>
        <w:tab/>
      </w:r>
      <w:r w:rsidRPr="008B7C73">
        <w:rPr>
          <w:rFonts w:ascii="Arial" w:hAnsi="Arial" w:cs="Arial"/>
          <w:sz w:val="22"/>
          <w:szCs w:val="22"/>
        </w:rPr>
        <w:t xml:space="preserve">National Pollutant Discharge Elimination System  </w:t>
      </w:r>
    </w:p>
    <w:p w:rsidR="007C2526" w:rsidRDefault="007C2526" w:rsidP="00B370E1">
      <w:pPr>
        <w:rPr>
          <w:rFonts w:ascii="Arial" w:hAnsi="Arial" w:cs="Arial"/>
          <w:sz w:val="22"/>
          <w:szCs w:val="22"/>
        </w:rPr>
      </w:pPr>
      <w:r>
        <w:rPr>
          <w:rFonts w:ascii="Arial" w:hAnsi="Arial" w:cs="Arial"/>
          <w:sz w:val="22"/>
          <w:szCs w:val="22"/>
        </w:rPr>
        <w:t>NPL</w:t>
      </w:r>
      <w:r>
        <w:rPr>
          <w:rFonts w:ascii="Arial" w:hAnsi="Arial" w:cs="Arial"/>
          <w:sz w:val="22"/>
          <w:szCs w:val="22"/>
        </w:rPr>
        <w:tab/>
      </w:r>
      <w:r>
        <w:rPr>
          <w:rFonts w:ascii="Arial" w:hAnsi="Arial" w:cs="Arial"/>
          <w:sz w:val="22"/>
          <w:szCs w:val="22"/>
        </w:rPr>
        <w:tab/>
        <w:t>National Priorities List</w:t>
      </w:r>
    </w:p>
    <w:p w:rsidR="00485094" w:rsidRPr="008B7C73" w:rsidRDefault="00485094" w:rsidP="00B370E1">
      <w:pPr>
        <w:rPr>
          <w:rFonts w:ascii="Arial" w:hAnsi="Arial" w:cs="Arial"/>
          <w:sz w:val="22"/>
          <w:szCs w:val="22"/>
        </w:rPr>
      </w:pPr>
      <w:r>
        <w:rPr>
          <w:rFonts w:ascii="Arial" w:hAnsi="Arial" w:cs="Arial"/>
          <w:sz w:val="22"/>
          <w:szCs w:val="22"/>
        </w:rPr>
        <w:t>NRDC</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Natural Resources Defense Council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NSP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Neurotoxic Shellfish Poisoning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NSTP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National Status and Trends Program  </w:t>
      </w:r>
    </w:p>
    <w:p w:rsidR="00485094" w:rsidRPr="008B7C73" w:rsidRDefault="00485094" w:rsidP="00B370E1">
      <w:pPr>
        <w:rPr>
          <w:rFonts w:ascii="Arial" w:hAnsi="Arial" w:cs="Arial"/>
          <w:sz w:val="22"/>
          <w:szCs w:val="22"/>
        </w:rPr>
      </w:pPr>
      <w:r w:rsidRPr="008B7C73">
        <w:rPr>
          <w:rFonts w:ascii="Arial" w:hAnsi="Arial" w:cs="Arial"/>
          <w:sz w:val="22"/>
          <w:szCs w:val="22"/>
        </w:rPr>
        <w:t>NWFWMD</w:t>
      </w:r>
      <w:r>
        <w:rPr>
          <w:rFonts w:ascii="Arial" w:hAnsi="Arial" w:cs="Arial"/>
          <w:sz w:val="22"/>
          <w:szCs w:val="22"/>
        </w:rPr>
        <w:tab/>
        <w:t>Northwest Florida Water Management District</w:t>
      </w:r>
    </w:p>
    <w:p w:rsidR="00485094" w:rsidRPr="00504865" w:rsidRDefault="00485094" w:rsidP="00B370E1">
      <w:pPr>
        <w:rPr>
          <w:rFonts w:ascii="Arial" w:hAnsi="Arial" w:cs="Arial"/>
          <w:sz w:val="22"/>
          <w:szCs w:val="22"/>
        </w:rPr>
      </w:pPr>
      <w:r w:rsidRPr="00504865">
        <w:rPr>
          <w:rFonts w:ascii="Arial" w:hAnsi="Arial" w:cs="Arial"/>
          <w:sz w:val="22"/>
          <w:szCs w:val="22"/>
        </w:rPr>
        <w:t>OAWP</w:t>
      </w:r>
      <w:r w:rsidRPr="00504865">
        <w:rPr>
          <w:rFonts w:ascii="Arial" w:hAnsi="Arial" w:cs="Arial"/>
          <w:sz w:val="22"/>
          <w:szCs w:val="22"/>
        </w:rPr>
        <w:tab/>
      </w:r>
      <w:r w:rsidRPr="00504865">
        <w:rPr>
          <w:rFonts w:ascii="Arial" w:hAnsi="Arial" w:cs="Arial"/>
          <w:sz w:val="22"/>
          <w:szCs w:val="22"/>
        </w:rPr>
        <w:tab/>
        <w:t>Office of Agricultural Water Policy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OFW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Outstanding Florida Water</w:t>
      </w:r>
      <w:r>
        <w:rPr>
          <w:rFonts w:ascii="Arial" w:hAnsi="Arial" w:cs="Arial"/>
          <w:snapToGrid w:val="0"/>
          <w:sz w:val="22"/>
          <w:szCs w:val="22"/>
        </w:rPr>
        <w:t xml:space="preserve"> </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P</w:t>
      </w:r>
      <w:r>
        <w:rPr>
          <w:rFonts w:ascii="Arial" w:hAnsi="Arial" w:cs="Arial"/>
          <w:sz w:val="22"/>
          <w:szCs w:val="22"/>
        </w:rPr>
        <w:tab/>
      </w:r>
      <w:r>
        <w:rPr>
          <w:rFonts w:ascii="Arial" w:hAnsi="Arial" w:cs="Arial"/>
          <w:sz w:val="22"/>
          <w:szCs w:val="22"/>
        </w:rPr>
        <w:tab/>
        <w:t>Phosphorus</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P-2000</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Preservation 2000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PAHs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Polynuclear Aromatic Hydrocarbons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PAI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Performance Audit Inspection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Pb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Lead </w:t>
      </w:r>
    </w:p>
    <w:p w:rsidR="00174ED1" w:rsidRDefault="00174ED1" w:rsidP="00B370E1">
      <w:pPr>
        <w:rPr>
          <w:rFonts w:ascii="Arial" w:hAnsi="Arial" w:cs="Arial"/>
          <w:sz w:val="22"/>
          <w:szCs w:val="22"/>
        </w:rPr>
      </w:pPr>
      <w:r>
        <w:rPr>
          <w:rFonts w:ascii="Arial" w:hAnsi="Arial" w:cs="Arial"/>
          <w:sz w:val="22"/>
          <w:szCs w:val="22"/>
        </w:rPr>
        <w:t>PBS&amp;J</w:t>
      </w:r>
      <w:r>
        <w:rPr>
          <w:rFonts w:ascii="Arial" w:hAnsi="Arial" w:cs="Arial"/>
          <w:sz w:val="22"/>
          <w:szCs w:val="22"/>
        </w:rPr>
        <w:tab/>
      </w:r>
      <w:r>
        <w:rPr>
          <w:rFonts w:ascii="Arial" w:hAnsi="Arial" w:cs="Arial"/>
          <w:sz w:val="22"/>
          <w:szCs w:val="22"/>
        </w:rPr>
        <w:tab/>
        <w:t xml:space="preserve">Post, Buckley, </w:t>
      </w:r>
      <w:proofErr w:type="spellStart"/>
      <w:r>
        <w:rPr>
          <w:rFonts w:ascii="Arial" w:hAnsi="Arial" w:cs="Arial"/>
          <w:sz w:val="22"/>
          <w:szCs w:val="22"/>
        </w:rPr>
        <w:t>Schuh</w:t>
      </w:r>
      <w:proofErr w:type="spellEnd"/>
      <w:r>
        <w:rPr>
          <w:rFonts w:ascii="Arial" w:hAnsi="Arial" w:cs="Arial"/>
          <w:sz w:val="22"/>
          <w:szCs w:val="22"/>
        </w:rPr>
        <w:t xml:space="preserve">, and Jernigan, </w:t>
      </w:r>
      <w:r w:rsidR="00161289">
        <w:rPr>
          <w:rFonts w:ascii="Arial" w:hAnsi="Arial" w:cs="Arial"/>
          <w:sz w:val="22"/>
          <w:szCs w:val="22"/>
        </w:rPr>
        <w:t>Incorporated</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PCBs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Polychlorinated Biphenyls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PCE </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etrachloroethylene   </w:t>
      </w:r>
    </w:p>
    <w:p w:rsidR="00485094" w:rsidRPr="008B7C73" w:rsidRDefault="00485094" w:rsidP="00B370E1">
      <w:pPr>
        <w:rPr>
          <w:rFonts w:ascii="Arial" w:hAnsi="Arial" w:cs="Arial"/>
          <w:sz w:val="22"/>
          <w:szCs w:val="22"/>
        </w:rPr>
      </w:pPr>
      <w:r w:rsidRPr="008B7C73">
        <w:rPr>
          <w:rFonts w:ascii="Arial" w:hAnsi="Arial" w:cs="Arial"/>
          <w:sz w:val="22"/>
          <w:szCs w:val="22"/>
        </w:rPr>
        <w:t>PCU</w:t>
      </w:r>
      <w:r>
        <w:rPr>
          <w:rFonts w:ascii="Arial" w:hAnsi="Arial" w:cs="Arial"/>
          <w:sz w:val="22"/>
          <w:szCs w:val="22"/>
        </w:rPr>
        <w:tab/>
      </w:r>
      <w:r>
        <w:rPr>
          <w:rFonts w:ascii="Arial" w:hAnsi="Arial" w:cs="Arial"/>
          <w:sz w:val="22"/>
          <w:szCs w:val="22"/>
        </w:rPr>
        <w:tab/>
        <w:t>Platinum Cobalt Unit</w:t>
      </w:r>
    </w:p>
    <w:p w:rsidR="00485094" w:rsidRPr="008B7C73" w:rsidRDefault="00485094" w:rsidP="00B370E1">
      <w:pPr>
        <w:rPr>
          <w:rFonts w:ascii="Arial" w:hAnsi="Arial" w:cs="Arial"/>
          <w:sz w:val="22"/>
          <w:szCs w:val="22"/>
        </w:rPr>
      </w:pPr>
      <w:r w:rsidRPr="008B7C73">
        <w:rPr>
          <w:rFonts w:ascii="Arial" w:hAnsi="Arial" w:cs="Arial"/>
          <w:snapToGrid w:val="0"/>
          <w:color w:val="000000"/>
          <w:sz w:val="22"/>
          <w:szCs w:val="22"/>
        </w:rPr>
        <w:t xml:space="preserve">PEC </w:t>
      </w:r>
      <w:r>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Probable Effects Concentration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PLRG </w:t>
      </w:r>
      <w:r>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ollutant </w:t>
      </w:r>
      <w:r>
        <w:rPr>
          <w:rFonts w:ascii="Arial" w:hAnsi="Arial" w:cs="Arial"/>
          <w:snapToGrid w:val="0"/>
          <w:sz w:val="22"/>
          <w:szCs w:val="22"/>
        </w:rPr>
        <w:t>L</w:t>
      </w:r>
      <w:r w:rsidRPr="008B7C73">
        <w:rPr>
          <w:rFonts w:ascii="Arial" w:hAnsi="Arial" w:cs="Arial"/>
          <w:snapToGrid w:val="0"/>
          <w:sz w:val="22"/>
          <w:szCs w:val="22"/>
        </w:rPr>
        <w:t xml:space="preserve">oad </w:t>
      </w:r>
      <w:r>
        <w:rPr>
          <w:rFonts w:ascii="Arial" w:hAnsi="Arial" w:cs="Arial"/>
          <w:snapToGrid w:val="0"/>
          <w:sz w:val="22"/>
          <w:szCs w:val="22"/>
        </w:rPr>
        <w:t>R</w:t>
      </w:r>
      <w:r w:rsidRPr="008B7C73">
        <w:rPr>
          <w:rFonts w:ascii="Arial" w:hAnsi="Arial" w:cs="Arial"/>
          <w:snapToGrid w:val="0"/>
          <w:sz w:val="22"/>
          <w:szCs w:val="22"/>
        </w:rPr>
        <w:t xml:space="preserve">eduction </w:t>
      </w:r>
      <w:r>
        <w:rPr>
          <w:rFonts w:ascii="Arial" w:hAnsi="Arial" w:cs="Arial"/>
          <w:snapToGrid w:val="0"/>
          <w:sz w:val="22"/>
          <w:szCs w:val="22"/>
        </w:rPr>
        <w:t>G</w:t>
      </w:r>
      <w:r w:rsidRPr="008B7C73">
        <w:rPr>
          <w:rFonts w:ascii="Arial" w:hAnsi="Arial" w:cs="Arial"/>
          <w:snapToGrid w:val="0"/>
          <w:sz w:val="22"/>
          <w:szCs w:val="22"/>
        </w:rPr>
        <w:t xml:space="preserve">oal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ppb </w:t>
      </w:r>
      <w:r>
        <w:rPr>
          <w:rFonts w:ascii="Arial" w:hAnsi="Arial" w:cs="Arial"/>
          <w:snapToGrid w:val="0"/>
          <w:sz w:val="22"/>
          <w:szCs w:val="22"/>
        </w:rPr>
        <w:tab/>
      </w:r>
      <w:r>
        <w:rPr>
          <w:rFonts w:ascii="Arial" w:hAnsi="Arial" w:cs="Arial"/>
          <w:snapToGrid w:val="0"/>
          <w:sz w:val="22"/>
          <w:szCs w:val="22"/>
        </w:rPr>
        <w:tab/>
        <w:t>P</w:t>
      </w:r>
      <w:r w:rsidRPr="008B7C73">
        <w:rPr>
          <w:rFonts w:ascii="Arial" w:hAnsi="Arial" w:cs="Arial"/>
          <w:snapToGrid w:val="0"/>
          <w:sz w:val="22"/>
          <w:szCs w:val="22"/>
        </w:rPr>
        <w:t xml:space="preserve">arts per </w:t>
      </w:r>
      <w:r>
        <w:rPr>
          <w:rFonts w:ascii="Arial" w:hAnsi="Arial" w:cs="Arial"/>
          <w:snapToGrid w:val="0"/>
          <w:sz w:val="22"/>
          <w:szCs w:val="22"/>
        </w:rPr>
        <w:t>B</w:t>
      </w:r>
      <w:r w:rsidRPr="008B7C73">
        <w:rPr>
          <w:rFonts w:ascii="Arial" w:hAnsi="Arial" w:cs="Arial"/>
          <w:snapToGrid w:val="0"/>
          <w:sz w:val="22"/>
          <w:szCs w:val="22"/>
        </w:rPr>
        <w:t>illion</w:t>
      </w:r>
    </w:p>
    <w:p w:rsidR="00E22C45" w:rsidRDefault="00E22C45" w:rsidP="00B370E1">
      <w:pPr>
        <w:rPr>
          <w:rFonts w:ascii="Arial" w:hAnsi="Arial" w:cs="Arial"/>
          <w:sz w:val="22"/>
          <w:szCs w:val="22"/>
        </w:rPr>
      </w:pPr>
      <w:r>
        <w:rPr>
          <w:rFonts w:ascii="Arial" w:hAnsi="Arial" w:cs="Arial"/>
          <w:sz w:val="22"/>
          <w:szCs w:val="22"/>
        </w:rPr>
        <w:t>ppt</w:t>
      </w:r>
      <w:r>
        <w:rPr>
          <w:rFonts w:ascii="Arial" w:hAnsi="Arial" w:cs="Arial"/>
          <w:sz w:val="22"/>
          <w:szCs w:val="22"/>
        </w:rPr>
        <w:tab/>
      </w:r>
      <w:r>
        <w:rPr>
          <w:rFonts w:ascii="Arial" w:hAnsi="Arial" w:cs="Arial"/>
          <w:sz w:val="22"/>
          <w:szCs w:val="22"/>
        </w:rPr>
        <w:tab/>
        <w:t>Parts per Thousand</w:t>
      </w:r>
    </w:p>
    <w:p w:rsidR="00E22C45" w:rsidRDefault="00E22C45" w:rsidP="00B370E1">
      <w:pPr>
        <w:rPr>
          <w:rFonts w:ascii="Arial" w:hAnsi="Arial" w:cs="Arial"/>
          <w:sz w:val="22"/>
          <w:szCs w:val="22"/>
        </w:rPr>
      </w:pPr>
      <w:proofErr w:type="spellStart"/>
      <w:r>
        <w:rPr>
          <w:rFonts w:ascii="Arial" w:hAnsi="Arial" w:cs="Arial"/>
          <w:sz w:val="22"/>
          <w:szCs w:val="22"/>
        </w:rPr>
        <w:t>psu</w:t>
      </w:r>
      <w:proofErr w:type="spellEnd"/>
      <w:r>
        <w:rPr>
          <w:rFonts w:ascii="Arial" w:hAnsi="Arial" w:cs="Arial"/>
          <w:sz w:val="22"/>
          <w:szCs w:val="22"/>
        </w:rPr>
        <w:tab/>
      </w:r>
      <w:r>
        <w:rPr>
          <w:rFonts w:ascii="Arial" w:hAnsi="Arial" w:cs="Arial"/>
          <w:sz w:val="22"/>
          <w:szCs w:val="22"/>
        </w:rPr>
        <w:tab/>
        <w:t>Practical Salinity Unit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PWS </w:t>
      </w:r>
      <w:r>
        <w:rPr>
          <w:rFonts w:ascii="Arial" w:hAnsi="Arial" w:cs="Arial"/>
          <w:sz w:val="22"/>
          <w:szCs w:val="22"/>
        </w:rPr>
        <w:tab/>
      </w:r>
      <w:r>
        <w:rPr>
          <w:rFonts w:ascii="Arial" w:hAnsi="Arial" w:cs="Arial"/>
          <w:sz w:val="22"/>
          <w:szCs w:val="22"/>
        </w:rPr>
        <w:tab/>
        <w:t>P</w:t>
      </w:r>
      <w:r w:rsidRPr="008B7C73">
        <w:rPr>
          <w:rFonts w:ascii="Arial" w:hAnsi="Arial" w:cs="Arial"/>
          <w:sz w:val="22"/>
          <w:szCs w:val="22"/>
        </w:rPr>
        <w:t xml:space="preserve">ublic </w:t>
      </w:r>
      <w:r>
        <w:rPr>
          <w:rFonts w:ascii="Arial" w:hAnsi="Arial" w:cs="Arial"/>
          <w:sz w:val="22"/>
          <w:szCs w:val="22"/>
        </w:rPr>
        <w:t>W</w:t>
      </w:r>
      <w:r w:rsidRPr="008B7C73">
        <w:rPr>
          <w:rFonts w:ascii="Arial" w:hAnsi="Arial" w:cs="Arial"/>
          <w:sz w:val="22"/>
          <w:szCs w:val="22"/>
        </w:rPr>
        <w:t xml:space="preserve">ater </w:t>
      </w:r>
      <w:r>
        <w:rPr>
          <w:rFonts w:ascii="Arial" w:hAnsi="Arial" w:cs="Arial"/>
          <w:sz w:val="22"/>
          <w:szCs w:val="22"/>
        </w:rPr>
        <w:t>S</w:t>
      </w:r>
      <w:r w:rsidRPr="008B7C73">
        <w:rPr>
          <w:rFonts w:ascii="Arial" w:hAnsi="Arial" w:cs="Arial"/>
          <w:sz w:val="22"/>
          <w:szCs w:val="22"/>
        </w:rPr>
        <w:t xml:space="preserve">ystem  </w:t>
      </w:r>
    </w:p>
    <w:p w:rsidR="0044193D" w:rsidRPr="0044193D" w:rsidRDefault="0044193D" w:rsidP="00B370E1">
      <w:pPr>
        <w:rPr>
          <w:rFonts w:ascii="Arial" w:hAnsi="Arial" w:cs="Arial"/>
          <w:sz w:val="22"/>
          <w:szCs w:val="22"/>
        </w:rPr>
      </w:pPr>
      <w:r w:rsidRPr="0044193D">
        <w:rPr>
          <w:rFonts w:ascii="Arial" w:hAnsi="Arial" w:cs="Arial"/>
          <w:sz w:val="22"/>
          <w:szCs w:val="22"/>
        </w:rPr>
        <w:t>PWS ID#</w:t>
      </w:r>
      <w:r w:rsidRPr="0044193D">
        <w:rPr>
          <w:rFonts w:ascii="Arial" w:hAnsi="Arial" w:cs="Arial"/>
          <w:sz w:val="22"/>
          <w:szCs w:val="22"/>
        </w:rPr>
        <w:tab/>
        <w:t xml:space="preserve">Public Water System Identification Number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QA </w:t>
      </w:r>
      <w:r>
        <w:rPr>
          <w:rFonts w:ascii="Arial" w:hAnsi="Arial" w:cs="Arial"/>
          <w:sz w:val="22"/>
          <w:szCs w:val="22"/>
        </w:rPr>
        <w:tab/>
      </w:r>
      <w:r>
        <w:rPr>
          <w:rFonts w:ascii="Arial" w:hAnsi="Arial" w:cs="Arial"/>
          <w:sz w:val="22"/>
          <w:szCs w:val="22"/>
        </w:rPr>
        <w:tab/>
        <w:t>Q</w:t>
      </w:r>
      <w:r w:rsidRPr="008B7C73">
        <w:rPr>
          <w:rFonts w:ascii="Arial" w:hAnsi="Arial" w:cs="Arial"/>
          <w:sz w:val="22"/>
          <w:szCs w:val="22"/>
        </w:rPr>
        <w:t xml:space="preserve">uality </w:t>
      </w:r>
      <w:r>
        <w:rPr>
          <w:rFonts w:ascii="Arial" w:hAnsi="Arial" w:cs="Arial"/>
          <w:sz w:val="22"/>
          <w:szCs w:val="22"/>
        </w:rPr>
        <w:t>A</w:t>
      </w:r>
      <w:r w:rsidRPr="008B7C73">
        <w:rPr>
          <w:rFonts w:ascii="Arial" w:hAnsi="Arial" w:cs="Arial"/>
          <w:sz w:val="22"/>
          <w:szCs w:val="22"/>
        </w:rPr>
        <w:t xml:space="preserve">ssurance  </w:t>
      </w:r>
    </w:p>
    <w:p w:rsidR="00485094" w:rsidRPr="008B7C73" w:rsidRDefault="00485094" w:rsidP="00B370E1">
      <w:pPr>
        <w:rPr>
          <w:rFonts w:ascii="Arial" w:hAnsi="Arial" w:cs="Arial"/>
          <w:sz w:val="22"/>
          <w:szCs w:val="22"/>
        </w:rPr>
      </w:pPr>
      <w:r w:rsidRPr="008B7C73">
        <w:rPr>
          <w:rFonts w:ascii="Arial" w:hAnsi="Arial" w:cs="Arial"/>
          <w:sz w:val="22"/>
          <w:szCs w:val="22"/>
        </w:rPr>
        <w:t>QA/QC</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Quality </w:t>
      </w:r>
      <w:r>
        <w:rPr>
          <w:rFonts w:ascii="Arial" w:hAnsi="Arial" w:cs="Arial"/>
          <w:sz w:val="22"/>
          <w:szCs w:val="22"/>
        </w:rPr>
        <w:t>A</w:t>
      </w:r>
      <w:r w:rsidRPr="008B7C73">
        <w:rPr>
          <w:rFonts w:ascii="Arial" w:hAnsi="Arial" w:cs="Arial"/>
          <w:sz w:val="22"/>
          <w:szCs w:val="22"/>
        </w:rPr>
        <w:t>ssurance/</w:t>
      </w:r>
      <w:r>
        <w:rPr>
          <w:rFonts w:ascii="Arial" w:hAnsi="Arial" w:cs="Arial"/>
          <w:sz w:val="22"/>
          <w:szCs w:val="22"/>
        </w:rPr>
        <w:t>Q</w:t>
      </w:r>
      <w:r w:rsidRPr="008B7C73">
        <w:rPr>
          <w:rFonts w:ascii="Arial" w:hAnsi="Arial" w:cs="Arial"/>
          <w:sz w:val="22"/>
          <w:szCs w:val="22"/>
        </w:rPr>
        <w:t xml:space="preserve">uality </w:t>
      </w:r>
      <w:r>
        <w:rPr>
          <w:rFonts w:ascii="Arial" w:hAnsi="Arial" w:cs="Arial"/>
          <w:sz w:val="22"/>
          <w:szCs w:val="22"/>
        </w:rPr>
        <w:t>C</w:t>
      </w:r>
      <w:r w:rsidRPr="008B7C73">
        <w:rPr>
          <w:rFonts w:ascii="Arial" w:hAnsi="Arial" w:cs="Arial"/>
          <w:sz w:val="22"/>
          <w:szCs w:val="22"/>
        </w:rPr>
        <w:t xml:space="preserve">ontrol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rNHD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re-leveled National Hydrography Dataset   </w:t>
      </w:r>
    </w:p>
    <w:p w:rsidR="00485094" w:rsidRPr="008B7C73" w:rsidRDefault="00485094" w:rsidP="00B370E1">
      <w:pPr>
        <w:rPr>
          <w:rFonts w:ascii="Arial" w:hAnsi="Arial" w:cs="Arial"/>
          <w:sz w:val="22"/>
          <w:szCs w:val="22"/>
        </w:rPr>
      </w:pPr>
      <w:r w:rsidRPr="007C2526">
        <w:rPr>
          <w:rFonts w:ascii="Arial" w:hAnsi="Arial" w:cs="Arial"/>
          <w:sz w:val="22"/>
          <w:szCs w:val="22"/>
        </w:rPr>
        <w:t>S</w:t>
      </w:r>
      <w:r w:rsidR="00FC23B4" w:rsidRPr="007C2526">
        <w:rPr>
          <w:rFonts w:ascii="Arial" w:hAnsi="Arial" w:cs="Arial"/>
          <w:sz w:val="22"/>
          <w:szCs w:val="22"/>
        </w:rPr>
        <w:t>O</w:t>
      </w:r>
      <w:r w:rsidR="00FC23B4" w:rsidRPr="007C2526">
        <w:rPr>
          <w:rFonts w:ascii="Arial" w:hAnsi="Arial" w:cs="Arial"/>
          <w:sz w:val="22"/>
          <w:szCs w:val="22"/>
          <w:vertAlign w:val="subscript"/>
        </w:rPr>
        <w:t>4</w:t>
      </w:r>
      <w:r w:rsidRPr="007C2526">
        <w:rPr>
          <w:rFonts w:ascii="Arial" w:hAnsi="Arial" w:cs="Arial"/>
          <w:sz w:val="22"/>
          <w:szCs w:val="22"/>
        </w:rPr>
        <w:t xml:space="preserve"> </w:t>
      </w:r>
      <w:r w:rsidRPr="007C2526">
        <w:rPr>
          <w:rFonts w:ascii="Arial" w:hAnsi="Arial" w:cs="Arial"/>
          <w:sz w:val="22"/>
          <w:szCs w:val="22"/>
        </w:rPr>
        <w:tab/>
      </w:r>
      <w:r w:rsidRPr="007C2526">
        <w:rPr>
          <w:rFonts w:ascii="Arial" w:hAnsi="Arial" w:cs="Arial"/>
          <w:sz w:val="22"/>
          <w:szCs w:val="22"/>
        </w:rPr>
        <w:tab/>
        <w:t>Sulfate</w:t>
      </w:r>
    </w:p>
    <w:p w:rsidR="00485094" w:rsidRPr="008B7C73" w:rsidRDefault="00485094" w:rsidP="00B370E1">
      <w:pPr>
        <w:rPr>
          <w:rFonts w:ascii="Arial" w:hAnsi="Arial" w:cs="Arial"/>
          <w:bCs/>
          <w:sz w:val="22"/>
          <w:szCs w:val="22"/>
        </w:rPr>
      </w:pPr>
      <w:r w:rsidRPr="008B7C73">
        <w:rPr>
          <w:rFonts w:ascii="Arial" w:hAnsi="Arial" w:cs="Arial"/>
          <w:bCs/>
          <w:sz w:val="22"/>
          <w:szCs w:val="22"/>
        </w:rPr>
        <w:t xml:space="preserve">SB </w:t>
      </w:r>
      <w:r>
        <w:rPr>
          <w:rFonts w:ascii="Arial" w:hAnsi="Arial" w:cs="Arial"/>
          <w:bCs/>
          <w:sz w:val="22"/>
          <w:szCs w:val="22"/>
        </w:rPr>
        <w:tab/>
      </w:r>
      <w:r>
        <w:rPr>
          <w:rFonts w:ascii="Arial" w:hAnsi="Arial" w:cs="Arial"/>
          <w:bCs/>
          <w:sz w:val="22"/>
          <w:szCs w:val="22"/>
        </w:rPr>
        <w:tab/>
      </w:r>
      <w:r w:rsidRPr="008B7C73">
        <w:rPr>
          <w:rFonts w:ascii="Arial" w:hAnsi="Arial" w:cs="Arial"/>
          <w:bCs/>
          <w:sz w:val="22"/>
          <w:szCs w:val="22"/>
        </w:rPr>
        <w:t xml:space="preserve">Senate Bill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SC </w:t>
      </w:r>
      <w:r>
        <w:rPr>
          <w:rFonts w:ascii="Arial" w:hAnsi="Arial" w:cs="Arial"/>
          <w:sz w:val="22"/>
          <w:szCs w:val="22"/>
        </w:rPr>
        <w:tab/>
      </w:r>
      <w:r>
        <w:rPr>
          <w:rFonts w:ascii="Arial" w:hAnsi="Arial" w:cs="Arial"/>
          <w:sz w:val="22"/>
          <w:szCs w:val="22"/>
        </w:rPr>
        <w:tab/>
      </w:r>
      <w:r w:rsidRPr="008B7C73">
        <w:rPr>
          <w:rFonts w:ascii="Arial" w:hAnsi="Arial" w:cs="Arial"/>
          <w:sz w:val="22"/>
          <w:szCs w:val="22"/>
        </w:rPr>
        <w:t>Specific Conductance</w:t>
      </w:r>
    </w:p>
    <w:p w:rsidR="00485094" w:rsidRPr="008B7C73" w:rsidRDefault="00485094" w:rsidP="00B370E1">
      <w:pPr>
        <w:rPr>
          <w:rFonts w:ascii="Arial" w:hAnsi="Arial" w:cs="Arial"/>
          <w:sz w:val="22"/>
          <w:szCs w:val="22"/>
        </w:rPr>
      </w:pPr>
      <w:r w:rsidRPr="00881E17">
        <w:rPr>
          <w:rFonts w:ascii="Arial" w:hAnsi="Arial" w:cs="Arial"/>
          <w:sz w:val="22"/>
          <w:szCs w:val="22"/>
        </w:rPr>
        <w:t xml:space="preserve">SCI </w:t>
      </w:r>
      <w:r>
        <w:rPr>
          <w:rFonts w:ascii="Arial" w:hAnsi="Arial" w:cs="Arial"/>
          <w:sz w:val="22"/>
          <w:szCs w:val="22"/>
        </w:rPr>
        <w:tab/>
      </w:r>
      <w:r>
        <w:rPr>
          <w:rFonts w:ascii="Arial" w:hAnsi="Arial" w:cs="Arial"/>
          <w:sz w:val="22"/>
          <w:szCs w:val="22"/>
        </w:rPr>
        <w:tab/>
      </w:r>
      <w:r w:rsidRPr="00881E17">
        <w:rPr>
          <w:rFonts w:ascii="Arial" w:hAnsi="Arial" w:cs="Arial"/>
          <w:sz w:val="22"/>
          <w:szCs w:val="22"/>
        </w:rPr>
        <w:t xml:space="preserve">Stream Condition Index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SFWMD </w:t>
      </w:r>
      <w:r>
        <w:rPr>
          <w:rFonts w:ascii="Arial" w:hAnsi="Arial" w:cs="Arial"/>
          <w:sz w:val="22"/>
          <w:szCs w:val="22"/>
        </w:rPr>
        <w:tab/>
      </w:r>
      <w:r w:rsidRPr="008B7C73">
        <w:rPr>
          <w:rFonts w:ascii="Arial" w:hAnsi="Arial" w:cs="Arial"/>
          <w:sz w:val="22"/>
          <w:szCs w:val="22"/>
        </w:rPr>
        <w:t>South Florida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SJRWMD </w:t>
      </w:r>
      <w:r>
        <w:rPr>
          <w:rFonts w:ascii="Arial" w:hAnsi="Arial" w:cs="Arial"/>
          <w:sz w:val="22"/>
          <w:szCs w:val="22"/>
        </w:rPr>
        <w:tab/>
      </w:r>
      <w:r w:rsidRPr="008B7C73">
        <w:rPr>
          <w:rFonts w:ascii="Arial" w:hAnsi="Arial" w:cs="Arial"/>
          <w:sz w:val="22"/>
          <w:szCs w:val="22"/>
        </w:rPr>
        <w:t>St. Johns River Water Management District</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SK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Seasonal Kendall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SOCs </w:t>
      </w:r>
      <w:r>
        <w:rPr>
          <w:rFonts w:ascii="Arial" w:hAnsi="Arial" w:cs="Arial"/>
          <w:sz w:val="22"/>
          <w:szCs w:val="22"/>
        </w:rPr>
        <w:tab/>
      </w:r>
      <w:r>
        <w:rPr>
          <w:rFonts w:ascii="Arial" w:hAnsi="Arial" w:cs="Arial"/>
          <w:sz w:val="22"/>
          <w:szCs w:val="22"/>
        </w:rPr>
        <w:tab/>
        <w:t>S</w:t>
      </w:r>
      <w:r w:rsidRPr="008B7C73">
        <w:rPr>
          <w:rFonts w:ascii="Arial" w:hAnsi="Arial" w:cs="Arial"/>
          <w:sz w:val="22"/>
          <w:szCs w:val="22"/>
        </w:rPr>
        <w:t xml:space="preserve">ynthetic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hemicals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SOP </w:t>
      </w:r>
      <w:r>
        <w:rPr>
          <w:rFonts w:ascii="Arial" w:hAnsi="Arial" w:cs="Arial"/>
          <w:sz w:val="22"/>
          <w:szCs w:val="22"/>
        </w:rPr>
        <w:tab/>
      </w:r>
      <w:r>
        <w:rPr>
          <w:rFonts w:ascii="Arial" w:hAnsi="Arial" w:cs="Arial"/>
          <w:sz w:val="22"/>
          <w:szCs w:val="22"/>
        </w:rPr>
        <w:tab/>
        <w:t xml:space="preserve">Standard Operating Procedure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SOR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Save Our Rivers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SRF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Revolving Fund </w:t>
      </w:r>
    </w:p>
    <w:p w:rsidR="00485094" w:rsidRPr="008B7C73" w:rsidRDefault="00485094" w:rsidP="00B370E1">
      <w:pPr>
        <w:rPr>
          <w:rFonts w:ascii="Arial" w:hAnsi="Arial" w:cs="Arial"/>
          <w:sz w:val="22"/>
          <w:szCs w:val="22"/>
        </w:rPr>
      </w:pPr>
      <w:r w:rsidRPr="008B7C73">
        <w:rPr>
          <w:rFonts w:ascii="Arial" w:hAnsi="Arial" w:cs="Arial"/>
          <w:sz w:val="22"/>
          <w:szCs w:val="22"/>
        </w:rPr>
        <w:t>SRWMD</w:t>
      </w:r>
      <w:r>
        <w:rPr>
          <w:rFonts w:ascii="Arial" w:hAnsi="Arial" w:cs="Arial"/>
          <w:sz w:val="22"/>
          <w:szCs w:val="22"/>
        </w:rPr>
        <w:tab/>
        <w:t>Suwannee River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SSACs</w:t>
      </w:r>
      <w:r>
        <w:rPr>
          <w:rFonts w:ascii="Arial" w:hAnsi="Arial" w:cs="Arial"/>
          <w:snapToGrid w:val="0"/>
          <w:sz w:val="22"/>
          <w:szCs w:val="22"/>
        </w:rPr>
        <w:t xml:space="preserve"> </w:t>
      </w:r>
      <w:r>
        <w:rPr>
          <w:rFonts w:ascii="Arial" w:hAnsi="Arial" w:cs="Arial"/>
          <w:snapToGrid w:val="0"/>
          <w:sz w:val="22"/>
          <w:szCs w:val="22"/>
        </w:rPr>
        <w:tab/>
        <w:t>S</w:t>
      </w:r>
      <w:r w:rsidRPr="008B7C73">
        <w:rPr>
          <w:rFonts w:ascii="Arial" w:hAnsi="Arial" w:cs="Arial"/>
          <w:snapToGrid w:val="0"/>
          <w:sz w:val="22"/>
          <w:szCs w:val="22"/>
        </w:rPr>
        <w:t>ite-</w:t>
      </w:r>
      <w:r>
        <w:rPr>
          <w:rFonts w:ascii="Arial" w:hAnsi="Arial" w:cs="Arial"/>
          <w:snapToGrid w:val="0"/>
          <w:sz w:val="22"/>
          <w:szCs w:val="22"/>
        </w:rPr>
        <w:t>S</w:t>
      </w:r>
      <w:r w:rsidRPr="008B7C73">
        <w:rPr>
          <w:rFonts w:ascii="Arial" w:hAnsi="Arial" w:cs="Arial"/>
          <w:snapToGrid w:val="0"/>
          <w:sz w:val="22"/>
          <w:szCs w:val="22"/>
        </w:rPr>
        <w:t xml:space="preserve">pecific </w:t>
      </w:r>
      <w:r>
        <w:rPr>
          <w:rFonts w:ascii="Arial" w:hAnsi="Arial" w:cs="Arial"/>
          <w:snapToGrid w:val="0"/>
          <w:sz w:val="22"/>
          <w:szCs w:val="22"/>
        </w:rPr>
        <w:t>A</w:t>
      </w:r>
      <w:r w:rsidRPr="008B7C73">
        <w:rPr>
          <w:rFonts w:ascii="Arial" w:hAnsi="Arial" w:cs="Arial"/>
          <w:snapToGrid w:val="0"/>
          <w:sz w:val="22"/>
          <w:szCs w:val="22"/>
        </w:rPr>
        <w:t xml:space="preserve">lternative </w:t>
      </w:r>
      <w:r>
        <w:rPr>
          <w:rFonts w:ascii="Arial" w:hAnsi="Arial" w:cs="Arial"/>
          <w:snapToGrid w:val="0"/>
          <w:sz w:val="22"/>
          <w:szCs w:val="22"/>
        </w:rPr>
        <w:t>C</w:t>
      </w:r>
      <w:r w:rsidRPr="008B7C73">
        <w:rPr>
          <w:rFonts w:ascii="Arial" w:hAnsi="Arial" w:cs="Arial"/>
          <w:snapToGrid w:val="0"/>
          <w:sz w:val="22"/>
          <w:szCs w:val="22"/>
        </w:rPr>
        <w:t xml:space="preserve">riteria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STA</w:t>
      </w:r>
      <w:r>
        <w:rPr>
          <w:rFonts w:ascii="Arial" w:hAnsi="Arial" w:cs="Arial"/>
          <w:snapToGrid w:val="0"/>
          <w:sz w:val="22"/>
          <w:szCs w:val="22"/>
        </w:rPr>
        <w:tab/>
      </w:r>
      <w:r>
        <w:rPr>
          <w:rFonts w:ascii="Arial" w:hAnsi="Arial" w:cs="Arial"/>
          <w:snapToGrid w:val="0"/>
          <w:sz w:val="22"/>
          <w:szCs w:val="22"/>
        </w:rPr>
        <w:tab/>
        <w:t>S</w:t>
      </w:r>
      <w:r w:rsidRPr="008B7C73">
        <w:rPr>
          <w:rFonts w:ascii="Arial" w:hAnsi="Arial" w:cs="Arial"/>
          <w:snapToGrid w:val="0"/>
          <w:sz w:val="22"/>
          <w:szCs w:val="22"/>
        </w:rPr>
        <w:t xml:space="preserve">tormwater </w:t>
      </w:r>
      <w:r>
        <w:rPr>
          <w:rFonts w:ascii="Arial" w:hAnsi="Arial" w:cs="Arial"/>
          <w:snapToGrid w:val="0"/>
          <w:sz w:val="22"/>
          <w:szCs w:val="22"/>
        </w:rPr>
        <w:t>T</w:t>
      </w:r>
      <w:r w:rsidRPr="008B7C73">
        <w:rPr>
          <w:rFonts w:ascii="Arial" w:hAnsi="Arial" w:cs="Arial"/>
          <w:snapToGrid w:val="0"/>
          <w:sz w:val="22"/>
          <w:szCs w:val="22"/>
        </w:rPr>
        <w:t xml:space="preserve">reatment </w:t>
      </w:r>
      <w:r>
        <w:rPr>
          <w:rFonts w:ascii="Arial" w:hAnsi="Arial" w:cs="Arial"/>
          <w:snapToGrid w:val="0"/>
          <w:sz w:val="22"/>
          <w:szCs w:val="22"/>
        </w:rPr>
        <w:t>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STAG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State and Tribal Assistance Grant  </w:t>
      </w:r>
    </w:p>
    <w:p w:rsidR="007C2526" w:rsidRDefault="007C2526" w:rsidP="00B370E1">
      <w:pPr>
        <w:rPr>
          <w:rFonts w:ascii="Arial" w:hAnsi="Arial" w:cs="Arial"/>
          <w:sz w:val="22"/>
          <w:szCs w:val="22"/>
        </w:rPr>
      </w:pPr>
      <w:r>
        <w:rPr>
          <w:rFonts w:ascii="Arial" w:hAnsi="Arial" w:cs="Arial"/>
          <w:sz w:val="22"/>
          <w:szCs w:val="22"/>
        </w:rPr>
        <w:t>STCM</w:t>
      </w:r>
      <w:r>
        <w:rPr>
          <w:rFonts w:ascii="Arial" w:hAnsi="Arial" w:cs="Arial"/>
          <w:sz w:val="22"/>
          <w:szCs w:val="22"/>
        </w:rPr>
        <w:tab/>
      </w:r>
      <w:r>
        <w:rPr>
          <w:rFonts w:ascii="Arial" w:hAnsi="Arial" w:cs="Arial"/>
          <w:sz w:val="22"/>
          <w:szCs w:val="22"/>
        </w:rPr>
        <w:tab/>
        <w:t>Storage Tank Contamination Monitoring</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STORET </w:t>
      </w:r>
      <w:r>
        <w:rPr>
          <w:rFonts w:ascii="Arial" w:hAnsi="Arial" w:cs="Arial"/>
          <w:sz w:val="22"/>
          <w:szCs w:val="22"/>
        </w:rPr>
        <w:tab/>
      </w:r>
      <w:r w:rsidRPr="008B7C73">
        <w:rPr>
          <w:rFonts w:ascii="Arial" w:hAnsi="Arial" w:cs="Arial"/>
          <w:sz w:val="22"/>
          <w:szCs w:val="22"/>
        </w:rPr>
        <w:t xml:space="preserve">Storage and Retrieval </w:t>
      </w:r>
    </w:p>
    <w:p w:rsidR="00485094" w:rsidRPr="00881E17" w:rsidRDefault="00485094" w:rsidP="00B370E1">
      <w:pPr>
        <w:rPr>
          <w:rFonts w:ascii="Arial" w:hAnsi="Arial" w:cs="Arial"/>
          <w:sz w:val="22"/>
          <w:szCs w:val="22"/>
        </w:rPr>
      </w:pPr>
      <w:r w:rsidRPr="00881E17">
        <w:rPr>
          <w:rFonts w:ascii="Arial" w:hAnsi="Arial" w:cs="Arial"/>
          <w:sz w:val="22"/>
          <w:szCs w:val="22"/>
        </w:rPr>
        <w:t>SWAPP</w:t>
      </w:r>
      <w:r w:rsidRPr="00881E17">
        <w:rPr>
          <w:rFonts w:ascii="Arial" w:hAnsi="Arial" w:cs="Arial"/>
          <w:sz w:val="22"/>
          <w:szCs w:val="22"/>
        </w:rPr>
        <w:tab/>
        <w:t>Source Water Assessment and Protection Program</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SWFWMD </w:t>
      </w:r>
      <w:r>
        <w:rPr>
          <w:rFonts w:ascii="Arial" w:hAnsi="Arial" w:cs="Arial"/>
          <w:sz w:val="22"/>
          <w:szCs w:val="22"/>
        </w:rPr>
        <w:tab/>
      </w:r>
      <w:r w:rsidRPr="008B7C73">
        <w:rPr>
          <w:rFonts w:ascii="Arial" w:hAnsi="Arial" w:cs="Arial"/>
          <w:sz w:val="22"/>
          <w:szCs w:val="22"/>
        </w:rPr>
        <w:t>Southwest Florida Water Management District</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SWIM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z w:val="22"/>
          <w:szCs w:val="22"/>
        </w:rPr>
        <w:t xml:space="preserve">Surface Water Improvement and Management  </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TAC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Technical Advisory Committee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TC </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otal Coliform</w:t>
      </w:r>
    </w:p>
    <w:p w:rsidR="00485094" w:rsidRPr="008B7C73" w:rsidRDefault="00542E8A" w:rsidP="00B370E1">
      <w:pPr>
        <w:rPr>
          <w:rFonts w:ascii="Arial" w:hAnsi="Arial" w:cs="Arial"/>
          <w:sz w:val="22"/>
          <w:szCs w:val="22"/>
        </w:rPr>
      </w:pPr>
      <w:r>
        <w:rPr>
          <w:rFonts w:ascii="Arial" w:hAnsi="Arial" w:cs="Arial"/>
          <w:sz w:val="22"/>
          <w:szCs w:val="22"/>
        </w:rPr>
        <w:lastRenderedPageBreak/>
        <w:t>T</w:t>
      </w:r>
      <w:r w:rsidR="00485094" w:rsidRPr="008B7C73">
        <w:rPr>
          <w:rFonts w:ascii="Arial" w:hAnsi="Arial" w:cs="Arial"/>
          <w:sz w:val="22"/>
          <w:szCs w:val="22"/>
        </w:rPr>
        <w:t>CE</w:t>
      </w:r>
      <w:r w:rsidR="00485094">
        <w:rPr>
          <w:rFonts w:ascii="Arial" w:hAnsi="Arial" w:cs="Arial"/>
          <w:sz w:val="22"/>
          <w:szCs w:val="22"/>
        </w:rPr>
        <w:tab/>
      </w:r>
      <w:r w:rsidR="00485094">
        <w:rPr>
          <w:rFonts w:ascii="Arial" w:hAnsi="Arial" w:cs="Arial"/>
          <w:sz w:val="22"/>
          <w:szCs w:val="22"/>
        </w:rPr>
        <w:tab/>
        <w:t>T</w:t>
      </w:r>
      <w:r w:rsidR="00485094" w:rsidRPr="008B7C73">
        <w:rPr>
          <w:rFonts w:ascii="Arial" w:hAnsi="Arial" w:cs="Arial"/>
          <w:sz w:val="22"/>
          <w:szCs w:val="22"/>
        </w:rPr>
        <w:t xml:space="preserve">richloroethylene  </w:t>
      </w:r>
    </w:p>
    <w:p w:rsidR="00485094" w:rsidRPr="008B7C73" w:rsidRDefault="00542E8A" w:rsidP="00B370E1">
      <w:pPr>
        <w:rPr>
          <w:rFonts w:ascii="Arial" w:hAnsi="Arial" w:cs="Arial"/>
          <w:sz w:val="22"/>
          <w:szCs w:val="22"/>
        </w:rPr>
      </w:pPr>
      <w:r>
        <w:rPr>
          <w:rFonts w:ascii="Arial" w:hAnsi="Arial" w:cs="Arial"/>
          <w:sz w:val="22"/>
          <w:szCs w:val="22"/>
        </w:rPr>
        <w:t>T</w:t>
      </w:r>
      <w:r w:rsidR="00485094" w:rsidRPr="008B7C73">
        <w:rPr>
          <w:rFonts w:ascii="Arial" w:hAnsi="Arial" w:cs="Arial"/>
          <w:sz w:val="22"/>
          <w:szCs w:val="22"/>
        </w:rPr>
        <w:t xml:space="preserve">DS </w:t>
      </w:r>
      <w:r w:rsidR="00485094">
        <w:rPr>
          <w:rFonts w:ascii="Arial" w:hAnsi="Arial" w:cs="Arial"/>
          <w:sz w:val="22"/>
          <w:szCs w:val="22"/>
        </w:rPr>
        <w:tab/>
      </w:r>
      <w:r w:rsidR="00485094">
        <w:rPr>
          <w:rFonts w:ascii="Arial" w:hAnsi="Arial" w:cs="Arial"/>
          <w:sz w:val="22"/>
          <w:szCs w:val="22"/>
        </w:rPr>
        <w:tab/>
      </w:r>
      <w:r w:rsidR="00485094" w:rsidRPr="008B7C73">
        <w:rPr>
          <w:rFonts w:ascii="Arial" w:hAnsi="Arial" w:cs="Arial"/>
          <w:sz w:val="22"/>
          <w:szCs w:val="22"/>
        </w:rPr>
        <w:t>Total Dissolved Solids</w:t>
      </w:r>
    </w:p>
    <w:p w:rsidR="00485094" w:rsidRPr="008B7C73" w:rsidRDefault="00485094" w:rsidP="00B370E1">
      <w:pPr>
        <w:rPr>
          <w:rFonts w:ascii="Arial" w:hAnsi="Arial" w:cs="Arial"/>
          <w:snapToGrid w:val="0"/>
          <w:color w:val="000000"/>
          <w:sz w:val="22"/>
          <w:szCs w:val="22"/>
        </w:rPr>
      </w:pPr>
      <w:r w:rsidRPr="008B7C73">
        <w:rPr>
          <w:rFonts w:ascii="Arial" w:hAnsi="Arial" w:cs="Arial"/>
          <w:snapToGrid w:val="0"/>
          <w:color w:val="000000"/>
          <w:sz w:val="22"/>
          <w:szCs w:val="22"/>
        </w:rPr>
        <w:t xml:space="preserve">TEC </w:t>
      </w:r>
      <w:r>
        <w:rPr>
          <w:rFonts w:ascii="Arial" w:hAnsi="Arial" w:cs="Arial"/>
          <w:snapToGrid w:val="0"/>
          <w:color w:val="000000"/>
          <w:sz w:val="22"/>
          <w:szCs w:val="22"/>
        </w:rPr>
        <w:tab/>
      </w:r>
      <w:r>
        <w:rPr>
          <w:rFonts w:ascii="Arial" w:hAnsi="Arial" w:cs="Arial"/>
          <w:snapToGrid w:val="0"/>
          <w:color w:val="000000"/>
          <w:sz w:val="22"/>
          <w:szCs w:val="22"/>
        </w:rPr>
        <w:tab/>
      </w:r>
      <w:r w:rsidRPr="008B7C73">
        <w:rPr>
          <w:rFonts w:ascii="Arial" w:hAnsi="Arial" w:cs="Arial"/>
          <w:snapToGrid w:val="0"/>
          <w:color w:val="000000"/>
          <w:sz w:val="22"/>
          <w:szCs w:val="22"/>
        </w:rPr>
        <w:t xml:space="preserve">Threshold Effects Concentration  </w:t>
      </w:r>
    </w:p>
    <w:p w:rsidR="00485094" w:rsidRPr="008B7C73" w:rsidRDefault="00485094" w:rsidP="00B370E1">
      <w:pPr>
        <w:rPr>
          <w:rFonts w:ascii="Arial" w:hAnsi="Arial" w:cs="Arial"/>
          <w:sz w:val="22"/>
          <w:szCs w:val="22"/>
        </w:rPr>
      </w:pPr>
      <w:r w:rsidRPr="008B7C73">
        <w:rPr>
          <w:rFonts w:ascii="Arial" w:hAnsi="Arial" w:cs="Arial"/>
          <w:sz w:val="22"/>
          <w:szCs w:val="22"/>
        </w:rPr>
        <w:t>Th-232</w:t>
      </w:r>
      <w:r>
        <w:rPr>
          <w:rFonts w:ascii="Arial" w:hAnsi="Arial" w:cs="Arial"/>
          <w:sz w:val="22"/>
          <w:szCs w:val="22"/>
        </w:rPr>
        <w:tab/>
      </w:r>
      <w:r>
        <w:rPr>
          <w:rFonts w:ascii="Arial" w:hAnsi="Arial" w:cs="Arial"/>
          <w:sz w:val="22"/>
          <w:szCs w:val="22"/>
        </w:rPr>
        <w:tab/>
        <w:t>T</w:t>
      </w:r>
      <w:r w:rsidRPr="008B7C73">
        <w:rPr>
          <w:rFonts w:ascii="Arial" w:hAnsi="Arial" w:cs="Arial"/>
          <w:sz w:val="22"/>
          <w:szCs w:val="22"/>
        </w:rPr>
        <w:t xml:space="preserve">horium-232   </w:t>
      </w:r>
    </w:p>
    <w:p w:rsidR="00485094" w:rsidRPr="008B7C73" w:rsidRDefault="00485094" w:rsidP="00B370E1">
      <w:pPr>
        <w:rPr>
          <w:rFonts w:ascii="Arial" w:hAnsi="Arial" w:cs="Arial"/>
          <w:sz w:val="22"/>
          <w:szCs w:val="22"/>
        </w:rPr>
      </w:pPr>
      <w:r w:rsidRPr="008B7C73">
        <w:rPr>
          <w:rFonts w:ascii="Arial" w:hAnsi="Arial" w:cs="Arial"/>
          <w:sz w:val="22"/>
          <w:szCs w:val="22"/>
        </w:rPr>
        <w:t>THMs</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Trihalomethanes  </w:t>
      </w:r>
    </w:p>
    <w:p w:rsidR="00485094" w:rsidRPr="008B7C73" w:rsidRDefault="00485094" w:rsidP="00B370E1">
      <w:pPr>
        <w:rPr>
          <w:rFonts w:ascii="Arial" w:hAnsi="Arial" w:cs="Arial"/>
          <w:sz w:val="22"/>
          <w:szCs w:val="22"/>
        </w:rPr>
      </w:pPr>
      <w:r w:rsidRPr="008B7C73">
        <w:rPr>
          <w:rFonts w:ascii="Arial" w:hAnsi="Arial" w:cs="Arial"/>
          <w:sz w:val="22"/>
          <w:szCs w:val="22"/>
        </w:rPr>
        <w:t>TKN</w:t>
      </w:r>
      <w:r>
        <w:rPr>
          <w:rFonts w:ascii="Arial" w:hAnsi="Arial" w:cs="Arial"/>
          <w:sz w:val="22"/>
          <w:szCs w:val="22"/>
        </w:rPr>
        <w:tab/>
      </w:r>
      <w:r>
        <w:rPr>
          <w:rFonts w:ascii="Arial" w:hAnsi="Arial" w:cs="Arial"/>
          <w:sz w:val="22"/>
          <w:szCs w:val="22"/>
        </w:rPr>
        <w:tab/>
        <w:t>Total Kjeldahl Nitrogen</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TMDL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Total Maximum Daily Load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TN </w:t>
      </w:r>
      <w:r>
        <w:rPr>
          <w:rFonts w:ascii="Arial" w:hAnsi="Arial" w:cs="Arial"/>
          <w:sz w:val="22"/>
          <w:szCs w:val="22"/>
        </w:rPr>
        <w:tab/>
      </w:r>
      <w:r>
        <w:rPr>
          <w:rFonts w:ascii="Arial" w:hAnsi="Arial" w:cs="Arial"/>
          <w:sz w:val="22"/>
          <w:szCs w:val="22"/>
        </w:rPr>
        <w:tab/>
        <w:t>Total Nitrogen</w:t>
      </w:r>
    </w:p>
    <w:p w:rsidR="00485094" w:rsidRPr="008B7C73" w:rsidRDefault="00485094" w:rsidP="00B370E1">
      <w:pPr>
        <w:rPr>
          <w:rFonts w:ascii="Arial" w:hAnsi="Arial" w:cs="Arial"/>
          <w:sz w:val="22"/>
          <w:szCs w:val="22"/>
        </w:rPr>
      </w:pPr>
      <w:r w:rsidRPr="008B7C73">
        <w:rPr>
          <w:rFonts w:ascii="Arial" w:hAnsi="Arial" w:cs="Arial"/>
          <w:sz w:val="22"/>
          <w:szCs w:val="22"/>
        </w:rPr>
        <w:t>TOC</w:t>
      </w:r>
      <w:r>
        <w:rPr>
          <w:rFonts w:ascii="Arial" w:hAnsi="Arial" w:cs="Arial"/>
          <w:sz w:val="22"/>
          <w:szCs w:val="22"/>
        </w:rPr>
        <w:tab/>
      </w:r>
      <w:r>
        <w:rPr>
          <w:rFonts w:ascii="Arial" w:hAnsi="Arial" w:cs="Arial"/>
          <w:sz w:val="22"/>
          <w:szCs w:val="22"/>
        </w:rPr>
        <w:tab/>
        <w:t>Total Organic Carbon</w:t>
      </w:r>
    </w:p>
    <w:p w:rsidR="00485094" w:rsidRPr="008B7C73" w:rsidRDefault="00485094" w:rsidP="00B370E1">
      <w:pPr>
        <w:rPr>
          <w:rFonts w:ascii="Arial" w:hAnsi="Arial" w:cs="Arial"/>
          <w:sz w:val="22"/>
          <w:szCs w:val="22"/>
        </w:rPr>
      </w:pPr>
      <w:r w:rsidRPr="008B7C73">
        <w:rPr>
          <w:rFonts w:ascii="Arial" w:hAnsi="Arial" w:cs="Arial"/>
          <w:sz w:val="22"/>
          <w:szCs w:val="22"/>
        </w:rPr>
        <w:t>TP</w:t>
      </w:r>
      <w:r>
        <w:rPr>
          <w:rFonts w:ascii="Arial" w:hAnsi="Arial" w:cs="Arial"/>
          <w:sz w:val="22"/>
          <w:szCs w:val="22"/>
        </w:rPr>
        <w:tab/>
      </w:r>
      <w:r>
        <w:rPr>
          <w:rFonts w:ascii="Arial" w:hAnsi="Arial" w:cs="Arial"/>
          <w:sz w:val="22"/>
          <w:szCs w:val="22"/>
        </w:rPr>
        <w:tab/>
        <w:t>Total Phosphorus</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TSI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Trophic State Index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TSS </w:t>
      </w:r>
      <w:r>
        <w:rPr>
          <w:rFonts w:ascii="Arial" w:hAnsi="Arial" w:cs="Arial"/>
          <w:snapToGrid w:val="0"/>
          <w:sz w:val="22"/>
          <w:szCs w:val="22"/>
        </w:rPr>
        <w:tab/>
      </w:r>
      <w:r>
        <w:rPr>
          <w:rFonts w:ascii="Arial" w:hAnsi="Arial" w:cs="Arial"/>
          <w:snapToGrid w:val="0"/>
          <w:sz w:val="22"/>
          <w:szCs w:val="22"/>
        </w:rPr>
        <w:tab/>
        <w:t>T</w:t>
      </w:r>
      <w:r w:rsidRPr="008B7C73">
        <w:rPr>
          <w:rFonts w:ascii="Arial" w:hAnsi="Arial" w:cs="Arial"/>
          <w:snapToGrid w:val="0"/>
          <w:sz w:val="22"/>
          <w:szCs w:val="22"/>
        </w:rPr>
        <w:t xml:space="preserve">otal </w:t>
      </w:r>
      <w:r>
        <w:rPr>
          <w:rFonts w:ascii="Arial" w:hAnsi="Arial" w:cs="Arial"/>
          <w:snapToGrid w:val="0"/>
          <w:sz w:val="22"/>
          <w:szCs w:val="22"/>
        </w:rPr>
        <w:t>S</w:t>
      </w:r>
      <w:r w:rsidRPr="008B7C73">
        <w:rPr>
          <w:rFonts w:ascii="Arial" w:hAnsi="Arial" w:cs="Arial"/>
          <w:snapToGrid w:val="0"/>
          <w:sz w:val="22"/>
          <w:szCs w:val="22"/>
        </w:rPr>
        <w:t xml:space="preserve">uspended </w:t>
      </w:r>
      <w:r>
        <w:rPr>
          <w:rFonts w:ascii="Arial" w:hAnsi="Arial" w:cs="Arial"/>
          <w:snapToGrid w:val="0"/>
          <w:sz w:val="22"/>
          <w:szCs w:val="22"/>
        </w:rPr>
        <w:t>S</w:t>
      </w:r>
      <w:r w:rsidRPr="008B7C73">
        <w:rPr>
          <w:rFonts w:ascii="Arial" w:hAnsi="Arial" w:cs="Arial"/>
          <w:snapToGrid w:val="0"/>
          <w:sz w:val="22"/>
          <w:szCs w:val="22"/>
        </w:rPr>
        <w:t xml:space="preserve">olids  </w:t>
      </w:r>
    </w:p>
    <w:p w:rsidR="007C2526" w:rsidRPr="008B7C73" w:rsidRDefault="007C2526" w:rsidP="007C2526">
      <w:pPr>
        <w:rPr>
          <w:rFonts w:ascii="Arial" w:hAnsi="Arial" w:cs="Arial"/>
          <w:sz w:val="22"/>
          <w:szCs w:val="22"/>
        </w:rPr>
      </w:pPr>
      <w:r w:rsidRPr="008B7C73">
        <w:rPr>
          <w:rFonts w:ascii="Arial" w:hAnsi="Arial" w:cs="Arial"/>
          <w:sz w:val="22"/>
          <w:szCs w:val="22"/>
        </w:rPr>
        <w:t xml:space="preserve">TV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Temporal Variability  </w:t>
      </w:r>
    </w:p>
    <w:p w:rsidR="00485094" w:rsidRPr="008B7C73" w:rsidRDefault="00485094" w:rsidP="00B370E1">
      <w:pPr>
        <w:rPr>
          <w:rFonts w:ascii="Arial" w:hAnsi="Arial" w:cs="Arial"/>
          <w:sz w:val="22"/>
          <w:szCs w:val="22"/>
        </w:rPr>
      </w:pPr>
      <w:r w:rsidRPr="008B7C73">
        <w:rPr>
          <w:rFonts w:ascii="Arial" w:hAnsi="Arial" w:cs="Arial"/>
          <w:sz w:val="22"/>
          <w:szCs w:val="22"/>
        </w:rPr>
        <w:t>U-238</w:t>
      </w:r>
      <w:r>
        <w:rPr>
          <w:rFonts w:ascii="Arial" w:hAnsi="Arial" w:cs="Arial"/>
          <w:sz w:val="22"/>
          <w:szCs w:val="22"/>
        </w:rPr>
        <w:tab/>
      </w:r>
      <w:r>
        <w:rPr>
          <w:rFonts w:ascii="Arial" w:hAnsi="Arial" w:cs="Arial"/>
          <w:sz w:val="22"/>
          <w:szCs w:val="22"/>
        </w:rPr>
        <w:tab/>
        <w:t>U</w:t>
      </w:r>
      <w:r w:rsidRPr="008B7C73">
        <w:rPr>
          <w:rFonts w:ascii="Arial" w:hAnsi="Arial" w:cs="Arial"/>
          <w:sz w:val="22"/>
          <w:szCs w:val="22"/>
        </w:rPr>
        <w:t xml:space="preserve">ranium-238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University of Florida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UF-IFAS </w:t>
      </w:r>
      <w:r>
        <w:rPr>
          <w:rFonts w:ascii="Arial" w:hAnsi="Arial" w:cs="Arial"/>
          <w:sz w:val="22"/>
          <w:szCs w:val="22"/>
        </w:rPr>
        <w:tab/>
      </w:r>
      <w:r w:rsidRPr="008B7C73">
        <w:rPr>
          <w:rFonts w:ascii="Arial" w:hAnsi="Arial" w:cs="Arial"/>
          <w:sz w:val="22"/>
          <w:szCs w:val="22"/>
        </w:rPr>
        <w:t xml:space="preserve">University of Florida Institute of Food and Agricultural Sciences  </w:t>
      </w:r>
    </w:p>
    <w:p w:rsidR="00485094" w:rsidRPr="00504865" w:rsidRDefault="00485094" w:rsidP="00B370E1">
      <w:pPr>
        <w:rPr>
          <w:rFonts w:ascii="Arial" w:eastAsia="Arial Unicode MS" w:hAnsi="Arial" w:cs="Arial"/>
          <w:sz w:val="22"/>
          <w:szCs w:val="22"/>
        </w:rPr>
      </w:pPr>
      <w:r w:rsidRPr="00504865">
        <w:rPr>
          <w:rFonts w:ascii="Arial" w:hAnsi="Arial" w:cs="Arial"/>
          <w:sz w:val="22"/>
          <w:szCs w:val="22"/>
        </w:rPr>
        <w:t>UIC</w:t>
      </w:r>
      <w:r w:rsidRPr="00504865">
        <w:rPr>
          <w:rFonts w:ascii="Arial" w:hAnsi="Arial" w:cs="Arial"/>
          <w:sz w:val="22"/>
          <w:szCs w:val="22"/>
        </w:rPr>
        <w:tab/>
      </w:r>
      <w:r w:rsidRPr="00504865">
        <w:rPr>
          <w:rFonts w:ascii="Arial" w:hAnsi="Arial" w:cs="Arial"/>
          <w:sz w:val="22"/>
          <w:szCs w:val="22"/>
        </w:rPr>
        <w:tab/>
        <w:t>Underground Injection Control</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UMAM </w:t>
      </w:r>
      <w:r>
        <w:rPr>
          <w:rFonts w:ascii="Arial" w:hAnsi="Arial" w:cs="Arial"/>
          <w:snapToGrid w:val="0"/>
          <w:sz w:val="22"/>
          <w:szCs w:val="22"/>
        </w:rPr>
        <w:tab/>
      </w:r>
      <w:r w:rsidRPr="008B7C73">
        <w:rPr>
          <w:rFonts w:ascii="Arial" w:hAnsi="Arial" w:cs="Arial"/>
          <w:snapToGrid w:val="0"/>
          <w:sz w:val="22"/>
          <w:szCs w:val="22"/>
        </w:rPr>
        <w:t xml:space="preserve">Uniform Mitigation Assessment Method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U.S.C. </w:t>
      </w:r>
      <w:r>
        <w:rPr>
          <w:rFonts w:ascii="Arial" w:hAnsi="Arial" w:cs="Arial"/>
          <w:sz w:val="22"/>
          <w:szCs w:val="22"/>
        </w:rPr>
        <w:t xml:space="preserve"> </w:t>
      </w:r>
      <w:r>
        <w:rPr>
          <w:rFonts w:ascii="Arial" w:hAnsi="Arial" w:cs="Arial"/>
          <w:sz w:val="22"/>
          <w:szCs w:val="22"/>
        </w:rPr>
        <w:tab/>
        <w:t>U.S. Code</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USGS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U.S. Geological Survey </w:t>
      </w:r>
    </w:p>
    <w:p w:rsidR="00485094" w:rsidRPr="008B7C73" w:rsidRDefault="00485094" w:rsidP="00B370E1">
      <w:pPr>
        <w:rPr>
          <w:rFonts w:ascii="Arial" w:hAnsi="Arial" w:cs="Arial"/>
          <w:sz w:val="22"/>
          <w:szCs w:val="22"/>
        </w:rPr>
      </w:pPr>
      <w:r w:rsidRPr="008B7C73">
        <w:rPr>
          <w:rFonts w:ascii="Arial" w:hAnsi="Arial" w:cs="Arial"/>
          <w:snapToGrid w:val="0"/>
          <w:sz w:val="22"/>
          <w:szCs w:val="22"/>
        </w:rPr>
        <w:t xml:space="preserve">VISA </w:t>
      </w:r>
      <w:r>
        <w:rPr>
          <w:rFonts w:ascii="Arial" w:hAnsi="Arial" w:cs="Arial"/>
          <w:snapToGrid w:val="0"/>
          <w:sz w:val="22"/>
          <w:szCs w:val="22"/>
        </w:rPr>
        <w:tab/>
      </w:r>
      <w:r>
        <w:rPr>
          <w:rFonts w:ascii="Arial" w:hAnsi="Arial" w:cs="Arial"/>
          <w:snapToGrid w:val="0"/>
          <w:sz w:val="22"/>
          <w:szCs w:val="22"/>
        </w:rPr>
        <w:tab/>
        <w:t>Very Intense Study Area</w:t>
      </w:r>
      <w:r w:rsidRPr="008B7C73">
        <w:rPr>
          <w:rFonts w:ascii="Arial" w:hAnsi="Arial" w:cs="Arial"/>
          <w:snapToGrid w:val="0"/>
          <w:sz w:val="22"/>
          <w:szCs w:val="22"/>
        </w:rPr>
        <w:t xml:space="preserve">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VOCs </w:t>
      </w:r>
      <w:r>
        <w:rPr>
          <w:rFonts w:ascii="Arial" w:hAnsi="Arial" w:cs="Arial"/>
          <w:sz w:val="22"/>
          <w:szCs w:val="22"/>
        </w:rPr>
        <w:tab/>
      </w:r>
      <w:r>
        <w:rPr>
          <w:rFonts w:ascii="Arial" w:hAnsi="Arial" w:cs="Arial"/>
          <w:sz w:val="22"/>
          <w:szCs w:val="22"/>
        </w:rPr>
        <w:tab/>
        <w:t>V</w:t>
      </w:r>
      <w:r w:rsidRPr="008B7C73">
        <w:rPr>
          <w:rFonts w:ascii="Arial" w:hAnsi="Arial" w:cs="Arial"/>
          <w:sz w:val="22"/>
          <w:szCs w:val="22"/>
        </w:rPr>
        <w:t xml:space="preserve">olatile </w:t>
      </w:r>
      <w:r>
        <w:rPr>
          <w:rFonts w:ascii="Arial" w:hAnsi="Arial" w:cs="Arial"/>
          <w:sz w:val="22"/>
          <w:szCs w:val="22"/>
        </w:rPr>
        <w:t>O</w:t>
      </w:r>
      <w:r w:rsidRPr="008B7C73">
        <w:rPr>
          <w:rFonts w:ascii="Arial" w:hAnsi="Arial" w:cs="Arial"/>
          <w:sz w:val="22"/>
          <w:szCs w:val="22"/>
        </w:rPr>
        <w:t xml:space="preserve">rganic </w:t>
      </w:r>
      <w:r>
        <w:rPr>
          <w:rFonts w:ascii="Arial" w:hAnsi="Arial" w:cs="Arial"/>
          <w:sz w:val="22"/>
          <w:szCs w:val="22"/>
        </w:rPr>
        <w:t>C</w:t>
      </w:r>
      <w:r w:rsidRPr="008B7C73">
        <w:rPr>
          <w:rFonts w:ascii="Arial" w:hAnsi="Arial" w:cs="Arial"/>
          <w:sz w:val="22"/>
          <w:szCs w:val="22"/>
        </w:rPr>
        <w:t xml:space="preserve">ompounds  </w:t>
      </w:r>
    </w:p>
    <w:p w:rsidR="00485094" w:rsidRPr="008B7C73" w:rsidRDefault="00485094" w:rsidP="00B370E1">
      <w:pPr>
        <w:rPr>
          <w:rFonts w:ascii="Arial" w:hAnsi="Arial" w:cs="Arial"/>
          <w:sz w:val="22"/>
          <w:szCs w:val="22"/>
        </w:rPr>
      </w:pPr>
      <w:r w:rsidRPr="008B7C73">
        <w:rPr>
          <w:rFonts w:ascii="Arial" w:hAnsi="Arial" w:cs="Arial"/>
          <w:sz w:val="22"/>
          <w:szCs w:val="22"/>
        </w:rPr>
        <w:t>WBID</w:t>
      </w:r>
      <w:r>
        <w:rPr>
          <w:rFonts w:ascii="Arial" w:hAnsi="Arial" w:cs="Arial"/>
          <w:sz w:val="22"/>
          <w:szCs w:val="22"/>
        </w:rPr>
        <w:tab/>
      </w:r>
      <w:r w:rsidRPr="008B7C73">
        <w:rPr>
          <w:rFonts w:ascii="Arial" w:hAnsi="Arial" w:cs="Arial"/>
          <w:sz w:val="22"/>
          <w:szCs w:val="22"/>
        </w:rPr>
        <w:t xml:space="preserve"> </w:t>
      </w:r>
      <w:r>
        <w:rPr>
          <w:rFonts w:ascii="Arial" w:hAnsi="Arial" w:cs="Arial"/>
          <w:sz w:val="22"/>
          <w:szCs w:val="22"/>
        </w:rPr>
        <w:tab/>
        <w:t>Waterbody I</w:t>
      </w:r>
      <w:r w:rsidRPr="008B7C73">
        <w:rPr>
          <w:rFonts w:ascii="Arial" w:hAnsi="Arial" w:cs="Arial"/>
          <w:sz w:val="22"/>
          <w:szCs w:val="22"/>
        </w:rPr>
        <w:t xml:space="preserve">dentification </w:t>
      </w:r>
      <w:r>
        <w:rPr>
          <w:rFonts w:ascii="Arial" w:hAnsi="Arial" w:cs="Arial"/>
          <w:sz w:val="22"/>
          <w:szCs w:val="22"/>
        </w:rPr>
        <w:t>N</w:t>
      </w:r>
      <w:r w:rsidRPr="008B7C73">
        <w:rPr>
          <w:rFonts w:ascii="Arial" w:hAnsi="Arial" w:cs="Arial"/>
          <w:sz w:val="22"/>
          <w:szCs w:val="22"/>
        </w:rPr>
        <w:t xml:space="preserve">umber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WHO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World Health Organization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WL </w:t>
      </w:r>
      <w:r>
        <w:rPr>
          <w:rFonts w:ascii="Arial" w:hAnsi="Arial" w:cs="Arial"/>
          <w:sz w:val="22"/>
          <w:szCs w:val="22"/>
        </w:rPr>
        <w:tab/>
      </w:r>
      <w:r>
        <w:rPr>
          <w:rFonts w:ascii="Arial" w:hAnsi="Arial" w:cs="Arial"/>
          <w:sz w:val="22"/>
          <w:szCs w:val="22"/>
        </w:rPr>
        <w:tab/>
      </w:r>
      <w:r w:rsidRPr="008B7C73">
        <w:rPr>
          <w:rFonts w:ascii="Arial" w:hAnsi="Arial" w:cs="Arial"/>
          <w:sz w:val="22"/>
          <w:szCs w:val="22"/>
        </w:rPr>
        <w:t xml:space="preserve">Water Level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WQBELs </w:t>
      </w:r>
      <w:r>
        <w:rPr>
          <w:rFonts w:ascii="Arial" w:hAnsi="Arial" w:cs="Arial"/>
          <w:snapToGrid w:val="0"/>
          <w:sz w:val="22"/>
          <w:szCs w:val="22"/>
        </w:rPr>
        <w:tab/>
        <w:t>W</w:t>
      </w:r>
      <w:r w:rsidRPr="008B7C73">
        <w:rPr>
          <w:rFonts w:ascii="Arial" w:hAnsi="Arial" w:cs="Arial"/>
          <w:snapToGrid w:val="0"/>
          <w:sz w:val="22"/>
          <w:szCs w:val="22"/>
        </w:rPr>
        <w:t xml:space="preserve">ater </w:t>
      </w:r>
      <w:r>
        <w:rPr>
          <w:rFonts w:ascii="Arial" w:hAnsi="Arial" w:cs="Arial"/>
          <w:snapToGrid w:val="0"/>
          <w:sz w:val="22"/>
          <w:szCs w:val="22"/>
        </w:rPr>
        <w:t>Q</w:t>
      </w:r>
      <w:r w:rsidRPr="008B7C73">
        <w:rPr>
          <w:rFonts w:ascii="Arial" w:hAnsi="Arial" w:cs="Arial"/>
          <w:snapToGrid w:val="0"/>
          <w:sz w:val="22"/>
          <w:szCs w:val="22"/>
        </w:rPr>
        <w:t>uality–</w:t>
      </w:r>
      <w:r>
        <w:rPr>
          <w:rFonts w:ascii="Arial" w:hAnsi="Arial" w:cs="Arial"/>
          <w:snapToGrid w:val="0"/>
          <w:sz w:val="22"/>
          <w:szCs w:val="22"/>
        </w:rPr>
        <w:t>B</w:t>
      </w:r>
      <w:r w:rsidRPr="008B7C73">
        <w:rPr>
          <w:rFonts w:ascii="Arial" w:hAnsi="Arial" w:cs="Arial"/>
          <w:snapToGrid w:val="0"/>
          <w:sz w:val="22"/>
          <w:szCs w:val="22"/>
        </w:rPr>
        <w:t xml:space="preserve">ased </w:t>
      </w:r>
      <w:r>
        <w:rPr>
          <w:rFonts w:ascii="Arial" w:hAnsi="Arial" w:cs="Arial"/>
          <w:snapToGrid w:val="0"/>
          <w:sz w:val="22"/>
          <w:szCs w:val="22"/>
        </w:rPr>
        <w:t>Effluent L</w:t>
      </w:r>
      <w:r w:rsidRPr="008B7C73">
        <w:rPr>
          <w:rFonts w:ascii="Arial" w:hAnsi="Arial" w:cs="Arial"/>
          <w:snapToGrid w:val="0"/>
          <w:sz w:val="22"/>
          <w:szCs w:val="22"/>
        </w:rPr>
        <w:t xml:space="preserve">imitations </w:t>
      </w:r>
    </w:p>
    <w:p w:rsidR="00485094" w:rsidRDefault="00485094" w:rsidP="00B370E1">
      <w:pPr>
        <w:rPr>
          <w:rFonts w:ascii="Arial" w:hAnsi="Arial" w:cs="Arial"/>
          <w:snapToGrid w:val="0"/>
          <w:sz w:val="22"/>
          <w:szCs w:val="22"/>
        </w:rPr>
      </w:pPr>
      <w:r w:rsidRPr="008B7C73">
        <w:rPr>
          <w:rFonts w:ascii="Arial" w:hAnsi="Arial" w:cs="Arial"/>
          <w:snapToGrid w:val="0"/>
          <w:sz w:val="22"/>
          <w:szCs w:val="22"/>
        </w:rPr>
        <w:t xml:space="preserve">WQI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Water Quality Inspection</w:t>
      </w:r>
    </w:p>
    <w:p w:rsidR="00485094" w:rsidRPr="008B7C73" w:rsidRDefault="00485094" w:rsidP="00B370E1">
      <w:pPr>
        <w:rPr>
          <w:rFonts w:ascii="Arial" w:hAnsi="Arial" w:cs="Arial"/>
          <w:sz w:val="22"/>
          <w:szCs w:val="22"/>
        </w:rPr>
      </w:pPr>
      <w:r w:rsidRPr="008B7C73">
        <w:rPr>
          <w:rFonts w:ascii="Arial" w:hAnsi="Arial" w:cs="Arial"/>
          <w:color w:val="333333"/>
          <w:sz w:val="22"/>
          <w:szCs w:val="22"/>
        </w:rPr>
        <w:t>WSRP</w:t>
      </w:r>
      <w:r w:rsidRPr="008B7C73">
        <w:rPr>
          <w:rFonts w:ascii="Arial" w:hAnsi="Arial" w:cs="Arial"/>
          <w:sz w:val="22"/>
          <w:szCs w:val="22"/>
        </w:rPr>
        <w:t xml:space="preserve"> </w:t>
      </w:r>
      <w:r>
        <w:rPr>
          <w:rFonts w:ascii="Arial" w:hAnsi="Arial" w:cs="Arial"/>
          <w:sz w:val="22"/>
          <w:szCs w:val="22"/>
        </w:rPr>
        <w:tab/>
      </w:r>
      <w:r w:rsidRPr="00881E17">
        <w:rPr>
          <w:rFonts w:ascii="Arial" w:hAnsi="Arial" w:cs="Arial"/>
          <w:sz w:val="22"/>
          <w:szCs w:val="22"/>
        </w:rPr>
        <w:t xml:space="preserve">Water Supply Restoration Program </w:t>
      </w:r>
    </w:p>
    <w:p w:rsidR="00485094" w:rsidRPr="008B7C73" w:rsidRDefault="00485094" w:rsidP="00B370E1">
      <w:pPr>
        <w:rPr>
          <w:rFonts w:ascii="Arial" w:hAnsi="Arial" w:cs="Arial"/>
          <w:sz w:val="22"/>
          <w:szCs w:val="22"/>
        </w:rPr>
      </w:pPr>
      <w:r w:rsidRPr="008B7C73">
        <w:rPr>
          <w:rFonts w:ascii="Arial" w:hAnsi="Arial" w:cs="Arial"/>
          <w:sz w:val="22"/>
          <w:szCs w:val="22"/>
        </w:rPr>
        <w:t xml:space="preserve">WWTF </w:t>
      </w:r>
      <w:r>
        <w:rPr>
          <w:rFonts w:ascii="Arial" w:hAnsi="Arial" w:cs="Arial"/>
          <w:sz w:val="22"/>
          <w:szCs w:val="22"/>
        </w:rPr>
        <w:tab/>
        <w:t>Wastewater Treatment Facility</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XSI </w:t>
      </w:r>
      <w:r>
        <w:rPr>
          <w:rFonts w:ascii="Arial" w:hAnsi="Arial" w:cs="Arial"/>
          <w:snapToGrid w:val="0"/>
          <w:sz w:val="22"/>
          <w:szCs w:val="22"/>
        </w:rPr>
        <w:tab/>
      </w:r>
      <w:r>
        <w:rPr>
          <w:rFonts w:ascii="Arial" w:hAnsi="Arial" w:cs="Arial"/>
          <w:snapToGrid w:val="0"/>
          <w:sz w:val="22"/>
          <w:szCs w:val="22"/>
        </w:rPr>
        <w:tab/>
      </w:r>
      <w:r w:rsidRPr="008B7C73">
        <w:rPr>
          <w:rFonts w:ascii="Arial" w:hAnsi="Arial" w:cs="Arial"/>
          <w:snapToGrid w:val="0"/>
          <w:sz w:val="22"/>
          <w:szCs w:val="22"/>
        </w:rPr>
        <w:t xml:space="preserve">Toxic Sampling Inspection  </w:t>
      </w:r>
    </w:p>
    <w:p w:rsidR="00485094" w:rsidRPr="008B7C73" w:rsidRDefault="00485094" w:rsidP="00B370E1">
      <w:pPr>
        <w:rPr>
          <w:rFonts w:ascii="Arial" w:hAnsi="Arial" w:cs="Arial"/>
          <w:snapToGrid w:val="0"/>
          <w:sz w:val="22"/>
          <w:szCs w:val="22"/>
        </w:rPr>
      </w:pPr>
      <w:r w:rsidRPr="008B7C73">
        <w:rPr>
          <w:rFonts w:ascii="Arial" w:hAnsi="Arial" w:cs="Arial"/>
          <w:snapToGrid w:val="0"/>
          <w:sz w:val="22"/>
          <w:szCs w:val="22"/>
        </w:rPr>
        <w:t xml:space="preserve">  </w:t>
      </w:r>
    </w:p>
    <w:p w:rsidR="00485094" w:rsidRDefault="00485094" w:rsidP="00EA3D58">
      <w:pPr>
        <w:pStyle w:val="Heading1"/>
        <w:sectPr w:rsidR="00485094" w:rsidSect="004637F9">
          <w:headerReference w:type="default" r:id="rId11"/>
          <w:pgSz w:w="12240" w:h="15840" w:code="1"/>
          <w:pgMar w:top="1440" w:right="1440" w:bottom="1440" w:left="1440" w:header="720" w:footer="720" w:gutter="0"/>
          <w:paperSrc w:first="261"/>
          <w:pgNumType w:fmt="lowerRoman"/>
          <w:cols w:space="720"/>
          <w:docGrid w:linePitch="360"/>
        </w:sectPr>
      </w:pPr>
    </w:p>
    <w:p w:rsidR="00FC6EE0" w:rsidRDefault="00FC6EE0" w:rsidP="00FC6EE0">
      <w:pPr>
        <w:pStyle w:val="Bodytextreduced"/>
      </w:pPr>
    </w:p>
    <w:p w:rsidR="00485094" w:rsidRPr="005351D1" w:rsidRDefault="00485094" w:rsidP="00EA3D58">
      <w:pPr>
        <w:pStyle w:val="Heading1"/>
      </w:pPr>
      <w:bookmarkStart w:id="8" w:name="_Toc271794291"/>
      <w:r w:rsidRPr="005351D1">
        <w:t>Executive Summary</w:t>
      </w:r>
      <w:bookmarkEnd w:id="2"/>
      <w:bookmarkEnd w:id="3"/>
      <w:bookmarkEnd w:id="4"/>
      <w:bookmarkEnd w:id="5"/>
      <w:bookmarkEnd w:id="6"/>
      <w:bookmarkEnd w:id="7"/>
      <w:bookmarkEnd w:id="8"/>
    </w:p>
    <w:p w:rsidR="00485094" w:rsidRDefault="00485094" w:rsidP="00EA3D58">
      <w:pPr>
        <w:pStyle w:val="Bodytext"/>
        <w:rPr>
          <w:b/>
          <w:snapToGrid w:val="0"/>
          <w:szCs w:val="22"/>
        </w:rPr>
      </w:pPr>
    </w:p>
    <w:p w:rsidR="00485094" w:rsidRPr="00173D87" w:rsidRDefault="00485094" w:rsidP="00227965">
      <w:pPr>
        <w:pStyle w:val="Bodytext"/>
        <w:rPr>
          <w:b/>
          <w:snapToGrid w:val="0"/>
          <w:sz w:val="28"/>
          <w:szCs w:val="28"/>
        </w:rPr>
      </w:pPr>
      <w:r w:rsidRPr="00173D87">
        <w:rPr>
          <w:b/>
          <w:snapToGrid w:val="0"/>
          <w:sz w:val="28"/>
          <w:szCs w:val="28"/>
        </w:rPr>
        <w:t>Purpose and Contents</w:t>
      </w:r>
    </w:p>
    <w:p w:rsidR="00485094" w:rsidRDefault="00485094" w:rsidP="00560F0C">
      <w:pPr>
        <w:pStyle w:val="Bodytext"/>
      </w:pPr>
      <w:r>
        <w:t>This report, which is called the state’s Integrated Report because it addresses the reporting requirements of Sections 305(b) and 303(d) of the federal Clean Water Act (CWA), provides an overview of Florida’s surface water and ground water quality.  Section 305(b) requires each state to report to the U.S. Environmental Protection Agency (EPA) on the condition of its surface waters, and Section 303(d) requires each state to report</w:t>
      </w:r>
      <w:r w:rsidRPr="0074147C">
        <w:t xml:space="preserve"> on </w:t>
      </w:r>
      <w:r>
        <w:t xml:space="preserve">its impaired waterbodies (those not meeting water quality standards).  Using the information from all the states, the EPA provides Congress with a national inventory of water quality conditions and also develops priorities for future federal actions to protect and restore aquatic resources.  </w:t>
      </w:r>
    </w:p>
    <w:p w:rsidR="00485094" w:rsidRDefault="00485094" w:rsidP="00560F0C">
      <w:pPr>
        <w:pStyle w:val="Bodytext"/>
      </w:pPr>
    </w:p>
    <w:p w:rsidR="00485094" w:rsidRDefault="00485094" w:rsidP="00560F0C">
      <w:pPr>
        <w:pStyle w:val="Bodytext"/>
      </w:pPr>
      <w:r>
        <w:t xml:space="preserve">In preparing this report, the Florida Department of Environmental Protection (FDEP) assessed a wide variety of available water quality data, including data from FDEP’s Ambient Monitoring Networks (the “Status” and “Trend” monitoring networks), Total Maximum Daily Load (TMDL) Program data that are stored in the Florida Storage and Retrieval (STORET) </w:t>
      </w:r>
      <w:r w:rsidR="00EE4CFE">
        <w:t xml:space="preserve">database </w:t>
      </w:r>
      <w:r>
        <w:t xml:space="preserve">and used to identify impaired waters, and Ground Water Program data.   </w:t>
      </w:r>
    </w:p>
    <w:p w:rsidR="00485094" w:rsidRDefault="00485094" w:rsidP="00512DF2">
      <w:pPr>
        <w:pStyle w:val="Bodytextreduced"/>
      </w:pPr>
    </w:p>
    <w:p w:rsidR="00485094" w:rsidRPr="00173D87" w:rsidRDefault="00485094" w:rsidP="00227965">
      <w:pPr>
        <w:pStyle w:val="Bodytext"/>
        <w:rPr>
          <w:b/>
          <w:snapToGrid w:val="0"/>
          <w:sz w:val="28"/>
          <w:szCs w:val="28"/>
        </w:rPr>
      </w:pPr>
      <w:bookmarkStart w:id="9" w:name="_Toc452181105"/>
      <w:bookmarkStart w:id="10" w:name="_Toc490373209"/>
      <w:bookmarkStart w:id="11" w:name="_Toc67394377"/>
      <w:bookmarkStart w:id="12" w:name="_Toc68672494"/>
      <w:bookmarkStart w:id="13" w:name="_Toc74537761"/>
      <w:bookmarkStart w:id="14" w:name="_Toc74537914"/>
      <w:bookmarkStart w:id="15" w:name="_Toc78886286"/>
      <w:bookmarkStart w:id="16" w:name="_Toc130807333"/>
      <w:r w:rsidRPr="00173D87">
        <w:rPr>
          <w:b/>
          <w:snapToGrid w:val="0"/>
          <w:sz w:val="28"/>
          <w:szCs w:val="28"/>
        </w:rPr>
        <w:t>Statewide Status and Trend Monitoring Program for Surface and Ground Water</w:t>
      </w:r>
    </w:p>
    <w:p w:rsidR="00485094" w:rsidRDefault="00485094" w:rsidP="00512DF2">
      <w:pPr>
        <w:pStyle w:val="Bodytextreduced"/>
      </w:pPr>
    </w:p>
    <w:p w:rsidR="00485094" w:rsidRDefault="00485094" w:rsidP="00EA3D58">
      <w:pPr>
        <w:spacing w:after="120"/>
        <w:rPr>
          <w:rFonts w:ascii="Arial" w:hAnsi="Arial" w:cs="Arial"/>
          <w:sz w:val="22"/>
          <w:szCs w:val="22"/>
        </w:rPr>
      </w:pPr>
      <w:r>
        <w:rPr>
          <w:rFonts w:ascii="Arial" w:hAnsi="Arial" w:cs="Arial"/>
          <w:sz w:val="22"/>
          <w:szCs w:val="22"/>
        </w:rPr>
        <w:t>The Status Monitoring Network uses an EPA-designed probabilistic monitoring network to estimate the water quality of 100% of the sampleable fresh waters in the state with known confidence.  This report presents both a statewide summary (</w:t>
      </w:r>
      <w:hyperlink w:anchor="_Chapter_6:_" w:history="1">
        <w:r w:rsidRPr="00CA461C">
          <w:rPr>
            <w:rStyle w:val="Hyperlink"/>
            <w:rFonts w:ascii="Arial" w:hAnsi="Arial" w:cs="Arial"/>
            <w:sz w:val="22"/>
            <w:szCs w:val="22"/>
          </w:rPr>
          <w:t>Chapter 6</w:t>
        </w:r>
      </w:hyperlink>
      <w:r>
        <w:rPr>
          <w:rFonts w:ascii="Arial" w:hAnsi="Arial" w:cs="Arial"/>
          <w:sz w:val="22"/>
          <w:szCs w:val="22"/>
        </w:rPr>
        <w:t>) and basin-level summaries (</w:t>
      </w:r>
      <w:r w:rsidRPr="004941C9">
        <w:rPr>
          <w:rFonts w:ascii="Arial" w:hAnsi="Arial" w:cs="Arial"/>
          <w:sz w:val="22"/>
          <w:szCs w:val="22"/>
        </w:rPr>
        <w:t xml:space="preserve">see </w:t>
      </w:r>
      <w:r w:rsidRPr="007844E8">
        <w:rPr>
          <w:rFonts w:ascii="Arial" w:hAnsi="Arial" w:cs="Arial"/>
          <w:b/>
          <w:sz w:val="22"/>
          <w:szCs w:val="22"/>
        </w:rPr>
        <w:t>Appendices A</w:t>
      </w:r>
      <w:r>
        <w:rPr>
          <w:rFonts w:ascii="Arial" w:hAnsi="Arial" w:cs="Arial"/>
          <w:sz w:val="22"/>
          <w:szCs w:val="22"/>
        </w:rPr>
        <w:t xml:space="preserve"> and </w:t>
      </w:r>
      <w:r w:rsidRPr="007844E8">
        <w:rPr>
          <w:rFonts w:ascii="Arial" w:hAnsi="Arial" w:cs="Arial"/>
          <w:b/>
          <w:sz w:val="22"/>
          <w:szCs w:val="22"/>
        </w:rPr>
        <w:t>C</w:t>
      </w:r>
      <w:r>
        <w:rPr>
          <w:rFonts w:ascii="Arial" w:hAnsi="Arial" w:cs="Arial"/>
          <w:sz w:val="22"/>
          <w:szCs w:val="22"/>
        </w:rPr>
        <w:t>) of a 5-year cycle (2004–08)</w:t>
      </w:r>
      <w:r w:rsidRPr="00B06A8B">
        <w:rPr>
          <w:rFonts w:ascii="Arial" w:hAnsi="Arial" w:cs="Arial"/>
          <w:sz w:val="22"/>
          <w:szCs w:val="22"/>
        </w:rPr>
        <w:t>.</w:t>
      </w:r>
      <w:r>
        <w:rPr>
          <w:rFonts w:ascii="Arial" w:hAnsi="Arial" w:cs="Arial"/>
          <w:sz w:val="22"/>
          <w:szCs w:val="22"/>
        </w:rPr>
        <w:t xml:space="preserve">  The state’s surface and ground water resources are predominantly in good condition based on the indicators assessed.  Streams are the sole water resource to have multiple indicators—</w:t>
      </w:r>
      <w:r w:rsidRPr="00D8156C">
        <w:rPr>
          <w:rFonts w:ascii="Arial" w:hAnsi="Arial" w:cs="Arial"/>
          <w:sz w:val="22"/>
          <w:szCs w:val="22"/>
        </w:rPr>
        <w:t xml:space="preserve"> </w:t>
      </w:r>
      <w:r>
        <w:rPr>
          <w:rFonts w:ascii="Arial" w:hAnsi="Arial" w:cs="Arial"/>
          <w:sz w:val="22"/>
          <w:szCs w:val="22"/>
        </w:rPr>
        <w:t xml:space="preserve">chlorophyll </w:t>
      </w:r>
      <w:r w:rsidRPr="007A3BEC">
        <w:rPr>
          <w:rFonts w:ascii="Arial" w:hAnsi="Arial" w:cs="Arial"/>
          <w:i/>
          <w:sz w:val="22"/>
          <w:szCs w:val="22"/>
        </w:rPr>
        <w:t>a</w:t>
      </w:r>
      <w:r>
        <w:rPr>
          <w:rFonts w:ascii="Arial" w:hAnsi="Arial" w:cs="Arial"/>
          <w:sz w:val="22"/>
          <w:szCs w:val="22"/>
        </w:rPr>
        <w:t xml:space="preserve">, fecal coliform, and dissolved oxygen (DO)—fall below 80% attainment, but many state streams naturally do not meet the applicable DO and fecal coliform criteria.  Regional results provide a more focused estimate of the water quality condition in watersheds, and regional attainment differences may result from different land uses, alterations of the resource, geology, or other natural conditions.  </w:t>
      </w:r>
    </w:p>
    <w:p w:rsidR="00485094" w:rsidRDefault="00485094" w:rsidP="00EA3D58">
      <w:pPr>
        <w:spacing w:after="120"/>
        <w:rPr>
          <w:rFonts w:ascii="Arial" w:hAnsi="Arial" w:cs="Arial"/>
          <w:sz w:val="22"/>
          <w:szCs w:val="22"/>
        </w:rPr>
      </w:pPr>
      <w:r>
        <w:rPr>
          <w:rFonts w:ascii="Arial" w:hAnsi="Arial" w:cs="Arial"/>
          <w:sz w:val="22"/>
          <w:szCs w:val="22"/>
        </w:rPr>
        <w:t xml:space="preserve">An analysis of data from the Trend Monitoring Network, which consists of 76 surface water stations (e.g., rivers and streams) and 47 ground water wells located throughout Florida, did not identify any  general surface water trends (when present, they were indicator specific) but identified some ground water trends that imply changes in water sources, water levels, or matrix interactions.  The ground water wells show positive trends for saltwater encroachment indicators (calcium, sodium, chloride, and potassium) and for rock-matrix indicators (calcium, magnesium, potassium, and alkalinity) with an associated decrease in pH.  These ground water results corroborate those presented in FDEP’s </w:t>
      </w:r>
      <w:r w:rsidRPr="00D8156C">
        <w:rPr>
          <w:rFonts w:ascii="Arial" w:hAnsi="Arial" w:cs="Arial"/>
          <w:i/>
          <w:sz w:val="22"/>
          <w:szCs w:val="22"/>
        </w:rPr>
        <w:t>Florida Geological Survey Special Bulletin No. 69</w:t>
      </w:r>
      <w:r>
        <w:rPr>
          <w:rFonts w:ascii="Arial" w:hAnsi="Arial" w:cs="Arial"/>
          <w:sz w:val="22"/>
          <w:szCs w:val="22"/>
        </w:rPr>
        <w:t xml:space="preserve"> (Copeland, 2009) and are considered the primary concern for the state’s ground waters.</w:t>
      </w:r>
    </w:p>
    <w:bookmarkEnd w:id="9"/>
    <w:bookmarkEnd w:id="10"/>
    <w:bookmarkEnd w:id="11"/>
    <w:bookmarkEnd w:id="12"/>
    <w:bookmarkEnd w:id="13"/>
    <w:bookmarkEnd w:id="14"/>
    <w:bookmarkEnd w:id="15"/>
    <w:bookmarkEnd w:id="16"/>
    <w:p w:rsidR="00485094" w:rsidRDefault="00485094" w:rsidP="00512DF2">
      <w:pPr>
        <w:pStyle w:val="Bodytextreduced"/>
      </w:pPr>
    </w:p>
    <w:p w:rsidR="00485094" w:rsidRPr="00173D87" w:rsidRDefault="00485094" w:rsidP="00227965">
      <w:pPr>
        <w:rPr>
          <w:snapToGrid w:val="0"/>
          <w:sz w:val="28"/>
          <w:szCs w:val="28"/>
        </w:rPr>
      </w:pPr>
      <w:r w:rsidRPr="00173D87">
        <w:rPr>
          <w:rFonts w:ascii="Arial" w:hAnsi="Arial"/>
          <w:b/>
          <w:snapToGrid w:val="0"/>
          <w:sz w:val="28"/>
          <w:szCs w:val="28"/>
        </w:rPr>
        <w:t xml:space="preserve">Summary of </w:t>
      </w:r>
      <w:r>
        <w:rPr>
          <w:rFonts w:ascii="Arial" w:hAnsi="Arial"/>
          <w:b/>
          <w:snapToGrid w:val="0"/>
          <w:sz w:val="28"/>
          <w:szCs w:val="28"/>
        </w:rPr>
        <w:t>Water Quality Standards Attainment</w:t>
      </w:r>
      <w:r w:rsidRPr="00173D87">
        <w:rPr>
          <w:rFonts w:ascii="Arial" w:hAnsi="Arial"/>
          <w:b/>
          <w:snapToGrid w:val="0"/>
          <w:sz w:val="28"/>
          <w:szCs w:val="28"/>
        </w:rPr>
        <w:t xml:space="preserve"> for </w:t>
      </w:r>
      <w:r>
        <w:rPr>
          <w:rFonts w:ascii="Arial" w:hAnsi="Arial"/>
          <w:b/>
          <w:snapToGrid w:val="0"/>
          <w:sz w:val="28"/>
          <w:szCs w:val="28"/>
        </w:rPr>
        <w:t xml:space="preserve">Assessed </w:t>
      </w:r>
      <w:r w:rsidRPr="00173D87">
        <w:rPr>
          <w:rFonts w:ascii="Arial" w:hAnsi="Arial"/>
          <w:b/>
          <w:snapToGrid w:val="0"/>
          <w:sz w:val="28"/>
          <w:szCs w:val="28"/>
        </w:rPr>
        <w:t>Rivers/Streams, Lakes, Estuaries, and Coastal Waters</w:t>
      </w:r>
    </w:p>
    <w:p w:rsidR="00485094" w:rsidRDefault="00485094" w:rsidP="00512DF2">
      <w:pPr>
        <w:pStyle w:val="Bodytextreduced"/>
      </w:pPr>
    </w:p>
    <w:p w:rsidR="00086868" w:rsidRDefault="00485094" w:rsidP="00194011">
      <w:pPr>
        <w:pStyle w:val="Bodytext"/>
        <w:rPr>
          <w:snapToGrid w:val="0"/>
        </w:rPr>
        <w:sectPr w:rsidR="00086868" w:rsidSect="004637F9">
          <w:pgSz w:w="12240" w:h="15840" w:code="1"/>
          <w:pgMar w:top="1440" w:right="1440" w:bottom="1440" w:left="1440" w:header="720" w:footer="720" w:gutter="0"/>
          <w:paperSrc w:first="261"/>
          <w:pgNumType w:fmt="lowerRoman"/>
          <w:cols w:space="720"/>
          <w:docGrid w:linePitch="360"/>
        </w:sectPr>
      </w:pPr>
      <w:r>
        <w:rPr>
          <w:snapToGrid w:val="0"/>
        </w:rPr>
        <w:t xml:space="preserve">For the determination of use support, FDEP assessed 23,922 miles of rivers and streams, 1,471,139 acres of lakes, 2,661 square miles of estuaries, and 6,699 square miles of coastal </w:t>
      </w:r>
    </w:p>
    <w:p w:rsidR="00485094" w:rsidRDefault="00485094" w:rsidP="00194011">
      <w:pPr>
        <w:pStyle w:val="Bodytext"/>
        <w:rPr>
          <w:snapToGrid w:val="0"/>
        </w:rPr>
      </w:pPr>
      <w:r>
        <w:rPr>
          <w:snapToGrid w:val="0"/>
        </w:rPr>
        <w:lastRenderedPageBreak/>
        <w:t>waters using the methodology in the Impaired Surface Waters Rule (Chapter 62-303, Florida Administrative Code [F.A.C.]) for the identification of impaired waters.  The table below lists the assessment results for the different waterbody types (</w:t>
      </w:r>
      <w:r w:rsidRPr="00B04102">
        <w:rPr>
          <w:snapToGrid w:val="0"/>
        </w:rPr>
        <w:t xml:space="preserve">rivers/streams, lakes, estuaries, and coastal </w:t>
      </w:r>
      <w:r>
        <w:rPr>
          <w:snapToGrid w:val="0"/>
        </w:rPr>
        <w:t>waters).</w:t>
      </w:r>
    </w:p>
    <w:p w:rsidR="00485094" w:rsidRDefault="00485094" w:rsidP="00194011">
      <w:pPr>
        <w:pStyle w:val="Bodytext"/>
        <w:rPr>
          <w:snapToGrid w:val="0"/>
        </w:rPr>
      </w:pPr>
    </w:p>
    <w:p w:rsidR="00485094" w:rsidRPr="00964CBD" w:rsidRDefault="00485094" w:rsidP="00964CBD">
      <w:pPr>
        <w:jc w:val="center"/>
        <w:rPr>
          <w:rFonts w:ascii="Arial" w:hAnsi="Arial" w:cs="Arial"/>
          <w:b/>
          <w:i/>
          <w:sz w:val="20"/>
          <w:szCs w:val="20"/>
        </w:rPr>
      </w:pPr>
      <w:r w:rsidRPr="00964CBD">
        <w:rPr>
          <w:rFonts w:ascii="Arial" w:hAnsi="Arial" w:cs="Arial"/>
          <w:b/>
          <w:i/>
          <w:sz w:val="20"/>
          <w:szCs w:val="20"/>
        </w:rPr>
        <w:t>Size of Surface Waters Assigned to Each EPA Integrated Report Category</w:t>
      </w:r>
    </w:p>
    <w:p w:rsidR="00485094" w:rsidRDefault="005C7479" w:rsidP="003976C8">
      <w:pPr>
        <w:pStyle w:val="TabledescriptionBF"/>
      </w:pPr>
      <w:r>
        <w:t xml:space="preserve">This is a 10-column table.  </w:t>
      </w:r>
      <w:r w:rsidR="00485094">
        <w:t>Column 1 lists the waterbody type, Columns 2 through 6 list the number of each waterbody type in Categories 2 through 5, respectively, Column 7 lists the number with no data, Column 8 lists the number with insufficient data, Column 9 lists the number of total waters assessed, and Column 10 lists the total number in the state.</w:t>
      </w:r>
    </w:p>
    <w:p w:rsidR="00485094" w:rsidRDefault="00485094" w:rsidP="003976C8">
      <w:pPr>
        <w:pStyle w:val="Bodytext"/>
        <w:rPr>
          <w:sz w:val="16"/>
          <w:szCs w:val="16"/>
        </w:rPr>
      </w:pPr>
    </w:p>
    <w:p w:rsidR="00485094" w:rsidRDefault="00485094" w:rsidP="003976C8">
      <w:pPr>
        <w:pStyle w:val="Bodytext"/>
        <w:rPr>
          <w:sz w:val="16"/>
          <w:szCs w:val="16"/>
        </w:rPr>
      </w:pPr>
      <w:r w:rsidRPr="00945371">
        <w:rPr>
          <w:b/>
          <w:sz w:val="16"/>
          <w:szCs w:val="16"/>
        </w:rPr>
        <w:t>Note:</w:t>
      </w:r>
      <w:r>
        <w:rPr>
          <w:sz w:val="16"/>
          <w:szCs w:val="16"/>
        </w:rPr>
        <w:t xml:space="preserve">  There are no waters in EPA Category 1 (attaining all designated uses) because FDEP does not sample for all criteria.  Category 2 comprises waters attaining all the criteria that were sampled for.</w:t>
      </w:r>
    </w:p>
    <w:p w:rsidR="00485094" w:rsidRDefault="00485094" w:rsidP="003976C8">
      <w:pPr>
        <w:pStyle w:val="Bodytext"/>
        <w:rPr>
          <w:sz w:val="16"/>
          <w:szCs w:val="16"/>
        </w:rPr>
      </w:pPr>
    </w:p>
    <w:p w:rsidR="00485094" w:rsidRPr="006B65A3" w:rsidRDefault="00485094" w:rsidP="003976C8">
      <w:pPr>
        <w:pStyle w:val="Bodytext"/>
        <w:rPr>
          <w:sz w:val="16"/>
          <w:szCs w:val="16"/>
        </w:rPr>
      </w:pPr>
      <w:r>
        <w:rPr>
          <w:b/>
          <w:sz w:val="16"/>
          <w:szCs w:val="16"/>
        </w:rPr>
        <w:t xml:space="preserve">* </w:t>
      </w:r>
      <w:r w:rsidRPr="006B65A3">
        <w:rPr>
          <w:sz w:val="16"/>
          <w:szCs w:val="16"/>
        </w:rPr>
        <w:t>The EPA’s Integrated Report categories are as follows:</w:t>
      </w:r>
    </w:p>
    <w:p w:rsidR="00485094" w:rsidRPr="006B65A3" w:rsidRDefault="00485094" w:rsidP="003976C8">
      <w:pPr>
        <w:pStyle w:val="Bodytext"/>
        <w:ind w:left="900" w:hanging="360"/>
        <w:rPr>
          <w:sz w:val="16"/>
          <w:szCs w:val="16"/>
        </w:rPr>
      </w:pPr>
      <w:r w:rsidRPr="006B65A3">
        <w:rPr>
          <w:sz w:val="16"/>
          <w:szCs w:val="16"/>
        </w:rPr>
        <w:t>1—Attains all designated uses;</w:t>
      </w:r>
    </w:p>
    <w:p w:rsidR="00485094" w:rsidRPr="006B65A3" w:rsidRDefault="00485094" w:rsidP="003976C8">
      <w:pPr>
        <w:pStyle w:val="Bodytext"/>
        <w:ind w:left="900" w:hanging="360"/>
        <w:rPr>
          <w:sz w:val="16"/>
          <w:szCs w:val="16"/>
        </w:rPr>
      </w:pPr>
      <w:r w:rsidRPr="006B65A3">
        <w:rPr>
          <w:sz w:val="16"/>
          <w:szCs w:val="16"/>
        </w:rPr>
        <w:t>2—Attains some designated uses;</w:t>
      </w:r>
    </w:p>
    <w:p w:rsidR="00485094" w:rsidRPr="006B65A3" w:rsidRDefault="00485094" w:rsidP="003976C8">
      <w:pPr>
        <w:pStyle w:val="Bodytext"/>
        <w:ind w:left="900" w:hanging="360"/>
        <w:rPr>
          <w:sz w:val="16"/>
          <w:szCs w:val="16"/>
        </w:rPr>
      </w:pPr>
      <w:r w:rsidRPr="006B65A3">
        <w:rPr>
          <w:sz w:val="16"/>
          <w:szCs w:val="16"/>
        </w:rPr>
        <w:t>3a—No data and information are available to determine if any designated use is attained;</w:t>
      </w:r>
    </w:p>
    <w:p w:rsidR="00485094" w:rsidRPr="006B65A3" w:rsidRDefault="00485094" w:rsidP="003976C8">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485094" w:rsidRPr="006B65A3" w:rsidRDefault="00485094" w:rsidP="003976C8">
      <w:pPr>
        <w:pStyle w:val="Bodytext"/>
        <w:ind w:left="900" w:hanging="360"/>
        <w:rPr>
          <w:sz w:val="16"/>
          <w:szCs w:val="16"/>
        </w:rPr>
      </w:pPr>
      <w:r w:rsidRPr="006B65A3">
        <w:rPr>
          <w:sz w:val="16"/>
          <w:szCs w:val="16"/>
        </w:rPr>
        <w:t>3c—Meets Planning List criteria and is potentially impaired for one or more designated uses;</w:t>
      </w:r>
    </w:p>
    <w:p w:rsidR="00485094" w:rsidRPr="006B65A3" w:rsidRDefault="00485094" w:rsidP="003976C8">
      <w:pPr>
        <w:pStyle w:val="Bodytext"/>
        <w:ind w:left="900" w:hanging="360"/>
        <w:rPr>
          <w:sz w:val="16"/>
          <w:szCs w:val="16"/>
        </w:rPr>
      </w:pPr>
      <w:r w:rsidRPr="006B65A3">
        <w:rPr>
          <w:sz w:val="16"/>
          <w:szCs w:val="16"/>
        </w:rPr>
        <w:t>3d—Meets Verified List criteria and is potentially impaired for one or more designated uses;</w:t>
      </w:r>
    </w:p>
    <w:p w:rsidR="00485094" w:rsidRPr="006B65A3" w:rsidRDefault="00485094" w:rsidP="003976C8">
      <w:pPr>
        <w:pStyle w:val="Bodytext"/>
        <w:ind w:left="900" w:hanging="360"/>
        <w:rPr>
          <w:sz w:val="16"/>
          <w:szCs w:val="16"/>
        </w:rPr>
      </w:pPr>
      <w:r w:rsidRPr="006B65A3">
        <w:rPr>
          <w:sz w:val="16"/>
          <w:szCs w:val="16"/>
        </w:rPr>
        <w:t>4a—Impaired for one or more designated uses and the TMDL is complete;</w:t>
      </w:r>
    </w:p>
    <w:p w:rsidR="00485094" w:rsidRPr="006B65A3" w:rsidRDefault="00485094" w:rsidP="003976C8">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3976C8">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485094" w:rsidRDefault="00485094" w:rsidP="003976C8">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485094" w:rsidRDefault="00485094" w:rsidP="003976C8">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485094" w:rsidRPr="003A4461" w:rsidRDefault="00485094" w:rsidP="003976C8">
      <w:pPr>
        <w:pStyle w:val="Bodytext"/>
        <w:ind w:left="900" w:hanging="360"/>
        <w:rPr>
          <w:rFonts w:cs="Arial"/>
          <w:szCs w:val="22"/>
        </w:rPr>
      </w:pPr>
      <w:r w:rsidRPr="006B65A3">
        <w:rPr>
          <w:sz w:val="16"/>
          <w:szCs w:val="16"/>
        </w:rPr>
        <w:t>5—Water quality standards are not attained and a TMDL is required.</w:t>
      </w:r>
    </w:p>
    <w:tbl>
      <w:tblPr>
        <w:tblW w:w="11290" w:type="dxa"/>
        <w:jc w:val="center"/>
        <w:tblInd w:w="2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342"/>
        <w:gridCol w:w="1050"/>
        <w:gridCol w:w="1170"/>
        <w:gridCol w:w="1208"/>
        <w:gridCol w:w="1170"/>
        <w:gridCol w:w="1080"/>
        <w:gridCol w:w="990"/>
        <w:gridCol w:w="1170"/>
        <w:gridCol w:w="1024"/>
        <w:gridCol w:w="1086"/>
      </w:tblGrid>
      <w:tr w:rsidR="00485094" w:rsidRPr="00B501CB" w:rsidTr="007352DD">
        <w:trPr>
          <w:trHeight w:val="247"/>
          <w:jc w:val="center"/>
        </w:trPr>
        <w:tc>
          <w:tcPr>
            <w:tcW w:w="1342" w:type="dxa"/>
            <w:tcBorders>
              <w:bottom w:val="double" w:sz="4" w:space="0" w:color="auto"/>
            </w:tcBorders>
            <w:shd w:val="clear" w:color="auto" w:fill="BDFFFF"/>
            <w:vAlign w:val="bottom"/>
          </w:tcPr>
          <w:p w:rsidR="00485094" w:rsidRDefault="00485094" w:rsidP="00D845BC">
            <w:pPr>
              <w:pStyle w:val="TableText"/>
              <w:jc w:val="center"/>
              <w:rPr>
                <w:b/>
                <w:i/>
                <w:sz w:val="16"/>
                <w:szCs w:val="16"/>
              </w:rPr>
            </w:pPr>
            <w:r w:rsidRPr="00B501CB">
              <w:rPr>
                <w:b/>
                <w:i/>
                <w:sz w:val="16"/>
                <w:szCs w:val="16"/>
              </w:rPr>
              <w:t xml:space="preserve">Waterbody </w:t>
            </w:r>
          </w:p>
          <w:p w:rsidR="00485094" w:rsidRPr="00B501CB" w:rsidRDefault="00485094" w:rsidP="00D845BC">
            <w:pPr>
              <w:pStyle w:val="TableText"/>
              <w:jc w:val="center"/>
              <w:rPr>
                <w:b/>
                <w:i/>
                <w:sz w:val="16"/>
                <w:szCs w:val="16"/>
              </w:rPr>
            </w:pPr>
            <w:r w:rsidRPr="00B501CB">
              <w:rPr>
                <w:b/>
                <w:i/>
                <w:sz w:val="16"/>
                <w:szCs w:val="16"/>
              </w:rPr>
              <w:t>Type</w:t>
            </w:r>
          </w:p>
        </w:tc>
        <w:tc>
          <w:tcPr>
            <w:tcW w:w="105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Category 2*</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3c and 3d (Planning List)*</w:t>
            </w:r>
          </w:p>
        </w:tc>
        <w:tc>
          <w:tcPr>
            <w:tcW w:w="1208"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4a, 4b, 4c*</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Categories 4d, 4e*</w:t>
            </w:r>
          </w:p>
        </w:tc>
        <w:tc>
          <w:tcPr>
            <w:tcW w:w="108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Categor</w:t>
            </w:r>
            <w:r>
              <w:rPr>
                <w:b/>
                <w:i/>
                <w:sz w:val="16"/>
                <w:szCs w:val="16"/>
              </w:rPr>
              <w:t>y</w:t>
            </w:r>
            <w:r w:rsidRPr="00B501CB">
              <w:rPr>
                <w:b/>
                <w:i/>
                <w:sz w:val="16"/>
                <w:szCs w:val="16"/>
              </w:rPr>
              <w:t xml:space="preserve"> 5*</w:t>
            </w:r>
          </w:p>
        </w:tc>
        <w:tc>
          <w:tcPr>
            <w:tcW w:w="99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No</w:t>
            </w:r>
            <w:r>
              <w:rPr>
                <w:b/>
                <w:i/>
                <w:sz w:val="16"/>
                <w:szCs w:val="16"/>
              </w:rPr>
              <w:t xml:space="preserve"> </w:t>
            </w:r>
            <w:r w:rsidRPr="00B501CB">
              <w:rPr>
                <w:b/>
                <w:i/>
                <w:sz w:val="16"/>
                <w:szCs w:val="16"/>
              </w:rPr>
              <w:t>Data</w:t>
            </w:r>
            <w:r>
              <w:rPr>
                <w:b/>
                <w:i/>
                <w:sz w:val="16"/>
                <w:szCs w:val="16"/>
              </w:rPr>
              <w:t xml:space="preserve"> (Category 3a)</w:t>
            </w:r>
            <w:r w:rsidRPr="00B501CB">
              <w:rPr>
                <w:b/>
                <w:i/>
                <w:sz w:val="16"/>
                <w:szCs w:val="16"/>
              </w:rPr>
              <w:t>*</w:t>
            </w:r>
          </w:p>
        </w:tc>
        <w:tc>
          <w:tcPr>
            <w:tcW w:w="1170"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Insufficient Data</w:t>
            </w:r>
            <w:r>
              <w:rPr>
                <w:b/>
                <w:i/>
                <w:sz w:val="16"/>
                <w:szCs w:val="16"/>
              </w:rPr>
              <w:t xml:space="preserve"> (Category 3b)</w:t>
            </w:r>
            <w:r w:rsidRPr="00B501CB">
              <w:rPr>
                <w:b/>
                <w:i/>
                <w:sz w:val="16"/>
                <w:szCs w:val="16"/>
              </w:rPr>
              <w:t>*</w:t>
            </w:r>
          </w:p>
        </w:tc>
        <w:tc>
          <w:tcPr>
            <w:tcW w:w="1024"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Total Waters Assessed</w:t>
            </w:r>
            <w:r>
              <w:rPr>
                <w:b/>
                <w:i/>
                <w:sz w:val="16"/>
                <w:szCs w:val="16"/>
              </w:rPr>
              <w:t xml:space="preserve"> for at Least 1 Parameter</w:t>
            </w:r>
          </w:p>
        </w:tc>
        <w:tc>
          <w:tcPr>
            <w:tcW w:w="1086" w:type="dxa"/>
            <w:tcBorders>
              <w:bottom w:val="double" w:sz="4" w:space="0" w:color="auto"/>
            </w:tcBorders>
            <w:shd w:val="clear" w:color="auto" w:fill="BDFFFF"/>
            <w:vAlign w:val="bottom"/>
          </w:tcPr>
          <w:p w:rsidR="00485094" w:rsidRPr="00B501CB" w:rsidRDefault="00485094" w:rsidP="00D845BC">
            <w:pPr>
              <w:pStyle w:val="TableText"/>
              <w:jc w:val="center"/>
              <w:rPr>
                <w:b/>
                <w:i/>
                <w:sz w:val="16"/>
                <w:szCs w:val="16"/>
              </w:rPr>
            </w:pPr>
            <w:r w:rsidRPr="00B501CB">
              <w:rPr>
                <w:b/>
                <w:i/>
                <w:sz w:val="16"/>
                <w:szCs w:val="16"/>
              </w:rPr>
              <w:t>Total in State</w:t>
            </w:r>
          </w:p>
        </w:tc>
      </w:tr>
      <w:tr w:rsidR="00485094" w:rsidRPr="00B501CB" w:rsidTr="007352DD">
        <w:trPr>
          <w:trHeight w:val="247"/>
          <w:jc w:val="center"/>
        </w:trPr>
        <w:tc>
          <w:tcPr>
            <w:tcW w:w="1342" w:type="dxa"/>
            <w:tcBorders>
              <w:top w:val="double" w:sz="4" w:space="0" w:color="auto"/>
            </w:tcBorders>
            <w:shd w:val="clear" w:color="auto" w:fill="FFFFCC"/>
            <w:vAlign w:val="center"/>
          </w:tcPr>
          <w:p w:rsidR="00485094" w:rsidRPr="00B501CB" w:rsidRDefault="00485094" w:rsidP="00D845BC">
            <w:pPr>
              <w:pStyle w:val="TableText"/>
              <w:jc w:val="center"/>
              <w:rPr>
                <w:sz w:val="16"/>
                <w:szCs w:val="16"/>
              </w:rPr>
            </w:pPr>
            <w:r w:rsidRPr="00B501CB">
              <w:rPr>
                <w:sz w:val="16"/>
                <w:szCs w:val="16"/>
              </w:rPr>
              <w:t>Rivers/</w:t>
            </w:r>
          </w:p>
          <w:p w:rsidR="00485094" w:rsidRPr="00B501CB" w:rsidRDefault="00485094" w:rsidP="00D845BC">
            <w:pPr>
              <w:pStyle w:val="TableText"/>
              <w:jc w:val="center"/>
              <w:rPr>
                <w:sz w:val="16"/>
                <w:szCs w:val="16"/>
              </w:rPr>
            </w:pPr>
            <w:r w:rsidRPr="00B501CB">
              <w:rPr>
                <w:sz w:val="16"/>
                <w:szCs w:val="16"/>
              </w:rPr>
              <w:t>Streams</w:t>
            </w:r>
          </w:p>
          <w:p w:rsidR="00485094" w:rsidRPr="00B501CB" w:rsidRDefault="00485094" w:rsidP="00D845BC">
            <w:pPr>
              <w:pStyle w:val="TableText"/>
              <w:jc w:val="center"/>
              <w:rPr>
                <w:sz w:val="16"/>
                <w:szCs w:val="16"/>
              </w:rPr>
            </w:pPr>
            <w:r w:rsidRPr="00B501CB">
              <w:rPr>
                <w:sz w:val="16"/>
                <w:szCs w:val="16"/>
              </w:rPr>
              <w:t>(miles)</w:t>
            </w:r>
          </w:p>
        </w:tc>
        <w:tc>
          <w:tcPr>
            <w:tcW w:w="1050"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919</w:t>
            </w:r>
          </w:p>
        </w:tc>
        <w:tc>
          <w:tcPr>
            <w:tcW w:w="1170"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2,354</w:t>
            </w:r>
          </w:p>
        </w:tc>
        <w:tc>
          <w:tcPr>
            <w:tcW w:w="1208"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658</w:t>
            </w:r>
          </w:p>
        </w:tc>
        <w:tc>
          <w:tcPr>
            <w:tcW w:w="117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2,193</w:t>
            </w:r>
          </w:p>
        </w:tc>
        <w:tc>
          <w:tcPr>
            <w:tcW w:w="108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7,796</w:t>
            </w:r>
          </w:p>
        </w:tc>
        <w:tc>
          <w:tcPr>
            <w:tcW w:w="99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7,695</w:t>
            </w:r>
          </w:p>
        </w:tc>
        <w:tc>
          <w:tcPr>
            <w:tcW w:w="1170" w:type="dxa"/>
            <w:tcBorders>
              <w:top w:val="double" w:sz="4" w:space="0" w:color="auto"/>
            </w:tcBorders>
            <w:vAlign w:val="center"/>
          </w:tcPr>
          <w:p w:rsidR="00485094" w:rsidRPr="001725EE" w:rsidRDefault="00485094" w:rsidP="00D845BC">
            <w:pPr>
              <w:pStyle w:val="TableText"/>
              <w:jc w:val="center"/>
              <w:rPr>
                <w:sz w:val="16"/>
                <w:szCs w:val="16"/>
              </w:rPr>
            </w:pPr>
            <w:r w:rsidRPr="001725EE">
              <w:rPr>
                <w:sz w:val="16"/>
                <w:szCs w:val="16"/>
              </w:rPr>
              <w:t>2,308</w:t>
            </w:r>
          </w:p>
        </w:tc>
        <w:tc>
          <w:tcPr>
            <w:tcW w:w="1024" w:type="dxa"/>
            <w:tcBorders>
              <w:top w:val="double" w:sz="4" w:space="0" w:color="auto"/>
            </w:tcBorders>
            <w:vAlign w:val="center"/>
          </w:tcPr>
          <w:p w:rsidR="00485094" w:rsidRPr="001725EE" w:rsidRDefault="00485094" w:rsidP="00D845BC">
            <w:pPr>
              <w:pStyle w:val="TableText"/>
              <w:jc w:val="center"/>
              <w:rPr>
                <w:sz w:val="16"/>
                <w:szCs w:val="16"/>
              </w:rPr>
            </w:pPr>
            <w:r>
              <w:rPr>
                <w:sz w:val="16"/>
                <w:szCs w:val="16"/>
              </w:rPr>
              <w:t>13,919</w:t>
            </w:r>
          </w:p>
        </w:tc>
        <w:tc>
          <w:tcPr>
            <w:tcW w:w="1086" w:type="dxa"/>
            <w:tcBorders>
              <w:top w:val="double" w:sz="4" w:space="0" w:color="auto"/>
            </w:tcBorders>
            <w:vAlign w:val="center"/>
          </w:tcPr>
          <w:p w:rsidR="00485094" w:rsidRPr="00B501CB" w:rsidRDefault="00485094" w:rsidP="00D845BC">
            <w:pPr>
              <w:pStyle w:val="TableText"/>
              <w:jc w:val="center"/>
              <w:rPr>
                <w:sz w:val="16"/>
                <w:szCs w:val="16"/>
              </w:rPr>
            </w:pPr>
            <w:r w:rsidRPr="00B501CB">
              <w:rPr>
                <w:sz w:val="16"/>
                <w:szCs w:val="16"/>
              </w:rPr>
              <w:t>23,922</w:t>
            </w:r>
          </w:p>
        </w:tc>
      </w:tr>
      <w:tr w:rsidR="00485094" w:rsidRPr="00B501CB" w:rsidTr="007352DD">
        <w:trPr>
          <w:trHeight w:val="247"/>
          <w:jc w:val="center"/>
        </w:trPr>
        <w:tc>
          <w:tcPr>
            <w:tcW w:w="1342" w:type="dxa"/>
            <w:shd w:val="clear" w:color="auto" w:fill="FFFFCC"/>
            <w:vAlign w:val="center"/>
          </w:tcPr>
          <w:p w:rsidR="00485094" w:rsidRPr="00B501CB" w:rsidRDefault="00485094" w:rsidP="00D845BC">
            <w:pPr>
              <w:pStyle w:val="TableText"/>
              <w:jc w:val="center"/>
              <w:rPr>
                <w:sz w:val="16"/>
                <w:szCs w:val="16"/>
              </w:rPr>
            </w:pPr>
            <w:r w:rsidRPr="00B501CB">
              <w:rPr>
                <w:sz w:val="16"/>
                <w:szCs w:val="16"/>
              </w:rPr>
              <w:t xml:space="preserve">Lakes </w:t>
            </w:r>
          </w:p>
          <w:p w:rsidR="00485094" w:rsidRPr="00B501CB" w:rsidRDefault="00485094" w:rsidP="00D845BC">
            <w:pPr>
              <w:pStyle w:val="TableText"/>
              <w:jc w:val="center"/>
              <w:rPr>
                <w:sz w:val="16"/>
                <w:szCs w:val="16"/>
              </w:rPr>
            </w:pPr>
            <w:r w:rsidRPr="00B501CB">
              <w:rPr>
                <w:sz w:val="16"/>
                <w:szCs w:val="16"/>
              </w:rPr>
              <w:t>(acres)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59,2</w:t>
            </w:r>
            <w:r>
              <w:rPr>
                <w:sz w:val="16"/>
                <w:szCs w:val="16"/>
              </w:rPr>
              <w:t>2</w:t>
            </w:r>
            <w:r w:rsidRPr="00B501CB">
              <w:rPr>
                <w:sz w:val="16"/>
                <w:szCs w:val="16"/>
              </w:rPr>
              <w:t>7</w:t>
            </w:r>
          </w:p>
        </w:tc>
        <w:tc>
          <w:tcPr>
            <w:tcW w:w="1170" w:type="dxa"/>
            <w:vAlign w:val="center"/>
          </w:tcPr>
          <w:p w:rsidR="00485094" w:rsidRPr="00B501CB" w:rsidRDefault="00485094" w:rsidP="00D845BC">
            <w:pPr>
              <w:pStyle w:val="TableText"/>
              <w:jc w:val="center"/>
              <w:rPr>
                <w:sz w:val="16"/>
                <w:szCs w:val="16"/>
              </w:rPr>
            </w:pPr>
            <w:r w:rsidRPr="00B501CB">
              <w:rPr>
                <w:sz w:val="16"/>
                <w:szCs w:val="16"/>
              </w:rPr>
              <w:t>58,540</w:t>
            </w:r>
          </w:p>
        </w:tc>
        <w:tc>
          <w:tcPr>
            <w:tcW w:w="1208" w:type="dxa"/>
            <w:vAlign w:val="center"/>
          </w:tcPr>
          <w:p w:rsidR="00485094" w:rsidRPr="001725EE" w:rsidRDefault="00485094" w:rsidP="00D845BC">
            <w:pPr>
              <w:pStyle w:val="TableText"/>
              <w:jc w:val="center"/>
              <w:rPr>
                <w:sz w:val="16"/>
                <w:szCs w:val="16"/>
              </w:rPr>
            </w:pPr>
            <w:r w:rsidRPr="001725EE">
              <w:rPr>
                <w:sz w:val="16"/>
                <w:szCs w:val="16"/>
              </w:rPr>
              <w:t>84,908</w:t>
            </w:r>
          </w:p>
        </w:tc>
        <w:tc>
          <w:tcPr>
            <w:tcW w:w="1170" w:type="dxa"/>
            <w:vAlign w:val="center"/>
          </w:tcPr>
          <w:p w:rsidR="00485094" w:rsidRPr="001725EE" w:rsidRDefault="00485094" w:rsidP="00D845BC">
            <w:pPr>
              <w:pStyle w:val="TableText"/>
              <w:jc w:val="center"/>
              <w:rPr>
                <w:sz w:val="16"/>
                <w:szCs w:val="16"/>
              </w:rPr>
            </w:pPr>
            <w:r w:rsidRPr="001725EE">
              <w:rPr>
                <w:sz w:val="16"/>
                <w:szCs w:val="16"/>
              </w:rPr>
              <w:t>9,380</w:t>
            </w:r>
          </w:p>
        </w:tc>
        <w:tc>
          <w:tcPr>
            <w:tcW w:w="1080" w:type="dxa"/>
            <w:vAlign w:val="center"/>
          </w:tcPr>
          <w:p w:rsidR="00485094" w:rsidRPr="001725EE" w:rsidRDefault="00485094" w:rsidP="00D845BC">
            <w:pPr>
              <w:pStyle w:val="TableText"/>
              <w:jc w:val="center"/>
              <w:rPr>
                <w:sz w:val="16"/>
                <w:szCs w:val="16"/>
              </w:rPr>
            </w:pPr>
            <w:r w:rsidRPr="001725EE">
              <w:rPr>
                <w:sz w:val="16"/>
                <w:szCs w:val="16"/>
              </w:rPr>
              <w:t>991,576</w:t>
            </w:r>
          </w:p>
        </w:tc>
        <w:tc>
          <w:tcPr>
            <w:tcW w:w="990" w:type="dxa"/>
            <w:vAlign w:val="center"/>
          </w:tcPr>
          <w:p w:rsidR="00485094" w:rsidRPr="001725EE" w:rsidRDefault="00485094" w:rsidP="00D845BC">
            <w:pPr>
              <w:pStyle w:val="TableText"/>
              <w:jc w:val="center"/>
              <w:rPr>
                <w:sz w:val="16"/>
                <w:szCs w:val="16"/>
              </w:rPr>
            </w:pPr>
            <w:r w:rsidRPr="001725EE">
              <w:rPr>
                <w:sz w:val="16"/>
                <w:szCs w:val="16"/>
              </w:rPr>
              <w:t>177,693</w:t>
            </w:r>
          </w:p>
        </w:tc>
        <w:tc>
          <w:tcPr>
            <w:tcW w:w="1170" w:type="dxa"/>
            <w:vAlign w:val="center"/>
          </w:tcPr>
          <w:p w:rsidR="00485094" w:rsidRPr="001725EE" w:rsidRDefault="00485094" w:rsidP="00D845BC">
            <w:pPr>
              <w:pStyle w:val="TableText"/>
              <w:jc w:val="center"/>
              <w:rPr>
                <w:sz w:val="16"/>
                <w:szCs w:val="16"/>
              </w:rPr>
            </w:pPr>
            <w:r w:rsidRPr="001725EE">
              <w:rPr>
                <w:sz w:val="16"/>
                <w:szCs w:val="16"/>
              </w:rPr>
              <w:t>89,814</w:t>
            </w:r>
          </w:p>
        </w:tc>
        <w:tc>
          <w:tcPr>
            <w:tcW w:w="1024" w:type="dxa"/>
            <w:vAlign w:val="center"/>
          </w:tcPr>
          <w:p w:rsidR="00485094" w:rsidRPr="001725EE" w:rsidRDefault="00485094" w:rsidP="00D845BC">
            <w:pPr>
              <w:pStyle w:val="TableText"/>
              <w:jc w:val="center"/>
              <w:rPr>
                <w:sz w:val="16"/>
                <w:szCs w:val="16"/>
              </w:rPr>
            </w:pPr>
            <w:r>
              <w:rPr>
                <w:sz w:val="16"/>
                <w:szCs w:val="16"/>
              </w:rPr>
              <w:t>1,203,632</w:t>
            </w:r>
          </w:p>
        </w:tc>
        <w:tc>
          <w:tcPr>
            <w:tcW w:w="1086" w:type="dxa"/>
            <w:vAlign w:val="center"/>
          </w:tcPr>
          <w:p w:rsidR="00485094" w:rsidRPr="00B501CB" w:rsidRDefault="00485094" w:rsidP="00D845BC">
            <w:pPr>
              <w:pStyle w:val="TableText"/>
              <w:jc w:val="center"/>
              <w:rPr>
                <w:sz w:val="16"/>
                <w:szCs w:val="16"/>
              </w:rPr>
            </w:pPr>
            <w:r w:rsidRPr="00B501CB">
              <w:rPr>
                <w:sz w:val="16"/>
                <w:szCs w:val="16"/>
              </w:rPr>
              <w:t>1,471,139</w:t>
            </w:r>
          </w:p>
        </w:tc>
      </w:tr>
      <w:tr w:rsidR="00485094" w:rsidRPr="00B501CB" w:rsidTr="007352DD">
        <w:trPr>
          <w:trHeight w:val="247"/>
          <w:jc w:val="center"/>
        </w:trPr>
        <w:tc>
          <w:tcPr>
            <w:tcW w:w="1342" w:type="dxa"/>
            <w:shd w:val="clear" w:color="auto" w:fill="FFFFCC"/>
            <w:vAlign w:val="center"/>
          </w:tcPr>
          <w:p w:rsidR="00485094" w:rsidRDefault="00485094" w:rsidP="00D845BC">
            <w:pPr>
              <w:pStyle w:val="TableText"/>
              <w:jc w:val="center"/>
              <w:rPr>
                <w:sz w:val="16"/>
                <w:szCs w:val="16"/>
              </w:rPr>
            </w:pPr>
            <w:r w:rsidRPr="00B501CB">
              <w:rPr>
                <w:sz w:val="16"/>
                <w:szCs w:val="16"/>
              </w:rPr>
              <w:t xml:space="preserve">Estuaries </w:t>
            </w:r>
          </w:p>
          <w:p w:rsidR="00485094" w:rsidRPr="00B501CB" w:rsidRDefault="00485094" w:rsidP="00D845BC">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23</w:t>
            </w:r>
          </w:p>
        </w:tc>
        <w:tc>
          <w:tcPr>
            <w:tcW w:w="1170" w:type="dxa"/>
            <w:vAlign w:val="center"/>
          </w:tcPr>
          <w:p w:rsidR="00485094" w:rsidRPr="00B501CB" w:rsidRDefault="00485094" w:rsidP="00D845BC">
            <w:pPr>
              <w:pStyle w:val="TableText"/>
              <w:jc w:val="center"/>
              <w:rPr>
                <w:sz w:val="16"/>
                <w:szCs w:val="16"/>
              </w:rPr>
            </w:pPr>
            <w:r w:rsidRPr="00B501CB">
              <w:rPr>
                <w:sz w:val="16"/>
                <w:szCs w:val="16"/>
              </w:rPr>
              <w:t>58</w:t>
            </w:r>
          </w:p>
        </w:tc>
        <w:tc>
          <w:tcPr>
            <w:tcW w:w="1208"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80" w:type="dxa"/>
            <w:vAlign w:val="center"/>
          </w:tcPr>
          <w:p w:rsidR="00485094" w:rsidRPr="00B501CB" w:rsidRDefault="00485094" w:rsidP="00D845BC">
            <w:pPr>
              <w:pStyle w:val="TableText"/>
              <w:jc w:val="center"/>
              <w:rPr>
                <w:sz w:val="16"/>
                <w:szCs w:val="16"/>
              </w:rPr>
            </w:pPr>
            <w:r w:rsidRPr="00B501CB">
              <w:rPr>
                <w:sz w:val="16"/>
                <w:szCs w:val="16"/>
              </w:rPr>
              <w:t>2,573</w:t>
            </w:r>
          </w:p>
        </w:tc>
        <w:tc>
          <w:tcPr>
            <w:tcW w:w="990" w:type="dxa"/>
            <w:vAlign w:val="center"/>
          </w:tcPr>
          <w:p w:rsidR="00485094" w:rsidRPr="00B501CB" w:rsidRDefault="00485094" w:rsidP="00D845BC">
            <w:pPr>
              <w:pStyle w:val="TableText"/>
              <w:jc w:val="center"/>
              <w:rPr>
                <w:sz w:val="16"/>
                <w:szCs w:val="16"/>
              </w:rPr>
            </w:pPr>
            <w:r w:rsidRPr="00B501CB">
              <w:rPr>
                <w:sz w:val="16"/>
                <w:szCs w:val="16"/>
              </w:rPr>
              <w:t>184</w:t>
            </w:r>
          </w:p>
        </w:tc>
        <w:tc>
          <w:tcPr>
            <w:tcW w:w="1170" w:type="dxa"/>
            <w:vAlign w:val="center"/>
          </w:tcPr>
          <w:p w:rsidR="00485094" w:rsidRPr="00B501CB" w:rsidRDefault="00485094" w:rsidP="00D845BC">
            <w:pPr>
              <w:pStyle w:val="TableText"/>
              <w:jc w:val="center"/>
              <w:rPr>
                <w:sz w:val="16"/>
                <w:szCs w:val="16"/>
              </w:rPr>
            </w:pPr>
            <w:r w:rsidRPr="00B501CB">
              <w:rPr>
                <w:sz w:val="16"/>
                <w:szCs w:val="16"/>
              </w:rPr>
              <w:t>4</w:t>
            </w:r>
          </w:p>
        </w:tc>
        <w:tc>
          <w:tcPr>
            <w:tcW w:w="1024" w:type="dxa"/>
            <w:vAlign w:val="center"/>
          </w:tcPr>
          <w:p w:rsidR="00485094" w:rsidRPr="00B501CB" w:rsidRDefault="00485094" w:rsidP="00D845BC">
            <w:pPr>
              <w:pStyle w:val="TableText"/>
              <w:jc w:val="center"/>
              <w:rPr>
                <w:sz w:val="16"/>
                <w:szCs w:val="16"/>
              </w:rPr>
            </w:pPr>
            <w:r>
              <w:rPr>
                <w:sz w:val="16"/>
                <w:szCs w:val="16"/>
              </w:rPr>
              <w:t>2,473</w:t>
            </w:r>
          </w:p>
        </w:tc>
        <w:tc>
          <w:tcPr>
            <w:tcW w:w="1086" w:type="dxa"/>
            <w:vAlign w:val="center"/>
          </w:tcPr>
          <w:p w:rsidR="00485094" w:rsidRPr="00B501CB" w:rsidRDefault="00485094" w:rsidP="00D845BC">
            <w:pPr>
              <w:pStyle w:val="TableText"/>
              <w:jc w:val="center"/>
              <w:rPr>
                <w:sz w:val="16"/>
                <w:szCs w:val="16"/>
              </w:rPr>
            </w:pPr>
            <w:r w:rsidRPr="00B501CB">
              <w:rPr>
                <w:sz w:val="16"/>
                <w:szCs w:val="16"/>
              </w:rPr>
              <w:t>2,661</w:t>
            </w:r>
          </w:p>
        </w:tc>
      </w:tr>
      <w:tr w:rsidR="00485094" w:rsidRPr="00B501CB" w:rsidTr="007352DD">
        <w:trPr>
          <w:trHeight w:val="247"/>
          <w:jc w:val="center"/>
        </w:trPr>
        <w:tc>
          <w:tcPr>
            <w:tcW w:w="1342" w:type="dxa"/>
            <w:shd w:val="clear" w:color="auto" w:fill="FFFFCC"/>
            <w:vAlign w:val="center"/>
          </w:tcPr>
          <w:p w:rsidR="00485094" w:rsidRPr="00B501CB" w:rsidRDefault="00485094" w:rsidP="00D845BC">
            <w:pPr>
              <w:pStyle w:val="TableText"/>
              <w:jc w:val="center"/>
              <w:rPr>
                <w:sz w:val="16"/>
                <w:szCs w:val="16"/>
              </w:rPr>
            </w:pPr>
            <w:r w:rsidRPr="00B501CB">
              <w:rPr>
                <w:sz w:val="16"/>
                <w:szCs w:val="16"/>
              </w:rPr>
              <w:t xml:space="preserve">Coastal </w:t>
            </w:r>
          </w:p>
          <w:p w:rsidR="00485094" w:rsidRPr="00B501CB" w:rsidRDefault="00485094" w:rsidP="00D845BC">
            <w:pPr>
              <w:pStyle w:val="TableText"/>
              <w:jc w:val="center"/>
              <w:rPr>
                <w:sz w:val="16"/>
                <w:szCs w:val="16"/>
              </w:rPr>
            </w:pPr>
            <w:r w:rsidRPr="00B501CB">
              <w:rPr>
                <w:sz w:val="16"/>
                <w:szCs w:val="16"/>
              </w:rPr>
              <w:t xml:space="preserve">Waters </w:t>
            </w:r>
          </w:p>
          <w:p w:rsidR="00485094" w:rsidRPr="00B501CB" w:rsidRDefault="00485094" w:rsidP="00D845BC">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208"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80" w:type="dxa"/>
            <w:vAlign w:val="center"/>
          </w:tcPr>
          <w:p w:rsidR="00485094" w:rsidRPr="00B501CB" w:rsidRDefault="00485094" w:rsidP="00D845BC">
            <w:pPr>
              <w:pStyle w:val="TableText"/>
              <w:jc w:val="center"/>
              <w:rPr>
                <w:sz w:val="16"/>
                <w:szCs w:val="16"/>
              </w:rPr>
            </w:pPr>
            <w:r w:rsidRPr="00B501CB">
              <w:rPr>
                <w:sz w:val="16"/>
                <w:szCs w:val="16"/>
              </w:rPr>
              <w:t>6,699</w:t>
            </w:r>
          </w:p>
        </w:tc>
        <w:tc>
          <w:tcPr>
            <w:tcW w:w="990" w:type="dxa"/>
            <w:vAlign w:val="center"/>
          </w:tcPr>
          <w:p w:rsidR="00485094" w:rsidRPr="00B501CB" w:rsidRDefault="00485094" w:rsidP="00D845BC">
            <w:pPr>
              <w:pStyle w:val="TableText"/>
              <w:jc w:val="center"/>
              <w:rPr>
                <w:sz w:val="16"/>
                <w:szCs w:val="16"/>
              </w:rPr>
            </w:pPr>
            <w:r w:rsidRPr="00B501CB">
              <w:rPr>
                <w:sz w:val="16"/>
                <w:szCs w:val="16"/>
              </w:rPr>
              <w:t>0</w:t>
            </w:r>
          </w:p>
        </w:tc>
        <w:tc>
          <w:tcPr>
            <w:tcW w:w="1170" w:type="dxa"/>
            <w:vAlign w:val="center"/>
          </w:tcPr>
          <w:p w:rsidR="00485094" w:rsidRPr="00B501CB" w:rsidRDefault="00485094" w:rsidP="00D845BC">
            <w:pPr>
              <w:pStyle w:val="TableText"/>
              <w:jc w:val="center"/>
              <w:rPr>
                <w:sz w:val="16"/>
                <w:szCs w:val="16"/>
              </w:rPr>
            </w:pPr>
            <w:r w:rsidRPr="00B501CB">
              <w:rPr>
                <w:sz w:val="16"/>
                <w:szCs w:val="16"/>
              </w:rPr>
              <w:t>0</w:t>
            </w:r>
          </w:p>
        </w:tc>
        <w:tc>
          <w:tcPr>
            <w:tcW w:w="1024" w:type="dxa"/>
            <w:vAlign w:val="center"/>
          </w:tcPr>
          <w:p w:rsidR="00485094" w:rsidRPr="00B501CB" w:rsidRDefault="00485094" w:rsidP="00D845BC">
            <w:pPr>
              <w:pStyle w:val="TableText"/>
              <w:jc w:val="center"/>
              <w:rPr>
                <w:sz w:val="16"/>
                <w:szCs w:val="16"/>
              </w:rPr>
            </w:pPr>
            <w:r w:rsidRPr="00B501CB">
              <w:rPr>
                <w:sz w:val="16"/>
                <w:szCs w:val="16"/>
              </w:rPr>
              <w:t>6,699</w:t>
            </w:r>
          </w:p>
        </w:tc>
        <w:tc>
          <w:tcPr>
            <w:tcW w:w="1086" w:type="dxa"/>
            <w:vAlign w:val="center"/>
          </w:tcPr>
          <w:p w:rsidR="00485094" w:rsidRPr="00B501CB" w:rsidRDefault="00485094" w:rsidP="00D845BC">
            <w:pPr>
              <w:pStyle w:val="TableText"/>
              <w:jc w:val="center"/>
              <w:rPr>
                <w:sz w:val="16"/>
                <w:szCs w:val="16"/>
              </w:rPr>
            </w:pPr>
            <w:r w:rsidRPr="00B501CB">
              <w:rPr>
                <w:sz w:val="16"/>
                <w:szCs w:val="16"/>
              </w:rPr>
              <w:t>6,699</w:t>
            </w:r>
          </w:p>
        </w:tc>
      </w:tr>
    </w:tbl>
    <w:p w:rsidR="00485094" w:rsidRDefault="00485094" w:rsidP="003976C8">
      <w:pPr>
        <w:pStyle w:val="Bodytext"/>
        <w:rPr>
          <w:sz w:val="16"/>
          <w:szCs w:val="16"/>
        </w:rPr>
      </w:pPr>
    </w:p>
    <w:p w:rsidR="00485094" w:rsidRDefault="00485094" w:rsidP="00227965">
      <w:pPr>
        <w:pStyle w:val="Bodytextreduced"/>
      </w:pPr>
      <w:bookmarkStart w:id="17" w:name="_Toc452181113"/>
      <w:bookmarkStart w:id="18" w:name="_Toc490373222"/>
      <w:bookmarkStart w:id="19" w:name="_Toc67394386"/>
      <w:bookmarkStart w:id="20" w:name="_Toc74537769"/>
      <w:bookmarkStart w:id="21" w:name="_Toc74537895"/>
      <w:bookmarkStart w:id="22" w:name="_Toc74537922"/>
      <w:bookmarkStart w:id="23" w:name="_Toc74538235"/>
      <w:bookmarkStart w:id="24" w:name="_Toc78886294"/>
      <w:bookmarkStart w:id="25" w:name="_Toc130807337"/>
    </w:p>
    <w:p w:rsidR="00485094" w:rsidRPr="00173D87" w:rsidRDefault="00485094" w:rsidP="00EA3D58">
      <w:pPr>
        <w:pStyle w:val="Bodytext"/>
        <w:rPr>
          <w:rFonts w:cs="Arial"/>
          <w:b/>
          <w:sz w:val="28"/>
          <w:szCs w:val="28"/>
        </w:rPr>
      </w:pPr>
      <w:r w:rsidRPr="00173D87">
        <w:rPr>
          <w:rFonts w:cs="Arial"/>
          <w:b/>
          <w:sz w:val="28"/>
          <w:szCs w:val="28"/>
        </w:rPr>
        <w:t>Ground Water Protection Program</w:t>
      </w:r>
    </w:p>
    <w:p w:rsidR="00485094" w:rsidRDefault="00485094" w:rsidP="00512DF2">
      <w:pPr>
        <w:pStyle w:val="Bodytextreduced"/>
      </w:pPr>
    </w:p>
    <w:p w:rsidR="00485094" w:rsidRDefault="00485094" w:rsidP="00DA4EA9">
      <w:pPr>
        <w:pStyle w:val="Bodytext"/>
      </w:pPr>
      <w:r>
        <w:t xml:space="preserve">Available ground water monitoring program data were assessed to determine the overall quality of ground water relative to several categories of </w:t>
      </w:r>
      <w:r w:rsidRPr="00380A2E">
        <w:t>primary ground water M</w:t>
      </w:r>
      <w:r>
        <w:t xml:space="preserve">aximum </w:t>
      </w:r>
      <w:r w:rsidRPr="00380A2E">
        <w:t>C</w:t>
      </w:r>
      <w:r>
        <w:t>ontaminant Levels (MC</w:t>
      </w:r>
      <w:r w:rsidRPr="00380A2E">
        <w:t>L</w:t>
      </w:r>
      <w:r>
        <w:t>s)</w:t>
      </w:r>
      <w:r w:rsidRPr="00380A2E">
        <w:t xml:space="preserve">.  </w:t>
      </w:r>
      <w:r>
        <w:t xml:space="preserve">The results, which are summarized in </w:t>
      </w:r>
      <w:r w:rsidRPr="00D76772">
        <w:rPr>
          <w:b/>
          <w:i/>
        </w:rPr>
        <w:t xml:space="preserve">Table </w:t>
      </w:r>
      <w:r>
        <w:rPr>
          <w:b/>
          <w:i/>
        </w:rPr>
        <w:t xml:space="preserve">10.1 </w:t>
      </w:r>
      <w:r w:rsidRPr="007F74BF">
        <w:t>in</w:t>
      </w:r>
      <w:r>
        <w:rPr>
          <w:b/>
          <w:i/>
        </w:rPr>
        <w:t xml:space="preserve"> </w:t>
      </w:r>
      <w:hyperlink w:anchor="_Chapter_10:_" w:history="1">
        <w:r w:rsidRPr="00664A18">
          <w:rPr>
            <w:rStyle w:val="Hyperlink"/>
          </w:rPr>
          <w:t>Chapter 10</w:t>
        </w:r>
      </w:hyperlink>
      <w:r>
        <w:rPr>
          <w:b/>
          <w:i/>
        </w:rPr>
        <w:t>,</w:t>
      </w:r>
      <w:r>
        <w:t xml:space="preserve"> indicate that bacteria (as total coliform) and salinity (as sodium) were </w:t>
      </w:r>
      <w:r w:rsidRPr="005B0A81">
        <w:t>the analyte group</w:t>
      </w:r>
      <w:r>
        <w:t>s</w:t>
      </w:r>
      <w:r w:rsidRPr="005B0A81">
        <w:t xml:space="preserve"> with the </w:t>
      </w:r>
      <w:r>
        <w:t>highest percentage of exceedances of the MCLs.  The Everglades, Everglades West Coast, Ochlockonee–St. Marks, and Southeast Coast–Biscayne Bay Basins have the highest number of wells exceeding the MCL for total coliform.  However, c</w:t>
      </w:r>
      <w:r w:rsidRPr="005B0A81">
        <w:t>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be scrutinized.  The statewide assessment shows that </w:t>
      </w:r>
      <w:r>
        <w:t xml:space="preserve">data from the past 2 years were similar to the 2000–07 median in the </w:t>
      </w:r>
      <w:r>
        <w:lastRenderedPageBreak/>
        <w:t xml:space="preserve">number of samples achieving the MCL (84% compared with 81%).  </w:t>
      </w:r>
      <w:r w:rsidRPr="006E16DB">
        <w:rPr>
          <w:b/>
          <w:i/>
        </w:rPr>
        <w:t>Table 10.1</w:t>
      </w:r>
      <w:r>
        <w:t xml:space="preserve"> shows the basins with the highest number of wells achieving the MCL.  </w:t>
      </w:r>
    </w:p>
    <w:bookmarkEnd w:id="17"/>
    <w:bookmarkEnd w:id="18"/>
    <w:bookmarkEnd w:id="19"/>
    <w:bookmarkEnd w:id="20"/>
    <w:bookmarkEnd w:id="21"/>
    <w:bookmarkEnd w:id="22"/>
    <w:bookmarkEnd w:id="23"/>
    <w:bookmarkEnd w:id="24"/>
    <w:bookmarkEnd w:id="25"/>
    <w:p w:rsidR="00485094" w:rsidRPr="0064329B" w:rsidRDefault="00485094">
      <w:pPr>
        <w:rPr>
          <w:rFonts w:ascii="Arial" w:hAnsi="Arial" w:cs="Arial"/>
          <w:b/>
          <w:sz w:val="16"/>
          <w:szCs w:val="16"/>
        </w:rPr>
      </w:pPr>
    </w:p>
    <w:p w:rsidR="00485094" w:rsidRPr="00173D87" w:rsidRDefault="00485094" w:rsidP="00EA3D58">
      <w:pPr>
        <w:rPr>
          <w:rFonts w:ascii="Arial" w:hAnsi="Arial" w:cs="Arial"/>
          <w:b/>
          <w:sz w:val="28"/>
          <w:szCs w:val="28"/>
        </w:rPr>
      </w:pPr>
      <w:r w:rsidRPr="00173D87">
        <w:rPr>
          <w:rFonts w:ascii="Arial" w:hAnsi="Arial" w:cs="Arial"/>
          <w:b/>
          <w:sz w:val="28"/>
          <w:szCs w:val="28"/>
        </w:rPr>
        <w:t>Conclu</w:t>
      </w:r>
      <w:r w:rsidRPr="00173D87">
        <w:rPr>
          <w:rFonts w:ascii="Arial" w:hAnsi="Arial" w:cs="Arial"/>
          <w:b/>
          <w:bCs/>
          <w:sz w:val="28"/>
          <w:szCs w:val="28"/>
        </w:rPr>
        <w:t>s</w:t>
      </w:r>
      <w:r w:rsidRPr="00173D87">
        <w:rPr>
          <w:rFonts w:ascii="Arial" w:hAnsi="Arial" w:cs="Arial"/>
          <w:b/>
          <w:sz w:val="28"/>
          <w:szCs w:val="28"/>
        </w:rPr>
        <w:t>ion</w:t>
      </w:r>
    </w:p>
    <w:p w:rsidR="00485094" w:rsidRDefault="00485094" w:rsidP="00512DF2">
      <w:pPr>
        <w:pStyle w:val="Bodytextreduced"/>
      </w:pPr>
    </w:p>
    <w:p w:rsidR="00485094" w:rsidRDefault="00485094" w:rsidP="00D04777">
      <w:pPr>
        <w:pStyle w:val="Bodytext"/>
      </w:pPr>
      <w:r>
        <w:t>Since the passage of the CWA, FDEP has made t</w:t>
      </w:r>
      <w:r w:rsidRPr="00850CAE">
        <w:t xml:space="preserve">remendous progress </w:t>
      </w:r>
      <w:r>
        <w:t xml:space="preserve">statewide </w:t>
      </w:r>
      <w:r w:rsidRPr="00850CAE">
        <w:t xml:space="preserve">in </w:t>
      </w:r>
      <w:r>
        <w:t xml:space="preserve">identifying and </w:t>
      </w:r>
      <w:r w:rsidRPr="00850CAE">
        <w:t xml:space="preserve">addressing </w:t>
      </w:r>
      <w:r>
        <w:t>surface and ground water contamination</w:t>
      </w:r>
      <w:r w:rsidRPr="00850CAE">
        <w:t xml:space="preserve">.  However, </w:t>
      </w:r>
      <w:r>
        <w:t>much more work remains to be done, especially in the face of</w:t>
      </w:r>
      <w:r w:rsidRPr="00850CAE">
        <w:t xml:space="preserve"> </w:t>
      </w:r>
      <w:r>
        <w:t>Florida’s continued</w:t>
      </w:r>
      <w:r w:rsidRPr="00850CAE">
        <w:t xml:space="preserve"> rapid population growth</w:t>
      </w:r>
      <w:r>
        <w:t xml:space="preserve">.  </w:t>
      </w:r>
    </w:p>
    <w:p w:rsidR="00485094" w:rsidRDefault="00485094" w:rsidP="00D04777">
      <w:pPr>
        <w:pStyle w:val="Bodytext"/>
      </w:pPr>
    </w:p>
    <w:p w:rsidR="00485094" w:rsidRDefault="00485094" w:rsidP="00D04777">
      <w:pPr>
        <w:pStyle w:val="Bodytext"/>
      </w:pPr>
      <w:r w:rsidRPr="00DC1473">
        <w:t xml:space="preserve">In cooperation with other agencies and stakeholders, FDEP </w:t>
      </w:r>
      <w:r>
        <w:t>continues to implement</w:t>
      </w:r>
      <w:r w:rsidRPr="00DC1473">
        <w:t xml:space="preserve"> </w:t>
      </w:r>
      <w:r>
        <w:t xml:space="preserve">numerous </w:t>
      </w:r>
      <w:r w:rsidRPr="00DC1473">
        <w:t xml:space="preserve">programs and activities to </w:t>
      </w:r>
      <w:r>
        <w:t xml:space="preserve">continue its goal of </w:t>
      </w:r>
      <w:r w:rsidRPr="00DC1473">
        <w:t>protect</w:t>
      </w:r>
      <w:r>
        <w:t>ing, managing,</w:t>
      </w:r>
      <w:r w:rsidRPr="00DC1473">
        <w:t xml:space="preserve"> and restor</w:t>
      </w:r>
      <w:r>
        <w:t>ing</w:t>
      </w:r>
      <w:r w:rsidRPr="00DC1473">
        <w:t xml:space="preserve"> </w:t>
      </w:r>
      <w:r>
        <w:t xml:space="preserve">the state’s surface </w:t>
      </w:r>
      <w:r w:rsidRPr="00DC1473">
        <w:t xml:space="preserve">water quality, </w:t>
      </w:r>
      <w:r>
        <w:t xml:space="preserve">aquatic </w:t>
      </w:r>
      <w:r w:rsidRPr="00DC1473">
        <w:t>habitat</w:t>
      </w:r>
      <w:r>
        <w:t>s,</w:t>
      </w:r>
      <w:r w:rsidRPr="00DC1473">
        <w:t xml:space="preserve"> </w:t>
      </w:r>
      <w:r>
        <w:t xml:space="preserve">and </w:t>
      </w:r>
      <w:r w:rsidRPr="00DC1473">
        <w:t>aquatic life, a</w:t>
      </w:r>
      <w:r>
        <w:t>s well as</w:t>
      </w:r>
      <w:r w:rsidRPr="00DC1473">
        <w:t xml:space="preserve"> potable water supplies</w:t>
      </w:r>
      <w:r>
        <w:t xml:space="preserve"> (see </w:t>
      </w:r>
      <w:hyperlink w:anchor="_Chapter_11:_" w:history="1">
        <w:r w:rsidRPr="00CA461C">
          <w:rPr>
            <w:rStyle w:val="Hyperlink"/>
          </w:rPr>
          <w:t>Chapter 11</w:t>
        </w:r>
      </w:hyperlink>
      <w:r>
        <w:t>)</w:t>
      </w:r>
      <w:r w:rsidRPr="00DC1473">
        <w:t>.</w:t>
      </w:r>
      <w:r>
        <w:t xml:space="preserve">  It has also </w:t>
      </w:r>
      <w:r w:rsidRPr="00DC1473">
        <w:t xml:space="preserve">identified </w:t>
      </w:r>
      <w:r>
        <w:t xml:space="preserve">a number of ongoing and emerging issues of concern (see </w:t>
      </w:r>
      <w:hyperlink w:anchor="_Chapter_3:_" w:history="1">
        <w:r w:rsidRPr="00CA461C">
          <w:rPr>
            <w:rStyle w:val="Hyperlink"/>
            <w:rFonts w:cs="Arial"/>
            <w:szCs w:val="22"/>
          </w:rPr>
          <w:t>Chapter 3</w:t>
        </w:r>
      </w:hyperlink>
      <w:r>
        <w:t>); FDEP’s current initiatives to address these issues include the following:</w:t>
      </w:r>
    </w:p>
    <w:p w:rsidR="00485094" w:rsidRDefault="00485094" w:rsidP="00EA3D58">
      <w:pPr>
        <w:rPr>
          <w:rFonts w:ascii="Arial" w:hAnsi="Arial" w:cs="Arial"/>
          <w:sz w:val="22"/>
          <w:szCs w:val="22"/>
        </w:rPr>
      </w:pPr>
    </w:p>
    <w:p w:rsidR="00485094" w:rsidRPr="009434AD" w:rsidRDefault="00485094" w:rsidP="009434AD">
      <w:pPr>
        <w:pStyle w:val="ListBullet"/>
      </w:pPr>
      <w:r w:rsidRPr="009434AD">
        <w:t xml:space="preserve">The development of numeric criteria to </w:t>
      </w:r>
      <w:r>
        <w:t xml:space="preserve">address </w:t>
      </w:r>
      <w:r w:rsidRPr="009434AD">
        <w:t xml:space="preserve">nutrient </w:t>
      </w:r>
      <w:r>
        <w:t>impairment</w:t>
      </w:r>
      <w:r w:rsidRPr="009434AD">
        <w:t xml:space="preserve"> of surface waters</w:t>
      </w:r>
      <w:r>
        <w:t>,</w:t>
      </w:r>
      <w:r w:rsidRPr="009434AD">
        <w:t xml:space="preserve"> caused by </w:t>
      </w:r>
      <w:r>
        <w:t xml:space="preserve">a variety of sources, including septic tanks, </w:t>
      </w:r>
      <w:r w:rsidRPr="009434AD">
        <w:t>higher fertilizer use</w:t>
      </w:r>
      <w:r>
        <w:t>,</w:t>
      </w:r>
      <w:r w:rsidRPr="009434AD">
        <w:t xml:space="preserve"> and increased number of residential landscapes accompanying </w:t>
      </w:r>
      <w:r>
        <w:t>the state’s</w:t>
      </w:r>
      <w:r w:rsidRPr="009434AD">
        <w:t xml:space="preserve"> growing population.</w:t>
      </w:r>
    </w:p>
    <w:p w:rsidR="00485094" w:rsidRPr="009434AD" w:rsidRDefault="00485094" w:rsidP="009434AD">
      <w:pPr>
        <w:pStyle w:val="ListBullet"/>
      </w:pPr>
      <w:r w:rsidRPr="009434AD">
        <w:t>An update of the state’s Stormwater Rule to</w:t>
      </w:r>
      <w:r>
        <w:t xml:space="preserve"> further</w:t>
      </w:r>
      <w:r w:rsidRPr="009434AD">
        <w:t xml:space="preserve"> reduce</w:t>
      </w:r>
      <w:r>
        <w:t xml:space="preserve"> </w:t>
      </w:r>
      <w:r w:rsidRPr="009434AD">
        <w:t>nutrient contamination in urban stormwater.</w:t>
      </w:r>
    </w:p>
    <w:p w:rsidR="00485094" w:rsidRPr="009434AD" w:rsidRDefault="00485094" w:rsidP="009434AD">
      <w:pPr>
        <w:pStyle w:val="ListBullet"/>
      </w:pPr>
      <w:r w:rsidRPr="009434AD">
        <w:t xml:space="preserve">The continued development and implementation of best management practices (BMPs) to </w:t>
      </w:r>
      <w:r>
        <w:t>further reduce</w:t>
      </w:r>
      <w:r w:rsidRPr="009434AD">
        <w:t xml:space="preserve"> contamination from agricultural runoff.</w:t>
      </w:r>
    </w:p>
    <w:p w:rsidR="00485094" w:rsidRPr="009434AD" w:rsidRDefault="00485094" w:rsidP="009434AD">
      <w:pPr>
        <w:pStyle w:val="ListBullet"/>
        <w:rPr>
          <w:szCs w:val="22"/>
        </w:rPr>
      </w:pPr>
      <w:r>
        <w:t>Continued</w:t>
      </w:r>
      <w:r w:rsidRPr="009434AD">
        <w:t xml:space="preserve"> monitoring and investigation of increased nitrate concentrations in springs that cause the overgrowth of aquatic plants—including blue-green algae, which </w:t>
      </w:r>
      <w:r>
        <w:t>can</w:t>
      </w:r>
      <w:r w:rsidRPr="009434AD">
        <w:t xml:space="preserve"> produce toxins</w:t>
      </w:r>
      <w:r>
        <w:t xml:space="preserve"> that affect humans and wildlife</w:t>
      </w:r>
      <w:r w:rsidRPr="009434AD">
        <w:t>.</w:t>
      </w:r>
    </w:p>
    <w:p w:rsidR="00485094" w:rsidRPr="009434AD" w:rsidRDefault="00485094" w:rsidP="009434AD">
      <w:pPr>
        <w:pStyle w:val="ListBullet"/>
        <w:rPr>
          <w:szCs w:val="22"/>
        </w:rPr>
      </w:pPr>
      <w:r w:rsidRPr="009434AD">
        <w:t xml:space="preserve">Scientific studies to quantify the reductions needed to address </w:t>
      </w:r>
      <w:r>
        <w:t xml:space="preserve">the </w:t>
      </w:r>
      <w:r w:rsidRPr="009434AD">
        <w:t>mercury impairment</w:t>
      </w:r>
      <w:r>
        <w:t xml:space="preserve"> of </w:t>
      </w:r>
      <w:r w:rsidRPr="009434AD">
        <w:t>surface waters statewide.</w:t>
      </w:r>
    </w:p>
    <w:p w:rsidR="00485094" w:rsidRPr="009434AD" w:rsidRDefault="00485094" w:rsidP="009434AD">
      <w:pPr>
        <w:pStyle w:val="ListBullet"/>
        <w:rPr>
          <w:szCs w:val="22"/>
        </w:rPr>
      </w:pPr>
      <w:r w:rsidRPr="009434AD">
        <w:t xml:space="preserve">The creation of a multiagency, statewide working group to address </w:t>
      </w:r>
      <w:r>
        <w:t xml:space="preserve">increased </w:t>
      </w:r>
      <w:r w:rsidRPr="009434AD">
        <w:t xml:space="preserve">saltwater intrusion and encroachment into freshwater supplies. </w:t>
      </w:r>
    </w:p>
    <w:p w:rsidR="00485094" w:rsidRPr="009434AD" w:rsidRDefault="00485094" w:rsidP="009434AD">
      <w:pPr>
        <w:pStyle w:val="ListBullet"/>
      </w:pPr>
      <w:r w:rsidRPr="009434AD">
        <w:t>An ongoing study to identify the best locations for potable water wells that will minimize the potential for arsenic contamination</w:t>
      </w:r>
      <w:r>
        <w:t>, which is a problem in a number of areas in the state</w:t>
      </w:r>
      <w:r w:rsidRPr="009434AD">
        <w:t>.</w:t>
      </w:r>
    </w:p>
    <w:p w:rsidR="00485094" w:rsidRPr="009434AD" w:rsidRDefault="00485094" w:rsidP="009434AD">
      <w:pPr>
        <w:pStyle w:val="ListBullet"/>
        <w:rPr>
          <w:szCs w:val="22"/>
        </w:rPr>
      </w:pPr>
      <w:r w:rsidRPr="009434AD">
        <w:t xml:space="preserve">The development of strategies for effectively addressing Emerging Substances of Concern (ESOC), which are man-made chemicals in many consumer goods such as pharmaceuticals and personal care products that </w:t>
      </w:r>
      <w:r>
        <w:t>have been found in</w:t>
      </w:r>
      <w:r w:rsidRPr="009434AD">
        <w:t xml:space="preserve"> water, soils, and the air.  </w:t>
      </w:r>
    </w:p>
    <w:p w:rsidR="00485094" w:rsidRPr="009434AD" w:rsidRDefault="00485094" w:rsidP="009434AD">
      <w:pPr>
        <w:pStyle w:val="ListBullet"/>
        <w:rPr>
          <w:szCs w:val="22"/>
        </w:rPr>
      </w:pPr>
      <w:r w:rsidRPr="009434AD">
        <w:t xml:space="preserve">The study of potential impacts on the state’s aquatic resources linked to </w:t>
      </w:r>
      <w:r>
        <w:t xml:space="preserve">the </w:t>
      </w:r>
      <w:r w:rsidRPr="009434AD">
        <w:t>increased acidification of</w:t>
      </w:r>
      <w:r>
        <w:t xml:space="preserve"> the nation’s coastal waters.</w:t>
      </w:r>
    </w:p>
    <w:p w:rsidR="00485094" w:rsidRPr="009434AD" w:rsidRDefault="00485094" w:rsidP="009434AD">
      <w:pPr>
        <w:pStyle w:val="ListBullet"/>
      </w:pPr>
      <w:r w:rsidRPr="009434AD">
        <w:t xml:space="preserve">The revision of fecal coliform criteria and methods </w:t>
      </w:r>
      <w:r>
        <w:t>to assess</w:t>
      </w:r>
      <w:r w:rsidRPr="009434AD">
        <w:t xml:space="preserve"> human health issues at beaches and shellfish-harvesting areas more rapid</w:t>
      </w:r>
      <w:r>
        <w:t>ly and accurately</w:t>
      </w:r>
      <w:r w:rsidRPr="009434AD">
        <w:t xml:space="preserve">.  </w:t>
      </w:r>
    </w:p>
    <w:p w:rsidR="00485094" w:rsidRPr="009434AD" w:rsidRDefault="00485094" w:rsidP="009434AD">
      <w:pPr>
        <w:pStyle w:val="ListBullet"/>
      </w:pPr>
      <w:r w:rsidRPr="009434AD">
        <w:t>The revision of DO criteria to more clearly define “natural conditions” and to better understand the natural variability of DO and nutrient levels in freshwater aquatic systems statewide.</w:t>
      </w:r>
    </w:p>
    <w:p w:rsidR="00485094" w:rsidRDefault="00485094"/>
    <w:p w:rsidR="00485094" w:rsidRDefault="00485094">
      <w:pPr>
        <w:sectPr w:rsidR="00485094" w:rsidSect="004637F9">
          <w:pgSz w:w="12240" w:h="15840" w:code="1"/>
          <w:pgMar w:top="1440" w:right="1440" w:bottom="1440" w:left="1440" w:header="720" w:footer="720" w:gutter="0"/>
          <w:paperSrc w:first="261"/>
          <w:pgNumType w:fmt="lowerRoman"/>
          <w:cols w:space="720"/>
          <w:docGrid w:linePitch="360"/>
        </w:sectPr>
      </w:pPr>
    </w:p>
    <w:p w:rsidR="00FC6EE0" w:rsidRDefault="00FC6EE0" w:rsidP="00FC6EE0">
      <w:pPr>
        <w:pStyle w:val="Bodytextreduced"/>
      </w:pPr>
      <w:bookmarkStart w:id="26" w:name="_Toc255822480"/>
    </w:p>
    <w:p w:rsidR="00485094" w:rsidRPr="00DF1487" w:rsidRDefault="00485094" w:rsidP="00DF1487">
      <w:pPr>
        <w:pStyle w:val="Heading1"/>
      </w:pPr>
      <w:bookmarkStart w:id="27" w:name="_Toc271794292"/>
      <w:r w:rsidRPr="00DF1487">
        <w:t>Chapter 1:  Introduction</w:t>
      </w:r>
      <w:bookmarkEnd w:id="26"/>
      <w:bookmarkEnd w:id="27"/>
    </w:p>
    <w:p w:rsidR="00485094" w:rsidRDefault="00485094" w:rsidP="003E3BEB">
      <w:pPr>
        <w:pStyle w:val="Bodytextreduced"/>
        <w:rPr>
          <w:snapToGrid w:val="0"/>
        </w:rPr>
      </w:pPr>
      <w:bookmarkStart w:id="28" w:name="_Toc74537756"/>
      <w:bookmarkStart w:id="29" w:name="_Toc74537891"/>
      <w:bookmarkStart w:id="30" w:name="_Toc74537909"/>
      <w:bookmarkStart w:id="31" w:name="_Toc74538231"/>
      <w:bookmarkStart w:id="32" w:name="_Toc78886281"/>
      <w:bookmarkStart w:id="33" w:name="_Toc255822481"/>
      <w:bookmarkStart w:id="34" w:name="_Toc67394374"/>
    </w:p>
    <w:p w:rsidR="00485094" w:rsidRDefault="00B2471C" w:rsidP="004A09CC">
      <w:pPr>
        <w:pStyle w:val="Heading2"/>
        <w:rPr>
          <w:snapToGrid w:val="0"/>
        </w:rPr>
      </w:pPr>
      <w:r>
        <w:rPr>
          <w:noProof/>
        </w:rPr>
        <w:pict>
          <v:shape id="_x0000_s1034" type="#_x0000_t202" alt="Text Box: Contents&#10;&#10;• Chapter 1 provides background information on the federal assessment and reporting requirements and how they are integrated into Florida’s watershed management approach.  &#10;• Chapter 2 contains background information on the state’s population, surface water and ground water resources, climate, and hydrogeology.  &#10;• Chapter 3 summarizes Florida’s water resource management program to monitor and protect surface and ground water resources, discusses ongoing efforts to understand and address major water quality and public health issues, and summarizes ongoing state concerns and initiatives.&#10;• Chapter 4 discusses Florida’s general approach to monitoring surface water and ground water.&#10;• Chapter 5 describes the statewide Status and Trend Monitoring Networks.  These surface and ground water ambient monitoring programs allow estimates of the percentage of waters statewide that meet/do not meet water quality thresholds for their designated uses, or track changes in water quality over time.&#10;•  Chapter 6 summarizes the results of the Status Monitoring Network from 2004 through 2008, as well as long-term trends in surface and ground water quality.&#10;• Chapter 7 describes the Strategic Monitoring design. &#10;• Chapter 8 summarizes the significant surface water quality findings for Strategic Monitoring and the attainment of designated uses for rivers and streams, lakes, estuaries, and coastal waters.&#10;• Chapter 9 discusses the state’s ground water monitoring programs.&#10;• Chapter 10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10;• The Appendices, which are in a separate document, provide background information and supporting data.&#10;&#10;" style="position:absolute;margin-left:-2.8pt;margin-top:9.15pt;width:286.5pt;height:561.55pt;z-index:-251673088;mso-wrap-distance-right:21.6pt;mso-width-relative:margin;mso-height-relative:margin" wrapcoords="-466 -233 -466 21367 -175 21571 21658 21571 21600 -29 21192 -233 -466 -233" fillcolor="#ffc">
            <v:shadow on="t" opacity=".5" offset="-6pt,-6pt"/>
            <v:textbox style="mso-next-textbox:#_x0000_s1034">
              <w:txbxContent>
                <w:p w:rsidR="00366909" w:rsidRDefault="00366909" w:rsidP="004637F9">
                  <w:pPr>
                    <w:pStyle w:val="Bodytextreduced"/>
                  </w:pPr>
                </w:p>
                <w:p w:rsidR="00366909" w:rsidRPr="00133BE6" w:rsidRDefault="00366909" w:rsidP="00FE0955">
                  <w:pPr>
                    <w:jc w:val="center"/>
                    <w:rPr>
                      <w:rFonts w:ascii="Arial" w:hAnsi="Arial" w:cs="Arial"/>
                      <w:b/>
                      <w:i/>
                      <w:sz w:val="28"/>
                      <w:szCs w:val="28"/>
                    </w:rPr>
                  </w:pPr>
                  <w:r>
                    <w:rPr>
                      <w:rFonts w:ascii="Arial" w:hAnsi="Arial" w:cs="Arial"/>
                      <w:b/>
                      <w:i/>
                      <w:sz w:val="28"/>
                      <w:szCs w:val="28"/>
                    </w:rPr>
                    <w:t>Contents</w:t>
                  </w:r>
                </w:p>
                <w:p w:rsidR="00366909" w:rsidRPr="00FE0955" w:rsidRDefault="00366909" w:rsidP="00FE0955">
                  <w:pPr>
                    <w:rPr>
                      <w:rFonts w:ascii="Arial" w:hAnsi="Arial" w:cs="Arial"/>
                      <w:b/>
                      <w:sz w:val="22"/>
                      <w:szCs w:val="22"/>
                    </w:rPr>
                  </w:pPr>
                </w:p>
                <w:p w:rsidR="00366909" w:rsidRDefault="00366909">
                  <w:pPr>
                    <w:numPr>
                      <w:ilvl w:val="0"/>
                      <w:numId w:val="16"/>
                    </w:numPr>
                    <w:spacing w:after="60"/>
                    <w:rPr>
                      <w:rStyle w:val="ListBulletChar"/>
                      <w:rFonts w:cs="Arial"/>
                      <w:i w:val="0"/>
                      <w:sz w:val="20"/>
                      <w:szCs w:val="20"/>
                    </w:rPr>
                  </w:pPr>
                  <w:r w:rsidRPr="00FE0955">
                    <w:rPr>
                      <w:rStyle w:val="ListBulletChar"/>
                      <w:b/>
                      <w:sz w:val="20"/>
                      <w:szCs w:val="20"/>
                    </w:rPr>
                    <w:t>Chapter 1</w:t>
                  </w:r>
                  <w:r w:rsidRPr="00FE0955">
                    <w:rPr>
                      <w:rStyle w:val="ListBulletChar"/>
                      <w:sz w:val="20"/>
                      <w:szCs w:val="20"/>
                    </w:rPr>
                    <w:t xml:space="preserve"> provides background information on the federal assessment and reporting requirements and how the</w:t>
                  </w:r>
                  <w:r>
                    <w:rPr>
                      <w:rStyle w:val="ListBulletChar"/>
                      <w:sz w:val="20"/>
                      <w:szCs w:val="20"/>
                    </w:rPr>
                    <w:t>y</w:t>
                  </w:r>
                  <w:r w:rsidRPr="00FE0955">
                    <w:rPr>
                      <w:rStyle w:val="ListBulletChar"/>
                      <w:sz w:val="20"/>
                      <w:szCs w:val="20"/>
                    </w:rPr>
                    <w:t xml:space="preserve"> are integrated into Florida’s watershed management approach.  </w:t>
                  </w:r>
                </w:p>
                <w:p w:rsidR="00366909" w:rsidRDefault="00366909">
                  <w:pPr>
                    <w:numPr>
                      <w:ilvl w:val="0"/>
                      <w:numId w:val="16"/>
                    </w:numPr>
                    <w:spacing w:after="60"/>
                    <w:rPr>
                      <w:rStyle w:val="ListBulletChar"/>
                      <w:rFonts w:cs="Arial"/>
                      <w:i w:val="0"/>
                      <w:sz w:val="20"/>
                      <w:szCs w:val="20"/>
                    </w:rPr>
                  </w:pPr>
                  <w:r w:rsidRPr="00FE0955">
                    <w:rPr>
                      <w:rStyle w:val="ListBulletChar"/>
                      <w:b/>
                      <w:sz w:val="20"/>
                      <w:szCs w:val="20"/>
                    </w:rPr>
                    <w:t>Chapter 2</w:t>
                  </w:r>
                  <w:r w:rsidRPr="00FE0955">
                    <w:rPr>
                      <w:rStyle w:val="ListBulletChar"/>
                      <w:sz w:val="20"/>
                      <w:szCs w:val="20"/>
                    </w:rPr>
                    <w:t xml:space="preserve"> contains background information on the state’s population, surface water and ground water resources, climate, and hydrogeology.  </w:t>
                  </w:r>
                </w:p>
                <w:p w:rsidR="00366909" w:rsidRDefault="00366909">
                  <w:pPr>
                    <w:numPr>
                      <w:ilvl w:val="0"/>
                      <w:numId w:val="16"/>
                    </w:numPr>
                    <w:spacing w:after="60"/>
                    <w:rPr>
                      <w:rStyle w:val="ListBulletChar"/>
                      <w:rFonts w:cs="Arial"/>
                      <w:i w:val="0"/>
                      <w:sz w:val="20"/>
                      <w:szCs w:val="20"/>
                    </w:rPr>
                  </w:pPr>
                  <w:r w:rsidRPr="00FE0955">
                    <w:rPr>
                      <w:rStyle w:val="ListBulletChar"/>
                      <w:b/>
                      <w:sz w:val="20"/>
                      <w:szCs w:val="20"/>
                    </w:rPr>
                    <w:t>Chapter 3</w:t>
                  </w:r>
                  <w:r w:rsidRPr="00FE0955">
                    <w:rPr>
                      <w:rStyle w:val="ListBulletChar"/>
                      <w:sz w:val="20"/>
                      <w:szCs w:val="20"/>
                    </w:rPr>
                    <w:t xml:space="preserve"> summarizes </w:t>
                  </w:r>
                  <w:r>
                    <w:rPr>
                      <w:rStyle w:val="ListBulletChar"/>
                      <w:sz w:val="20"/>
                      <w:szCs w:val="20"/>
                    </w:rPr>
                    <w:t>ongoing public health issues and emerging state concerns and initiatives</w:t>
                  </w:r>
                  <w:r w:rsidRPr="00FE0955">
                    <w:rPr>
                      <w:rStyle w:val="ListBulletChar"/>
                      <w:sz w:val="20"/>
                      <w:szCs w:val="20"/>
                    </w:rPr>
                    <w:t>.</w:t>
                  </w:r>
                </w:p>
                <w:p w:rsidR="00366909" w:rsidRDefault="00366909">
                  <w:pPr>
                    <w:numPr>
                      <w:ilvl w:val="0"/>
                      <w:numId w:val="16"/>
                    </w:numPr>
                    <w:spacing w:after="60"/>
                    <w:rPr>
                      <w:rStyle w:val="ListBulletChar"/>
                      <w:rFonts w:cs="Arial"/>
                      <w:i w:val="0"/>
                      <w:sz w:val="20"/>
                      <w:szCs w:val="20"/>
                    </w:rPr>
                  </w:pPr>
                  <w:r w:rsidRPr="00FE0955">
                    <w:rPr>
                      <w:rStyle w:val="ListBulletChar"/>
                      <w:b/>
                      <w:sz w:val="20"/>
                      <w:szCs w:val="20"/>
                    </w:rPr>
                    <w:t>Chapter 4</w:t>
                  </w:r>
                  <w:r w:rsidRPr="00FE0955">
                    <w:rPr>
                      <w:rStyle w:val="ListBulletChar"/>
                      <w:sz w:val="20"/>
                      <w:szCs w:val="20"/>
                    </w:rPr>
                    <w:t xml:space="preserve"> </w:t>
                  </w:r>
                  <w:r>
                    <w:rPr>
                      <w:rStyle w:val="ListBulletChar"/>
                      <w:sz w:val="20"/>
                      <w:szCs w:val="20"/>
                    </w:rPr>
                    <w:t>discusses</w:t>
                  </w:r>
                  <w:r w:rsidRPr="00FE0955">
                    <w:rPr>
                      <w:rStyle w:val="ListBulletChar"/>
                      <w:sz w:val="20"/>
                      <w:szCs w:val="20"/>
                    </w:rPr>
                    <w:t xml:space="preserve"> Florida’s </w:t>
                  </w:r>
                  <w:r>
                    <w:rPr>
                      <w:rStyle w:val="ListBulletChar"/>
                      <w:sz w:val="20"/>
                      <w:szCs w:val="20"/>
                    </w:rPr>
                    <w:t xml:space="preserve">general </w:t>
                  </w:r>
                  <w:r w:rsidRPr="00FE0955">
                    <w:rPr>
                      <w:rStyle w:val="ListBulletChar"/>
                      <w:sz w:val="20"/>
                      <w:szCs w:val="20"/>
                    </w:rPr>
                    <w:t>approach to monitoring s</w:t>
                  </w:r>
                  <w:r>
                    <w:rPr>
                      <w:rStyle w:val="ListBulletChar"/>
                      <w:sz w:val="20"/>
                      <w:szCs w:val="20"/>
                    </w:rPr>
                    <w:t>urface water and ground water.</w:t>
                  </w:r>
                </w:p>
                <w:p w:rsidR="00366909" w:rsidRDefault="00366909">
                  <w:pPr>
                    <w:numPr>
                      <w:ilvl w:val="0"/>
                      <w:numId w:val="16"/>
                    </w:numPr>
                    <w:spacing w:after="60"/>
                    <w:rPr>
                      <w:rStyle w:val="ListBulletChar"/>
                      <w:rFonts w:cs="Arial"/>
                      <w:i w:val="0"/>
                      <w:sz w:val="20"/>
                      <w:szCs w:val="20"/>
                    </w:rPr>
                  </w:pPr>
                  <w:r w:rsidRPr="00FE0955">
                    <w:rPr>
                      <w:rStyle w:val="ListBulletChar"/>
                      <w:b/>
                      <w:sz w:val="20"/>
                      <w:szCs w:val="20"/>
                    </w:rPr>
                    <w:t>Chapter 5</w:t>
                  </w:r>
                  <w:r w:rsidRPr="00FE0955">
                    <w:rPr>
                      <w:rStyle w:val="ListBulletChar"/>
                      <w:sz w:val="20"/>
                      <w:szCs w:val="20"/>
                    </w:rPr>
                    <w:t xml:space="preserve"> </w:t>
                  </w:r>
                  <w:r>
                    <w:rPr>
                      <w:rStyle w:val="ListBulletChar"/>
                      <w:sz w:val="20"/>
                      <w:szCs w:val="20"/>
                    </w:rPr>
                    <w:t>describes</w:t>
                  </w:r>
                  <w:r w:rsidRPr="00FE0955">
                    <w:rPr>
                      <w:rStyle w:val="ListBulletChar"/>
                      <w:sz w:val="20"/>
                      <w:szCs w:val="20"/>
                    </w:rPr>
                    <w:t xml:space="preserve"> the </w:t>
                  </w:r>
                  <w:r>
                    <w:rPr>
                      <w:rStyle w:val="ListBulletChar"/>
                      <w:sz w:val="20"/>
                      <w:szCs w:val="20"/>
                    </w:rPr>
                    <w:t xml:space="preserve">statewide </w:t>
                  </w:r>
                  <w:r w:rsidRPr="00FE0955">
                    <w:rPr>
                      <w:rStyle w:val="ListBulletChar"/>
                      <w:sz w:val="20"/>
                      <w:szCs w:val="20"/>
                    </w:rPr>
                    <w:t xml:space="preserve">Status </w:t>
                  </w:r>
                  <w:r>
                    <w:rPr>
                      <w:rStyle w:val="ListBulletChar"/>
                      <w:sz w:val="20"/>
                      <w:szCs w:val="20"/>
                    </w:rPr>
                    <w:t xml:space="preserve">and Trend Monitoring </w:t>
                  </w:r>
                  <w:r w:rsidRPr="00FE0955">
                    <w:rPr>
                      <w:rStyle w:val="ListBulletChar"/>
                      <w:sz w:val="20"/>
                      <w:szCs w:val="20"/>
                    </w:rPr>
                    <w:t>Network</w:t>
                  </w:r>
                  <w:r>
                    <w:rPr>
                      <w:rStyle w:val="ListBulletChar"/>
                      <w:sz w:val="20"/>
                      <w:szCs w:val="20"/>
                    </w:rPr>
                    <w:t>s.  These surface and ground water ambient</w:t>
                  </w:r>
                  <w:r w:rsidRPr="00FE0955">
                    <w:rPr>
                      <w:rStyle w:val="ListBulletChar"/>
                      <w:sz w:val="20"/>
                      <w:szCs w:val="20"/>
                    </w:rPr>
                    <w:t xml:space="preserve"> </w:t>
                  </w:r>
                  <w:r>
                    <w:rPr>
                      <w:rStyle w:val="ListBulletChar"/>
                      <w:sz w:val="20"/>
                      <w:szCs w:val="20"/>
                    </w:rPr>
                    <w:t xml:space="preserve">monitoring programs allow </w:t>
                  </w:r>
                  <w:r w:rsidRPr="00FE0955">
                    <w:rPr>
                      <w:rStyle w:val="ListBulletChar"/>
                      <w:sz w:val="20"/>
                      <w:szCs w:val="20"/>
                    </w:rPr>
                    <w:t xml:space="preserve">estimates </w:t>
                  </w:r>
                  <w:r>
                    <w:rPr>
                      <w:rStyle w:val="ListBulletChar"/>
                      <w:sz w:val="20"/>
                      <w:szCs w:val="20"/>
                    </w:rPr>
                    <w:t xml:space="preserve">of </w:t>
                  </w:r>
                  <w:r w:rsidRPr="00FE0955">
                    <w:rPr>
                      <w:rStyle w:val="ListBulletChar"/>
                      <w:sz w:val="20"/>
                      <w:szCs w:val="20"/>
                    </w:rPr>
                    <w:t xml:space="preserve">the percentage of waters statewide that meet/do not meet water quality thresholds for </w:t>
                  </w:r>
                  <w:r>
                    <w:rPr>
                      <w:rStyle w:val="ListBulletChar"/>
                      <w:sz w:val="20"/>
                      <w:szCs w:val="20"/>
                    </w:rPr>
                    <w:t xml:space="preserve">their </w:t>
                  </w:r>
                  <w:r w:rsidRPr="00FE0955">
                    <w:rPr>
                      <w:rStyle w:val="ListBulletChar"/>
                      <w:sz w:val="20"/>
                      <w:szCs w:val="20"/>
                    </w:rPr>
                    <w:t>designated uses</w:t>
                  </w:r>
                  <w:r>
                    <w:rPr>
                      <w:rStyle w:val="ListBulletChar"/>
                      <w:sz w:val="20"/>
                      <w:szCs w:val="20"/>
                    </w:rPr>
                    <w:t>, or track changes in water quality over time.</w:t>
                  </w:r>
                </w:p>
                <w:p w:rsidR="00366909" w:rsidRDefault="00366909">
                  <w:pPr>
                    <w:numPr>
                      <w:ilvl w:val="0"/>
                      <w:numId w:val="16"/>
                    </w:numPr>
                    <w:spacing w:after="60"/>
                    <w:rPr>
                      <w:rStyle w:val="ListBulletChar"/>
                      <w:rFonts w:cs="Arial"/>
                      <w:i w:val="0"/>
                      <w:sz w:val="20"/>
                      <w:szCs w:val="20"/>
                    </w:rPr>
                  </w:pPr>
                  <w:r w:rsidRPr="00FE0955">
                    <w:rPr>
                      <w:rStyle w:val="ListBulletChar"/>
                      <w:sz w:val="20"/>
                      <w:szCs w:val="20"/>
                    </w:rPr>
                    <w:t xml:space="preserve"> </w:t>
                  </w:r>
                  <w:r w:rsidRPr="00650C23">
                    <w:rPr>
                      <w:rStyle w:val="ListBulletChar"/>
                      <w:b/>
                      <w:sz w:val="20"/>
                      <w:szCs w:val="20"/>
                    </w:rPr>
                    <w:t>Chapter 6</w:t>
                  </w:r>
                  <w:r w:rsidRPr="00650C23">
                    <w:rPr>
                      <w:rStyle w:val="ListBulletChar"/>
                      <w:sz w:val="20"/>
                      <w:szCs w:val="20"/>
                    </w:rPr>
                    <w:t xml:space="preserve"> summarizes the results of the Status Monitoring Network from 2004 through 2008, as well as long-term trends in surface and ground water quality.</w:t>
                  </w:r>
                </w:p>
                <w:p w:rsidR="00366909" w:rsidRDefault="00366909">
                  <w:pPr>
                    <w:numPr>
                      <w:ilvl w:val="0"/>
                      <w:numId w:val="16"/>
                    </w:numPr>
                    <w:spacing w:after="60"/>
                    <w:rPr>
                      <w:rStyle w:val="ListBulletChar"/>
                      <w:rFonts w:cs="Arial"/>
                      <w:i w:val="0"/>
                      <w:sz w:val="20"/>
                      <w:szCs w:val="20"/>
                    </w:rPr>
                  </w:pPr>
                  <w:r>
                    <w:rPr>
                      <w:rStyle w:val="ListBulletChar"/>
                      <w:b/>
                      <w:sz w:val="20"/>
                      <w:szCs w:val="20"/>
                    </w:rPr>
                    <w:t>Chapter 7</w:t>
                  </w:r>
                  <w:r>
                    <w:rPr>
                      <w:rStyle w:val="ListBulletChar"/>
                      <w:sz w:val="20"/>
                      <w:szCs w:val="20"/>
                    </w:rPr>
                    <w:t xml:space="preserve"> describes the Strategic Monitoring design. </w:t>
                  </w:r>
                </w:p>
                <w:p w:rsidR="00366909" w:rsidRDefault="00366909">
                  <w:pPr>
                    <w:numPr>
                      <w:ilvl w:val="0"/>
                      <w:numId w:val="16"/>
                    </w:numPr>
                    <w:spacing w:after="60"/>
                    <w:rPr>
                      <w:rStyle w:val="ListBulletChar"/>
                      <w:rFonts w:cs="Arial"/>
                      <w:i w:val="0"/>
                      <w:sz w:val="20"/>
                      <w:szCs w:val="20"/>
                    </w:rPr>
                  </w:pPr>
                  <w:r>
                    <w:rPr>
                      <w:rStyle w:val="ListBulletChar"/>
                      <w:b/>
                      <w:sz w:val="20"/>
                      <w:szCs w:val="20"/>
                    </w:rPr>
                    <w:t>Chapter 8</w:t>
                  </w:r>
                  <w:r>
                    <w:rPr>
                      <w:rStyle w:val="ListBulletChar"/>
                      <w:sz w:val="20"/>
                      <w:szCs w:val="20"/>
                    </w:rPr>
                    <w:t xml:space="preserve"> summarizes the significant surface water quality findings for</w:t>
                  </w:r>
                  <w:r w:rsidRPr="00826CA0">
                    <w:rPr>
                      <w:rStyle w:val="ListBulletChar"/>
                      <w:sz w:val="20"/>
                      <w:szCs w:val="20"/>
                    </w:rPr>
                    <w:t xml:space="preserve"> Strategic Monitoring</w:t>
                  </w:r>
                  <w:r w:rsidRPr="00650C23">
                    <w:rPr>
                      <w:rStyle w:val="ListBulletChar"/>
                      <w:sz w:val="20"/>
                      <w:szCs w:val="20"/>
                    </w:rPr>
                    <w:t xml:space="preserve"> and the attainment of designated uses for rivers and streams, lakes, estuaries, and coastal waters.</w:t>
                  </w:r>
                </w:p>
                <w:p w:rsidR="00366909" w:rsidRDefault="00366909">
                  <w:pPr>
                    <w:numPr>
                      <w:ilvl w:val="0"/>
                      <w:numId w:val="16"/>
                    </w:numPr>
                    <w:spacing w:after="60"/>
                    <w:rPr>
                      <w:rFonts w:ascii="Arial" w:hAnsi="Arial" w:cs="Arial"/>
                      <w:i/>
                      <w:sz w:val="20"/>
                      <w:szCs w:val="20"/>
                    </w:rPr>
                  </w:pPr>
                  <w:r w:rsidRPr="00FE0955">
                    <w:rPr>
                      <w:rStyle w:val="ListBulletChar"/>
                      <w:rFonts w:cs="Arial"/>
                      <w:b/>
                      <w:sz w:val="20"/>
                      <w:szCs w:val="20"/>
                    </w:rPr>
                    <w:t xml:space="preserve">Chapter 9 </w:t>
                  </w:r>
                  <w:r>
                    <w:rPr>
                      <w:rStyle w:val="ListBulletChar"/>
                      <w:rFonts w:cs="Arial"/>
                      <w:sz w:val="20"/>
                      <w:szCs w:val="20"/>
                    </w:rPr>
                    <w:t>discusses</w:t>
                  </w:r>
                  <w:r w:rsidRPr="00FE0955">
                    <w:rPr>
                      <w:rStyle w:val="ListBulletChar"/>
                      <w:rFonts w:cs="Arial"/>
                      <w:sz w:val="20"/>
                      <w:szCs w:val="20"/>
                    </w:rPr>
                    <w:t xml:space="preserve"> the state’s ground water</w:t>
                  </w:r>
                  <w:r w:rsidRPr="00FE0955">
                    <w:rPr>
                      <w:rFonts w:ascii="Arial" w:hAnsi="Arial" w:cs="Arial"/>
                      <w:i/>
                      <w:sz w:val="20"/>
                      <w:szCs w:val="20"/>
                    </w:rPr>
                    <w:t xml:space="preserve"> monitoring program</w:t>
                  </w:r>
                  <w:r>
                    <w:rPr>
                      <w:rFonts w:ascii="Arial" w:hAnsi="Arial" w:cs="Arial"/>
                      <w:i/>
                      <w:sz w:val="20"/>
                      <w:szCs w:val="20"/>
                    </w:rPr>
                    <w:t>s.</w:t>
                  </w:r>
                </w:p>
                <w:p w:rsidR="00366909" w:rsidRDefault="00366909">
                  <w:pPr>
                    <w:numPr>
                      <w:ilvl w:val="0"/>
                      <w:numId w:val="16"/>
                    </w:numPr>
                    <w:spacing w:after="60"/>
                    <w:rPr>
                      <w:rFonts w:ascii="Arial" w:hAnsi="Arial" w:cs="Arial"/>
                      <w:i/>
                      <w:sz w:val="20"/>
                      <w:szCs w:val="20"/>
                    </w:rPr>
                  </w:pPr>
                  <w:r w:rsidRPr="005B1607">
                    <w:rPr>
                      <w:rStyle w:val="ListBulletChar"/>
                      <w:rFonts w:cs="Arial"/>
                      <w:b/>
                      <w:sz w:val="20"/>
                      <w:szCs w:val="20"/>
                    </w:rPr>
                    <w:t>Chapter 10</w:t>
                  </w:r>
                  <w:r w:rsidRPr="005B1607">
                    <w:rPr>
                      <w:rFonts w:ascii="Arial" w:hAnsi="Arial" w:cs="Arial"/>
                      <w:i/>
                      <w:sz w:val="20"/>
                      <w:szCs w:val="20"/>
                    </w:rPr>
                    <w:t xml:space="preserve"> presents significant ground water quality findings, summarizes ground water contaminant sources, and characterizes ground water–surface water interactions.  Evaluating ground water resources is particularly important because 90% of the state’s drinking water supplies come from ground water.  </w:t>
                  </w:r>
                </w:p>
                <w:p w:rsidR="00366909" w:rsidRDefault="00366909">
                  <w:pPr>
                    <w:numPr>
                      <w:ilvl w:val="0"/>
                      <w:numId w:val="16"/>
                    </w:numPr>
                    <w:spacing w:after="60"/>
                    <w:rPr>
                      <w:rFonts w:ascii="Arial" w:hAnsi="Arial" w:cs="Arial"/>
                      <w:i/>
                      <w:sz w:val="20"/>
                      <w:szCs w:val="20"/>
                    </w:rPr>
                  </w:pPr>
                  <w:r>
                    <w:rPr>
                      <w:rStyle w:val="ListBulletChar"/>
                      <w:rFonts w:cs="Arial"/>
                      <w:b/>
                      <w:sz w:val="20"/>
                      <w:szCs w:val="20"/>
                    </w:rPr>
                    <w:t xml:space="preserve">Chapter 11 </w:t>
                  </w:r>
                  <w:r w:rsidRPr="00CA461C">
                    <w:rPr>
                      <w:rStyle w:val="ListBulletChar"/>
                      <w:rFonts w:cs="Arial"/>
                      <w:sz w:val="20"/>
                      <w:szCs w:val="20"/>
                    </w:rPr>
                    <w:t>describes</w:t>
                  </w:r>
                  <w:r>
                    <w:rPr>
                      <w:rStyle w:val="ListBulletChar"/>
                      <w:rFonts w:cs="Arial"/>
                      <w:b/>
                      <w:sz w:val="20"/>
                      <w:szCs w:val="20"/>
                    </w:rPr>
                    <w:t xml:space="preserve"> </w:t>
                  </w:r>
                  <w:r w:rsidRPr="00FE0955">
                    <w:rPr>
                      <w:rStyle w:val="ListBulletChar"/>
                      <w:sz w:val="20"/>
                      <w:szCs w:val="20"/>
                    </w:rPr>
                    <w:t xml:space="preserve">Florida’s </w:t>
                  </w:r>
                  <w:r>
                    <w:rPr>
                      <w:rStyle w:val="ListBulletChar"/>
                      <w:sz w:val="20"/>
                      <w:szCs w:val="20"/>
                    </w:rPr>
                    <w:t xml:space="preserve">water resource management </w:t>
                  </w:r>
                  <w:r w:rsidRPr="00605932">
                    <w:rPr>
                      <w:rStyle w:val="ListBulletChar"/>
                      <w:sz w:val="20"/>
                      <w:szCs w:val="20"/>
                    </w:rPr>
                    <w:t>program to monitor</w:t>
                  </w:r>
                  <w:r>
                    <w:rPr>
                      <w:rStyle w:val="ListBulletChar"/>
                      <w:sz w:val="20"/>
                      <w:szCs w:val="20"/>
                    </w:rPr>
                    <w:t xml:space="preserve"> and protect surface </w:t>
                  </w:r>
                  <w:r w:rsidRPr="00FE0955">
                    <w:rPr>
                      <w:rStyle w:val="ListBulletChar"/>
                      <w:sz w:val="20"/>
                      <w:szCs w:val="20"/>
                    </w:rPr>
                    <w:t>water resources</w:t>
                  </w:r>
                  <w:r>
                    <w:rPr>
                      <w:rStyle w:val="ListBulletChar"/>
                      <w:sz w:val="20"/>
                      <w:szCs w:val="20"/>
                    </w:rPr>
                    <w:t>.</w:t>
                  </w:r>
                </w:p>
                <w:p w:rsidR="00366909" w:rsidRDefault="00366909">
                  <w:pPr>
                    <w:numPr>
                      <w:ilvl w:val="0"/>
                      <w:numId w:val="16"/>
                    </w:numPr>
                    <w:spacing w:after="60"/>
                    <w:rPr>
                      <w:rFonts w:ascii="Arial" w:hAnsi="Arial" w:cs="Arial"/>
                      <w:i/>
                      <w:sz w:val="20"/>
                      <w:szCs w:val="20"/>
                    </w:rPr>
                  </w:pPr>
                  <w:r>
                    <w:rPr>
                      <w:rFonts w:ascii="Arial" w:hAnsi="Arial" w:cs="Arial"/>
                      <w:i/>
                      <w:sz w:val="20"/>
                      <w:szCs w:val="20"/>
                    </w:rPr>
                    <w:t xml:space="preserve">The </w:t>
                  </w:r>
                  <w:r w:rsidRPr="00FE0955">
                    <w:rPr>
                      <w:rFonts w:ascii="Arial" w:hAnsi="Arial" w:cs="Arial"/>
                      <w:b/>
                      <w:i/>
                      <w:sz w:val="20"/>
                      <w:szCs w:val="20"/>
                    </w:rPr>
                    <w:t>Appendices</w:t>
                  </w:r>
                  <w:r>
                    <w:rPr>
                      <w:rFonts w:ascii="Arial" w:hAnsi="Arial" w:cs="Arial"/>
                      <w:i/>
                      <w:sz w:val="20"/>
                      <w:szCs w:val="20"/>
                    </w:rPr>
                    <w:t>, which are in a separate document, provide b</w:t>
                  </w:r>
                  <w:r w:rsidRPr="00FE0955">
                    <w:rPr>
                      <w:rStyle w:val="ListBulletChar"/>
                      <w:rFonts w:cs="Arial"/>
                      <w:sz w:val="20"/>
                      <w:szCs w:val="20"/>
                    </w:rPr>
                    <w:t>ackground information and supporting data</w:t>
                  </w:r>
                  <w:r>
                    <w:rPr>
                      <w:rStyle w:val="ListBulletChar"/>
                      <w:rFonts w:cs="Arial"/>
                      <w:sz w:val="20"/>
                      <w:szCs w:val="20"/>
                    </w:rPr>
                    <w:t>.</w:t>
                  </w:r>
                </w:p>
              </w:txbxContent>
            </v:textbox>
            <w10:wrap type="tight"/>
          </v:shape>
        </w:pict>
      </w:r>
      <w:bookmarkStart w:id="35" w:name="_Toc271794293"/>
      <w:r w:rsidR="00485094">
        <w:rPr>
          <w:snapToGrid w:val="0"/>
        </w:rPr>
        <w:t>Purpose</w:t>
      </w:r>
      <w:bookmarkEnd w:id="28"/>
      <w:bookmarkEnd w:id="29"/>
      <w:bookmarkEnd w:id="30"/>
      <w:bookmarkEnd w:id="31"/>
      <w:bookmarkEnd w:id="32"/>
      <w:bookmarkEnd w:id="33"/>
      <w:bookmarkEnd w:id="35"/>
    </w:p>
    <w:bookmarkEnd w:id="34"/>
    <w:p w:rsidR="00485094" w:rsidRDefault="00485094" w:rsidP="003E3BEB">
      <w:pPr>
        <w:pStyle w:val="Bodytext"/>
      </w:pPr>
      <w:r>
        <w:t xml:space="preserve">This report provides an overview of Florida’s surface water and ground water quality as of 2010.  Referred to as the Integrated Report because it fulfills the reporting requirements under Sections 305(b) and 303(d) of the federal Clean Water Act (CWA), the report must be submitted to the U.S. Environmental Protection Agency (EPA) every two years. </w:t>
      </w:r>
    </w:p>
    <w:p w:rsidR="00485094" w:rsidRDefault="00485094" w:rsidP="003E3BEB">
      <w:pPr>
        <w:pStyle w:val="Bodytext"/>
      </w:pPr>
    </w:p>
    <w:p w:rsidR="00485094" w:rsidRDefault="00485094" w:rsidP="00FE6C85">
      <w:pPr>
        <w:pStyle w:val="Heading2"/>
      </w:pPr>
      <w:bookmarkStart w:id="36" w:name="_Toc452181104"/>
      <w:bookmarkStart w:id="37" w:name="_Toc490373208"/>
      <w:bookmarkStart w:id="38" w:name="_Toc67394375"/>
      <w:bookmarkStart w:id="39" w:name="_Toc74537758"/>
      <w:bookmarkStart w:id="40" w:name="_Toc74537893"/>
      <w:bookmarkStart w:id="41" w:name="_Toc74537911"/>
      <w:bookmarkStart w:id="42" w:name="_Toc74538233"/>
      <w:bookmarkStart w:id="43" w:name="_Toc78886283"/>
      <w:bookmarkStart w:id="44" w:name="_Toc255822482"/>
      <w:bookmarkStart w:id="45" w:name="_Toc271794294"/>
      <w:r>
        <w:t>Federal Assessment and Reporting Requirements</w:t>
      </w:r>
      <w:bookmarkEnd w:id="36"/>
      <w:bookmarkEnd w:id="37"/>
      <w:bookmarkEnd w:id="38"/>
      <w:bookmarkEnd w:id="39"/>
      <w:bookmarkEnd w:id="40"/>
      <w:bookmarkEnd w:id="41"/>
      <w:bookmarkEnd w:id="42"/>
      <w:bookmarkEnd w:id="43"/>
      <w:bookmarkEnd w:id="44"/>
      <w:bookmarkEnd w:id="45"/>
    </w:p>
    <w:p w:rsidR="00485094" w:rsidRDefault="00485094" w:rsidP="006D6F86">
      <w:pPr>
        <w:pStyle w:val="Bodytext"/>
        <w:rPr>
          <w:snapToGrid w:val="0"/>
        </w:rPr>
      </w:pPr>
      <w:r>
        <w:rPr>
          <w:snapToGrid w:val="0"/>
        </w:rPr>
        <w:t>Section 305(b) of the CWA requires states and other jurisdictions to submit biennial water quality reports to the EPA.  These reports, referred to as 305(b) reports, describe surface water and ground water quality and trends, the extent to which waters are attaining their designated uses (</w:t>
      </w:r>
      <w:r>
        <w:t>such as drinking water, recreation, and shellfish harvesting)</w:t>
      </w:r>
      <w:r>
        <w:rPr>
          <w:snapToGrid w:val="0"/>
        </w:rPr>
        <w:t xml:space="preserve">, and major </w:t>
      </w:r>
      <w:r>
        <w:t xml:space="preserve">impacts to surface water and ground water.  </w:t>
      </w:r>
      <w:r>
        <w:rPr>
          <w:snapToGrid w:val="0"/>
        </w:rPr>
        <w:t xml:space="preserve">Under Section 303(d) of the CWA, states are also required to identify waters that are not attaining their designated uses, submit to the EPA a list of these impaired waters (referred to as the 303(d) list), and develop total maximum daily loads (TMDLs) for them.  </w:t>
      </w:r>
    </w:p>
    <w:p w:rsidR="00485094" w:rsidRDefault="00485094">
      <w:pPr>
        <w:rPr>
          <w:snapToGrid w:val="0"/>
        </w:rPr>
      </w:pPr>
    </w:p>
    <w:p w:rsidR="00404378" w:rsidRDefault="00404378" w:rsidP="006D6F86">
      <w:pPr>
        <w:pStyle w:val="Bodytext"/>
        <w:sectPr w:rsidR="00404378" w:rsidSect="00F97DA7">
          <w:pgSz w:w="12240" w:h="15840" w:code="1"/>
          <w:pgMar w:top="1440" w:right="1440" w:bottom="1440" w:left="1440" w:header="720" w:footer="720" w:gutter="0"/>
          <w:paperSrc w:first="261"/>
          <w:pgNumType w:start="1"/>
          <w:cols w:space="720"/>
          <w:docGrid w:linePitch="360"/>
        </w:sectPr>
      </w:pPr>
    </w:p>
    <w:p w:rsidR="00485094" w:rsidRDefault="00485094" w:rsidP="006D6F86">
      <w:pPr>
        <w:pStyle w:val="Bodytext"/>
        <w:rPr>
          <w:snapToGrid w:val="0"/>
        </w:rPr>
      </w:pPr>
      <w:r>
        <w:lastRenderedPageBreak/>
        <w:t>A TMDL represents the maximum amount of a given pollutant that a waterbody can assimilate and still meet its designated uses.</w:t>
      </w:r>
    </w:p>
    <w:p w:rsidR="00485094" w:rsidRDefault="00485094" w:rsidP="006D6F86">
      <w:pPr>
        <w:pStyle w:val="Bodytext"/>
        <w:rPr>
          <w:snapToGrid w:val="0"/>
        </w:rPr>
      </w:pPr>
    </w:p>
    <w:p w:rsidR="00485094" w:rsidRDefault="00485094" w:rsidP="006D6F86">
      <w:pPr>
        <w:pStyle w:val="Bodytext"/>
        <w:rPr>
          <w:snapToGrid w:val="0"/>
        </w:rPr>
      </w:pPr>
      <w:r>
        <w:rPr>
          <w:snapToGrid w:val="0"/>
        </w:rPr>
        <w:t xml:space="preserve">Water quality monitoring and data analysis are the foundation of water resource management decisions.  The EPA and its state partners have worked together to develop an integrated 305(b) and 303(d) assessment approach to address water quality monitoring strategies, data quality and data quantity needs, and data interpretation methodologies.  This 2010 Integrated Report continues the consolidation and alignment of the 305(b) and 303(d) assessment and reporting requirements.  </w:t>
      </w:r>
      <w:r w:rsidRPr="0022000B">
        <w:rPr>
          <w:snapToGrid w:val="0"/>
        </w:rPr>
        <w:t>It also includes Section 314 reporting on the status and trends of significant publicly owned lakes.</w:t>
      </w:r>
    </w:p>
    <w:p w:rsidR="00485094" w:rsidRDefault="00485094" w:rsidP="006D6F86">
      <w:pPr>
        <w:pStyle w:val="Bodytext"/>
        <w:rPr>
          <w:snapToGrid w:val="0"/>
        </w:rPr>
      </w:pPr>
    </w:p>
    <w:p w:rsidR="00485094" w:rsidRDefault="00485094" w:rsidP="006D6F86">
      <w:pPr>
        <w:pStyle w:val="Bodytext"/>
      </w:pPr>
      <w:r>
        <w:rPr>
          <w:snapToGrid w:val="0"/>
        </w:rPr>
        <w:t xml:space="preserve">The Integrated Report allows states to document whether water quality standards are being attained, documents the availability of data and information for each waterbody segment, identifies trends in water quality conditions, and provides information to managers in setting priorities for future actions to protect and restore the health of </w:t>
      </w:r>
      <w:smartTag w:uri="urn:schemas-microsoft-com:office:smarttags" w:element="State">
        <w:smartTag w:uri="urn:schemas-microsoft-com:office:smarttags" w:element="place">
          <w:r>
            <w:rPr>
              <w:snapToGrid w:val="0"/>
            </w:rPr>
            <w:t>Florida</w:t>
          </w:r>
        </w:smartTag>
      </w:smartTag>
      <w:r>
        <w:rPr>
          <w:snapToGrid w:val="0"/>
        </w:rPr>
        <w:t>’s aquatic resources.  This comprehensive approach to assessment enhances Florida’s ability to track important programmatic and environmental goals of the CWA and, ideally, speeds up the pace of achieving these goals.</w:t>
      </w:r>
    </w:p>
    <w:p w:rsidR="00485094" w:rsidRDefault="00485094" w:rsidP="006D6F86">
      <w:pPr>
        <w:pStyle w:val="Bodytext"/>
      </w:pPr>
    </w:p>
    <w:p w:rsidR="00485094" w:rsidRDefault="00485094">
      <w:pPr>
        <w:pStyle w:val="Bodytext"/>
        <w:rPr>
          <w:snapToGrid w:val="0"/>
        </w:rPr>
      </w:pPr>
      <w:smartTag w:uri="urn:schemas-microsoft-com:office:smarttags" w:element="State">
        <w:smartTag w:uri="urn:schemas-microsoft-com:office:smarttags" w:element="place">
          <w:r>
            <w:rPr>
              <w:snapToGrid w:val="0"/>
            </w:rPr>
            <w:t>Florida</w:t>
          </w:r>
        </w:smartTag>
      </w:smartTag>
      <w:r>
        <w:rPr>
          <w:snapToGrid w:val="0"/>
        </w:rPr>
        <w:t xml:space="preserve">’s integrated approach to monitoring and assessment consists of three tiers:  statewide ambient monitoring networks for status and </w:t>
      </w:r>
      <w:r w:rsidRPr="00605932">
        <w:rPr>
          <w:snapToGrid w:val="0"/>
        </w:rPr>
        <w:t>trends</w:t>
      </w:r>
      <w:r w:rsidRPr="00605932">
        <w:t xml:space="preserve">, </w:t>
      </w:r>
      <w:r w:rsidRPr="00605932">
        <w:rPr>
          <w:snapToGrid w:val="0"/>
        </w:rPr>
        <w:t>strategic monitoring for verification of impairment and identification of causative pollutants</w:t>
      </w:r>
      <w:r w:rsidRPr="00605932">
        <w:t xml:space="preserve">, and </w:t>
      </w:r>
      <w:r w:rsidRPr="00605932">
        <w:rPr>
          <w:snapToGrid w:val="0"/>
        </w:rPr>
        <w:t xml:space="preserve">specialized, </w:t>
      </w:r>
      <w:r w:rsidRPr="00605932">
        <w:t>site-specific</w:t>
      </w:r>
      <w:r w:rsidRPr="00605932">
        <w:rPr>
          <w:snapToGrid w:val="0"/>
        </w:rPr>
        <w:t xml:space="preserve"> studies.</w:t>
      </w:r>
      <w:r>
        <w:rPr>
          <w:snapToGrid w:val="0"/>
        </w:rPr>
        <w:t xml:space="preserve">  </w:t>
      </w:r>
    </w:p>
    <w:p w:rsidR="00485094" w:rsidRDefault="00485094">
      <w:pPr>
        <w:pStyle w:val="Bodytext"/>
        <w:rPr>
          <w:snapToGrid w:val="0"/>
        </w:rPr>
      </w:pPr>
    </w:p>
    <w:p w:rsidR="00485094" w:rsidRDefault="00485094">
      <w:pPr>
        <w:pStyle w:val="Bodytext"/>
        <w:rPr>
          <w:snapToGrid w:val="0"/>
        </w:rPr>
      </w:pPr>
      <w:r>
        <w:rPr>
          <w:snapToGrid w:val="0"/>
        </w:rPr>
        <w:t>The Status component of the ambient monitoring program is a probabilistic assessment that is used to develop statistical estimates of water quality across the entire state, based on a stratified random sample design.  The use of probability assessments produces an unbiased picture of water quality conditions statewide and provides a cost-effective benchmark of the success of Florida’s water quality programs.  The results can also provide information on whether it would be useful to target certain waters for further assessment, or if limited resources for water quality assessment can be used more effectively in other ways.</w:t>
      </w:r>
      <w:r w:rsidRPr="00CC6B57">
        <w:rPr>
          <w:snapToGrid w:val="0"/>
        </w:rPr>
        <w:t xml:space="preserve"> </w:t>
      </w:r>
      <w:r>
        <w:rPr>
          <w:snapToGrid w:val="0"/>
        </w:rPr>
        <w:t xml:space="preserve"> </w:t>
      </w:r>
      <w:r w:rsidR="00E22C45">
        <w:rPr>
          <w:snapToGrid w:val="0"/>
        </w:rPr>
        <w:t>FDEP</w:t>
      </w:r>
      <w:r>
        <w:rPr>
          <w:snapToGrid w:val="0"/>
        </w:rPr>
        <w:t xml:space="preserve"> also implements a Trend Monitoring Network consisting of 76 surface water and 47 ground water stations.  Trend analyses for surface and ground water resources are used to examine changes in water quality over time.  </w:t>
      </w:r>
      <w:r>
        <w:t xml:space="preserve">Florida’s </w:t>
      </w:r>
      <w:r w:rsidRPr="00D73A8F">
        <w:t xml:space="preserve">statewide Status and Trend monitoring networks enable FDEP to satisfy </w:t>
      </w:r>
      <w:r>
        <w:t xml:space="preserve">some of the </w:t>
      </w:r>
      <w:r w:rsidRPr="00D73A8F">
        <w:t xml:space="preserve">reporting requirements for </w:t>
      </w:r>
      <w:r>
        <w:t>Sections</w:t>
      </w:r>
      <w:r w:rsidRPr="00D73A8F">
        <w:t xml:space="preserve"> 106 </w:t>
      </w:r>
      <w:r>
        <w:t xml:space="preserve">and 305(b) </w:t>
      </w:r>
      <w:r w:rsidRPr="00D73A8F">
        <w:t>of the CWA</w:t>
      </w:r>
      <w:r>
        <w:t xml:space="preserve">.  </w:t>
      </w:r>
    </w:p>
    <w:p w:rsidR="00485094" w:rsidRDefault="00485094">
      <w:pPr>
        <w:pStyle w:val="Bodytext"/>
        <w:rPr>
          <w:snapToGrid w:val="0"/>
        </w:rPr>
      </w:pPr>
    </w:p>
    <w:p w:rsidR="00485094" w:rsidRDefault="00485094" w:rsidP="006D6F86">
      <w:pPr>
        <w:pStyle w:val="Bodytext"/>
        <w:rPr>
          <w:snapToGrid w:val="0"/>
        </w:rPr>
      </w:pPr>
      <w:r>
        <w:rPr>
          <w:snapToGrid w:val="0"/>
        </w:rPr>
        <w:t>A variety of basin- and waterbody-specific assessments are conducted as part of the second tier monitoring or Strategic Monitoring</w:t>
      </w:r>
      <w:r>
        <w:t>.</w:t>
      </w:r>
      <w:r w:rsidRPr="00E675E1">
        <w:t xml:space="preserve"> </w:t>
      </w:r>
      <w:r>
        <w:t xml:space="preserve"> </w:t>
      </w:r>
      <w:r w:rsidRPr="00E675E1">
        <w:t xml:space="preserve">The primary focus of strategic monitoring is to collect sufficient data to verify whether waters </w:t>
      </w:r>
      <w:r>
        <w:t>that have limited data indicating they are potentially impaired</w:t>
      </w:r>
      <w:r w:rsidRPr="00E675E1">
        <w:t xml:space="preserve"> are in fact impaired, and to the extent possible, determine the causative pollutant for waters listed for </w:t>
      </w:r>
      <w:r>
        <w:t>d</w:t>
      </w:r>
      <w:r w:rsidRPr="00E675E1">
        <w:t xml:space="preserve">issolved </w:t>
      </w:r>
      <w:r>
        <w:t>o</w:t>
      </w:r>
      <w:r w:rsidRPr="00E675E1">
        <w:t xml:space="preserve">xygen </w:t>
      </w:r>
      <w:r>
        <w:t xml:space="preserve">(DO) </w:t>
      </w:r>
      <w:r w:rsidRPr="00E675E1">
        <w:t>or bioassessment failures.</w:t>
      </w:r>
      <w:r>
        <w:rPr>
          <w:rFonts w:ascii="Calibri" w:hAnsi="Calibri" w:cs="Tahoma"/>
        </w:rPr>
        <w:t xml:space="preserve"> </w:t>
      </w:r>
      <w:r w:rsidRPr="00E675E1">
        <w:rPr>
          <w:rFonts w:ascii="Calibri" w:hAnsi="Calibri"/>
        </w:rPr>
        <w:t xml:space="preserve"> </w:t>
      </w:r>
      <w:r>
        <w:rPr>
          <w:snapToGrid w:val="0"/>
        </w:rPr>
        <w:t xml:space="preserve">However, FDEP also conducts other types of strategic monitoring to better evaluate specific water resources (springs, for example).  </w:t>
      </w:r>
    </w:p>
    <w:p w:rsidR="00485094" w:rsidRDefault="00485094" w:rsidP="006D6F86">
      <w:pPr>
        <w:pStyle w:val="Bodytext"/>
        <w:rPr>
          <w:snapToGrid w:val="0"/>
        </w:rPr>
      </w:pPr>
    </w:p>
    <w:p w:rsidR="00485094" w:rsidRDefault="00485094" w:rsidP="006D6F86">
      <w:pPr>
        <w:pStyle w:val="Bodytext"/>
        <w:rPr>
          <w:snapToGrid w:val="0"/>
        </w:rPr>
      </w:pPr>
      <w:r>
        <w:rPr>
          <w:snapToGrid w:val="0"/>
        </w:rPr>
        <w:t>Site-specific monitoring (Tier III) includes intensive surveys for TMDLs, monitoring for the development of water quality standards and site-specific alternative criteria (SSACs), and fifth-year inspections for permit renewals for facilities that discharge to surface waters.  Special monitoring programs will address other program-specific needs, such as monitoring to develop predictive models, including the mercury TMDL being developed for Florida.  Ground water arsenic studies address natural vs. anthropogenic sources of arsenic in aquifers, and restoration efforts are measured by project-specific studies.</w:t>
      </w:r>
    </w:p>
    <w:p w:rsidR="00485094" w:rsidRDefault="00485094" w:rsidP="006D6F86">
      <w:pPr>
        <w:pStyle w:val="Bodytext"/>
        <w:rPr>
          <w:snapToGrid w:val="0"/>
        </w:rPr>
      </w:pPr>
    </w:p>
    <w:p w:rsidR="00485094" w:rsidRPr="00B43F8D" w:rsidRDefault="00485094" w:rsidP="006D6F86">
      <w:pPr>
        <w:pStyle w:val="Bodytext"/>
        <w:rPr>
          <w:b/>
        </w:rPr>
      </w:pPr>
      <w:r>
        <w:rPr>
          <w:snapToGrid w:val="0"/>
        </w:rPr>
        <w:lastRenderedPageBreak/>
        <w:t>All readily available ambient water quality data, regardless of the monitoring tier, are considered part of the 303(d) assessment for the determination of impaired waters, and each result is placed into one of five assessment categories, based on available data.  According to the EPA, this approach allows the states to document the attainment of applicable water quality standards and develop monitoring strategies that effectively respond to the needs identified in the assessment, while ensuring that the attainment status of each water quality standard applicable to a particular waterbody segment is addressed.  The five broad categories are as follows:</w:t>
      </w:r>
    </w:p>
    <w:p w:rsidR="00485094" w:rsidRDefault="00485094" w:rsidP="00F46CD8">
      <w:pPr>
        <w:pStyle w:val="Bodytextreduced"/>
        <w:rPr>
          <w:snapToGrid w:val="0"/>
        </w:rPr>
      </w:pPr>
    </w:p>
    <w:p w:rsidR="00485094" w:rsidRPr="007C55AE" w:rsidRDefault="00485094" w:rsidP="006D6F86">
      <w:pPr>
        <w:pStyle w:val="StyleListBullet11pt"/>
        <w:rPr>
          <w:snapToGrid w:val="0"/>
        </w:rPr>
      </w:pPr>
      <w:r w:rsidRPr="007C55AE">
        <w:rPr>
          <w:snapToGrid w:val="0"/>
        </w:rPr>
        <w:t>Category 1:  All designated uses are supported; no use is threatened.</w:t>
      </w:r>
    </w:p>
    <w:p w:rsidR="00485094" w:rsidRPr="007C55AE" w:rsidRDefault="00485094" w:rsidP="006D6F86">
      <w:pPr>
        <w:pStyle w:val="StyleListBullet11pt"/>
        <w:rPr>
          <w:snapToGrid w:val="0"/>
        </w:rPr>
      </w:pPr>
      <w:r w:rsidRPr="007C55AE">
        <w:rPr>
          <w:snapToGrid w:val="0"/>
        </w:rPr>
        <w:t>Category 2:  Available data and/or information indicate that some, but not all, of the designated uses are supported.</w:t>
      </w:r>
    </w:p>
    <w:p w:rsidR="00485094" w:rsidRPr="007C55AE" w:rsidRDefault="00485094" w:rsidP="006D6F86">
      <w:pPr>
        <w:pStyle w:val="StyleListBullet11pt"/>
        <w:rPr>
          <w:snapToGrid w:val="0"/>
        </w:rPr>
      </w:pPr>
      <w:r w:rsidRPr="007C55AE">
        <w:rPr>
          <w:snapToGrid w:val="0"/>
        </w:rPr>
        <w:t>Category 3:  There are insufficient available data and/or information to make a use support determination.</w:t>
      </w:r>
    </w:p>
    <w:p w:rsidR="00485094" w:rsidRPr="007C55AE" w:rsidRDefault="00485094" w:rsidP="006D6F86">
      <w:pPr>
        <w:pStyle w:val="StyleListBullet11pt"/>
        <w:rPr>
          <w:snapToGrid w:val="0"/>
        </w:rPr>
      </w:pPr>
      <w:r w:rsidRPr="007C55AE">
        <w:rPr>
          <w:snapToGrid w:val="0"/>
        </w:rPr>
        <w:t>Category 4:  Available data and/or information indicate that at least one designated use is not being supported or is threatened, but a TMDL is not needed.</w:t>
      </w:r>
    </w:p>
    <w:p w:rsidR="00485094" w:rsidRDefault="00485094" w:rsidP="006D6F86">
      <w:pPr>
        <w:pStyle w:val="StyleListBullet11pt"/>
        <w:rPr>
          <w:snapToGrid w:val="0"/>
        </w:rPr>
      </w:pPr>
      <w:r w:rsidRPr="007C55AE">
        <w:rPr>
          <w:snapToGrid w:val="0"/>
        </w:rPr>
        <w:t>Category 5:  Available data and/or information indicate that at least one designated use is not being supported or is threatened, and a TMDL is needed.</w:t>
      </w:r>
    </w:p>
    <w:p w:rsidR="00485094" w:rsidRDefault="00485094" w:rsidP="00DF3904">
      <w:pPr>
        <w:pStyle w:val="Bodytextreduced"/>
        <w:rPr>
          <w:snapToGrid w:val="0"/>
          <w:sz w:val="22"/>
        </w:rPr>
      </w:pPr>
    </w:p>
    <w:p w:rsidR="00485094" w:rsidRDefault="00485094" w:rsidP="00DF3904">
      <w:pPr>
        <w:pStyle w:val="Bodytextreduced"/>
        <w:rPr>
          <w:snapToGrid w:val="0"/>
          <w:sz w:val="22"/>
        </w:rPr>
      </w:pPr>
      <w:r>
        <w:rPr>
          <w:snapToGrid w:val="0"/>
          <w:sz w:val="22"/>
        </w:rPr>
        <w:t>In addition to using these broad categories, t</w:t>
      </w:r>
      <w:r w:rsidRPr="00605932">
        <w:rPr>
          <w:snapToGrid w:val="0"/>
          <w:sz w:val="22"/>
        </w:rPr>
        <w:t>he EPA allows states to develop</w:t>
      </w:r>
      <w:r>
        <w:rPr>
          <w:snapToGrid w:val="0"/>
          <w:sz w:val="22"/>
        </w:rPr>
        <w:t xml:space="preserve"> and use</w:t>
      </w:r>
      <w:r w:rsidRPr="00605932">
        <w:rPr>
          <w:snapToGrid w:val="0"/>
          <w:sz w:val="22"/>
        </w:rPr>
        <w:t xml:space="preserve"> individual subcategories to fit unique or specialized set</w:t>
      </w:r>
      <w:r>
        <w:rPr>
          <w:snapToGrid w:val="0"/>
          <w:sz w:val="22"/>
        </w:rPr>
        <w:t>s</w:t>
      </w:r>
      <w:r w:rsidRPr="00605932">
        <w:rPr>
          <w:snapToGrid w:val="0"/>
          <w:sz w:val="22"/>
        </w:rPr>
        <w:t xml:space="preserve"> of circumstances.  These subcategories </w:t>
      </w:r>
      <w:r>
        <w:rPr>
          <w:snapToGrid w:val="0"/>
          <w:sz w:val="22"/>
        </w:rPr>
        <w:t xml:space="preserve">(see </w:t>
      </w:r>
      <w:hyperlink w:anchor="_Chapter_7.__1" w:history="1">
        <w:r w:rsidRPr="00CA461C">
          <w:rPr>
            <w:rStyle w:val="Hyperlink"/>
            <w:snapToGrid w:val="0"/>
            <w:sz w:val="22"/>
          </w:rPr>
          <w:t>Chapter 7</w:t>
        </w:r>
      </w:hyperlink>
      <w:r>
        <w:rPr>
          <w:snapToGrid w:val="0"/>
          <w:sz w:val="22"/>
        </w:rPr>
        <w:t xml:space="preserve">) </w:t>
      </w:r>
      <w:r w:rsidRPr="00605932">
        <w:rPr>
          <w:snapToGrid w:val="0"/>
          <w:sz w:val="22"/>
        </w:rPr>
        <w:t>must be consistent with the purpose of the more general category and be approved by the EPA during its review of each state’s methodology for developing lists of impaired waters.</w:t>
      </w:r>
    </w:p>
    <w:p w:rsidR="00485094" w:rsidRPr="005060C7" w:rsidDel="00605932" w:rsidRDefault="00485094" w:rsidP="00E07BCD">
      <w:pPr>
        <w:pStyle w:val="Bodytextreduced"/>
        <w:rPr>
          <w:b/>
          <w:snapToGrid w:val="0"/>
          <w:sz w:val="22"/>
          <w:szCs w:val="22"/>
        </w:rPr>
      </w:pPr>
    </w:p>
    <w:p w:rsidR="00485094" w:rsidRPr="00776983" w:rsidRDefault="00485094" w:rsidP="002B1769">
      <w:pPr>
        <w:pStyle w:val="Heading2"/>
        <w:rPr>
          <w:snapToGrid w:val="0"/>
        </w:rPr>
      </w:pPr>
      <w:bookmarkStart w:id="46" w:name="_Toc74537759"/>
      <w:bookmarkStart w:id="47" w:name="_Toc74537912"/>
      <w:bookmarkStart w:id="48" w:name="_Toc78886284"/>
      <w:bookmarkStart w:id="49" w:name="_Toc255822483"/>
      <w:bookmarkStart w:id="50" w:name="_Toc271794295"/>
      <w:r w:rsidRPr="00776983">
        <w:rPr>
          <w:snapToGrid w:val="0"/>
        </w:rPr>
        <w:t>Integrating the Federal Requirements into Florida’s Watershed Management Approach</w:t>
      </w:r>
      <w:bookmarkEnd w:id="46"/>
      <w:bookmarkEnd w:id="47"/>
      <w:bookmarkEnd w:id="48"/>
      <w:bookmarkEnd w:id="49"/>
      <w:bookmarkEnd w:id="50"/>
    </w:p>
    <w:p w:rsidR="00485094" w:rsidRPr="00776983" w:rsidRDefault="00485094" w:rsidP="006D6F86">
      <w:pPr>
        <w:pStyle w:val="Bodytext"/>
        <w:rPr>
          <w:snapToGrid w:val="0"/>
        </w:rPr>
      </w:pPr>
      <w:r w:rsidRPr="00CB2BDA">
        <w:rPr>
          <w:snapToGrid w:val="0"/>
        </w:rPr>
        <w:t xml:space="preserve">For the 2010 305(b) </w:t>
      </w:r>
      <w:r w:rsidRPr="00776983">
        <w:rPr>
          <w:snapToGrid w:val="0"/>
        </w:rPr>
        <w:t xml:space="preserve">report, FDEP has continued to move towards a comprehensive assessment by integrating the federal assessment and reporting requirements into its watershed management approach.  Federal requirements state that </w:t>
      </w:r>
      <w:r>
        <w:rPr>
          <w:snapToGrid w:val="0"/>
        </w:rPr>
        <w:t xml:space="preserve">the following </w:t>
      </w:r>
      <w:r w:rsidRPr="00776983">
        <w:rPr>
          <w:snapToGrid w:val="0"/>
        </w:rPr>
        <w:t xml:space="preserve">information should be provided:  </w:t>
      </w:r>
    </w:p>
    <w:p w:rsidR="00485094" w:rsidRDefault="00485094" w:rsidP="00173D87">
      <w:pPr>
        <w:pStyle w:val="Bodytextreduced"/>
        <w:rPr>
          <w:snapToGrid w:val="0"/>
        </w:rPr>
      </w:pPr>
    </w:p>
    <w:p w:rsidR="00485094" w:rsidRPr="00776983" w:rsidRDefault="00485094" w:rsidP="00173D87">
      <w:pPr>
        <w:pStyle w:val="ListBullet"/>
        <w:rPr>
          <w:snapToGrid w:val="0"/>
        </w:rPr>
      </w:pPr>
      <w:r w:rsidRPr="00776983">
        <w:rPr>
          <w:snapToGrid w:val="0"/>
        </w:rPr>
        <w:t xml:space="preserve">The extent to which </w:t>
      </w:r>
      <w:r>
        <w:rPr>
          <w:snapToGrid w:val="0"/>
        </w:rPr>
        <w:t xml:space="preserve">the </w:t>
      </w:r>
      <w:r w:rsidRPr="00776983">
        <w:rPr>
          <w:snapToGrid w:val="0"/>
        </w:rPr>
        <w:t>water quality of the state’s waters provides for the protection and propagation of a balanced population of shellfish, fish, and wildlife and allows for recreational activities in and on the water.</w:t>
      </w:r>
    </w:p>
    <w:p w:rsidR="00485094" w:rsidRPr="00776983" w:rsidRDefault="00485094" w:rsidP="00173D87">
      <w:pPr>
        <w:pStyle w:val="ListBullet"/>
        <w:rPr>
          <w:snapToGrid w:val="0"/>
        </w:rPr>
      </w:pPr>
      <w:r w:rsidRPr="00776983">
        <w:rPr>
          <w:snapToGrid w:val="0"/>
        </w:rPr>
        <w:t xml:space="preserve">An estimate of the extent to which CWA control programs have </w:t>
      </w:r>
      <w:r>
        <w:rPr>
          <w:snapToGrid w:val="0"/>
        </w:rPr>
        <w:t xml:space="preserve">improved </w:t>
      </w:r>
      <w:r w:rsidRPr="00776983">
        <w:rPr>
          <w:snapToGrid w:val="0"/>
        </w:rPr>
        <w:t>or will improve water quality, and recommendations for future actions.</w:t>
      </w:r>
    </w:p>
    <w:p w:rsidR="00485094" w:rsidRPr="00776983" w:rsidRDefault="00485094" w:rsidP="00173D87">
      <w:pPr>
        <w:pStyle w:val="ListBullet"/>
        <w:rPr>
          <w:snapToGrid w:val="0"/>
        </w:rPr>
      </w:pPr>
      <w:r w:rsidRPr="00776983">
        <w:rPr>
          <w:snapToGrid w:val="0"/>
        </w:rPr>
        <w:t>An estimate of the environmental, economic</w:t>
      </w:r>
      <w:r>
        <w:rPr>
          <w:snapToGrid w:val="0"/>
        </w:rPr>
        <w:t>,</w:t>
      </w:r>
      <w:r w:rsidRPr="00776983">
        <w:rPr>
          <w:snapToGrid w:val="0"/>
        </w:rPr>
        <w:t xml:space="preserve"> and social costs and benefits needed to achieve CWA objectives and an estimate of the date for such achievements.</w:t>
      </w:r>
    </w:p>
    <w:p w:rsidR="00485094" w:rsidRPr="00776983" w:rsidRDefault="00485094" w:rsidP="00173D87">
      <w:pPr>
        <w:pStyle w:val="ListBullet"/>
        <w:rPr>
          <w:snapToGrid w:val="0"/>
        </w:rPr>
      </w:pPr>
      <w:r w:rsidRPr="00776983">
        <w:rPr>
          <w:snapToGrid w:val="0"/>
        </w:rPr>
        <w:t>A description of the nature and extent of nonpoint source pollution and recommendations needed to control each category of nonpoint sources.</w:t>
      </w:r>
    </w:p>
    <w:p w:rsidR="00485094" w:rsidRPr="00B9653B" w:rsidRDefault="00485094" w:rsidP="00173D87">
      <w:pPr>
        <w:pStyle w:val="ListBullet"/>
        <w:rPr>
          <w:snapToGrid w:val="0"/>
        </w:rPr>
      </w:pPr>
      <w:r w:rsidRPr="00CA461C">
        <w:rPr>
          <w:snapToGrid w:val="0"/>
        </w:rPr>
        <w:t>An assessment of the water quality of all publicly owned lakes, including lake trends</w:t>
      </w:r>
      <w:r>
        <w:rPr>
          <w:snapToGrid w:val="0"/>
        </w:rPr>
        <w:t>,</w:t>
      </w:r>
      <w:r w:rsidRPr="00CA461C">
        <w:rPr>
          <w:snapToGrid w:val="0"/>
        </w:rPr>
        <w:t xml:space="preserve"> pollution control measures</w:t>
      </w:r>
      <w:r>
        <w:rPr>
          <w:snapToGrid w:val="0"/>
        </w:rPr>
        <w:t>,</w:t>
      </w:r>
      <w:r w:rsidRPr="00CA461C">
        <w:rPr>
          <w:snapToGrid w:val="0"/>
        </w:rPr>
        <w:t xml:space="preserve"> and publicly owned lakes with impaired uses.</w:t>
      </w:r>
    </w:p>
    <w:p w:rsidR="00485094" w:rsidRPr="00173D87" w:rsidRDefault="00485094" w:rsidP="00173D87">
      <w:pPr>
        <w:pStyle w:val="Bodytextreduced"/>
      </w:pPr>
    </w:p>
    <w:p w:rsidR="00485094" w:rsidRPr="00776983" w:rsidRDefault="00485094" w:rsidP="006D6F86">
      <w:pPr>
        <w:pStyle w:val="Bodytext"/>
        <w:rPr>
          <w:snapToGrid w:val="0"/>
        </w:rPr>
      </w:pPr>
      <w:r w:rsidRPr="00F0572F">
        <w:rPr>
          <w:snapToGrid w:val="0"/>
        </w:rPr>
        <w:lastRenderedPageBreak/>
        <w:t xml:space="preserve">The 1999 Florida Watershed Restoration Act (FWRA) directed FDEP to implement a comprehensive, integrated watershed approach for evaluating and managing cumulative impacts to the state’s waters.  The act </w:t>
      </w:r>
      <w:r>
        <w:rPr>
          <w:snapToGrid w:val="0"/>
        </w:rPr>
        <w:t xml:space="preserve">clarified the TMDL Program and </w:t>
      </w:r>
      <w:r w:rsidRPr="00F0572F">
        <w:rPr>
          <w:snapToGrid w:val="0"/>
        </w:rPr>
        <w:t xml:space="preserve">directed </w:t>
      </w:r>
      <w:r>
        <w:rPr>
          <w:snapToGrid w:val="0"/>
        </w:rPr>
        <w:t>FDEP</w:t>
      </w:r>
      <w:r w:rsidRPr="00F0572F">
        <w:rPr>
          <w:snapToGrid w:val="0"/>
        </w:rPr>
        <w:t xml:space="preserve"> to develop a</w:t>
      </w:r>
      <w:r>
        <w:rPr>
          <w:snapToGrid w:val="0"/>
        </w:rPr>
        <w:t>n assessment</w:t>
      </w:r>
      <w:r w:rsidRPr="00F0572F">
        <w:rPr>
          <w:snapToGrid w:val="0"/>
        </w:rPr>
        <w:t xml:space="preserve"> methodology that </w:t>
      </w:r>
      <w:r>
        <w:rPr>
          <w:snapToGrid w:val="0"/>
        </w:rPr>
        <w:t xml:space="preserve">allows </w:t>
      </w:r>
      <w:r w:rsidRPr="00CB2BDA">
        <w:rPr>
          <w:snapToGrid w:val="0"/>
        </w:rPr>
        <w:t xml:space="preserve">for </w:t>
      </w:r>
      <w:r>
        <w:rPr>
          <w:snapToGrid w:val="0"/>
        </w:rPr>
        <w:t xml:space="preserve">the </w:t>
      </w:r>
      <w:r w:rsidRPr="00CB2BDA">
        <w:rPr>
          <w:snapToGrid w:val="0"/>
        </w:rPr>
        <w:t xml:space="preserve">consideration of whether water quality standards are being exceeded based on credible data, studies, and reports.  Those waters determined to not meet water quality standards </w:t>
      </w:r>
      <w:r w:rsidRPr="00F0572F">
        <w:rPr>
          <w:snapToGrid w:val="0"/>
        </w:rPr>
        <w:t xml:space="preserve">should </w:t>
      </w:r>
      <w:r>
        <w:rPr>
          <w:snapToGrid w:val="0"/>
        </w:rPr>
        <w:t xml:space="preserve">then </w:t>
      </w:r>
      <w:r w:rsidRPr="00F0572F">
        <w:rPr>
          <w:snapToGrid w:val="0"/>
        </w:rPr>
        <w:t xml:space="preserve">be included </w:t>
      </w:r>
      <w:r>
        <w:rPr>
          <w:snapToGrid w:val="0"/>
        </w:rPr>
        <w:t>o</w:t>
      </w:r>
      <w:r w:rsidRPr="00F0572F">
        <w:rPr>
          <w:snapToGrid w:val="0"/>
        </w:rPr>
        <w:t>n the state’s 303(d) list of impaired waters</w:t>
      </w:r>
      <w:r>
        <w:rPr>
          <w:snapToGrid w:val="0"/>
        </w:rPr>
        <w:t>,</w:t>
      </w:r>
      <w:r w:rsidRPr="00F0572F">
        <w:rPr>
          <w:snapToGrid w:val="0"/>
        </w:rPr>
        <w:t xml:space="preserve"> or those waters needing a TMDL</w:t>
      </w:r>
      <w:r>
        <w:rPr>
          <w:snapToGrid w:val="0"/>
        </w:rPr>
        <w:t xml:space="preserve">, and the appropriate TMDLs should be developed (see </w:t>
      </w:r>
      <w:hyperlink w:anchor="_Chapter_11:_" w:history="1">
        <w:r w:rsidR="00550C22" w:rsidRPr="00CA461C">
          <w:rPr>
            <w:rStyle w:val="Hyperlink"/>
          </w:rPr>
          <w:t>Chapter 11</w:t>
        </w:r>
      </w:hyperlink>
      <w:r w:rsidR="00550C22">
        <w:t xml:space="preserve"> </w:t>
      </w:r>
      <w:r>
        <w:rPr>
          <w:snapToGrid w:val="0"/>
        </w:rPr>
        <w:t>for more info</w:t>
      </w:r>
      <w:r w:rsidR="00550C22">
        <w:rPr>
          <w:snapToGrid w:val="0"/>
        </w:rPr>
        <w:t>rmation</w:t>
      </w:r>
      <w:r>
        <w:rPr>
          <w:snapToGrid w:val="0"/>
        </w:rPr>
        <w:t>)</w:t>
      </w:r>
      <w:r w:rsidRPr="00F0572F">
        <w:rPr>
          <w:snapToGrid w:val="0"/>
        </w:rPr>
        <w:t xml:space="preserve">.  These objectives are carried out through coordination with the water management districts, </w:t>
      </w:r>
      <w:r>
        <w:rPr>
          <w:snapToGrid w:val="0"/>
        </w:rPr>
        <w:t xml:space="preserve">Florida </w:t>
      </w:r>
      <w:r w:rsidRPr="00F0572F">
        <w:rPr>
          <w:snapToGrid w:val="0"/>
        </w:rPr>
        <w:t>Department of Agriculture and Consumer Services (</w:t>
      </w:r>
      <w:r>
        <w:rPr>
          <w:snapToGrid w:val="0"/>
        </w:rPr>
        <w:t>F</w:t>
      </w:r>
      <w:r w:rsidRPr="00F0572F">
        <w:rPr>
          <w:snapToGrid w:val="0"/>
        </w:rPr>
        <w:t>DACS), Soil and Water Conservation Districts, environmental groups, regulated parties</w:t>
      </w:r>
      <w:r>
        <w:rPr>
          <w:snapToGrid w:val="0"/>
        </w:rPr>
        <w:t>,</w:t>
      </w:r>
      <w:r w:rsidRPr="00F0572F">
        <w:rPr>
          <w:snapToGrid w:val="0"/>
        </w:rPr>
        <w:t xml:space="preserve"> and local stakeholders during all phases of the TMDL process</w:t>
      </w:r>
      <w:r>
        <w:rPr>
          <w:snapToGrid w:val="0"/>
        </w:rPr>
        <w:t>.</w:t>
      </w:r>
    </w:p>
    <w:p w:rsidR="00485094" w:rsidRDefault="00485094" w:rsidP="006D6F86">
      <w:pPr>
        <w:pStyle w:val="Bodytext"/>
        <w:rPr>
          <w:snapToGrid w:val="0"/>
        </w:rPr>
      </w:pPr>
    </w:p>
    <w:p w:rsidR="00485094" w:rsidRDefault="00485094" w:rsidP="006D6F86">
      <w:pPr>
        <w:pStyle w:val="Bodytext"/>
      </w:pPr>
      <w:r w:rsidRPr="00776983">
        <w:rPr>
          <w:snapToGrid w:val="0"/>
        </w:rPr>
        <w:t xml:space="preserve">The implementation of the watershed management approach was initiated in 2000.  </w:t>
      </w:r>
      <w:r w:rsidRPr="00776983">
        <w:t>Florida’s 52 basins</w:t>
      </w:r>
      <w:r w:rsidRPr="00776983">
        <w:rPr>
          <w:snapToGrid w:val="0"/>
          <w:color w:val="000000"/>
        </w:rPr>
        <w:t xml:space="preserve"> </w:t>
      </w:r>
      <w:r w:rsidRPr="00776983">
        <w:t xml:space="preserve">were divided into 29 groups that are distributed among FDEP’s 6 districts.  There are 5 basins each in the Northwest, Central, Southwest, South, and Southeast Districts, and 4 basins in the Northeast District.  One basin is assessed in each district every year.  </w:t>
      </w:r>
      <w:r w:rsidRPr="00776983">
        <w:rPr>
          <w:snapToGrid w:val="0"/>
        </w:rPr>
        <w:t xml:space="preserve">Using a rotating basin management cycle, which ensures that each basin is assessed every 5 years, FDEP and local stakeholders assess individual basins, identify impaired waters requiring the development of TMDLs, and develop Basin Management Action Plans (BMAPs) </w:t>
      </w:r>
      <w:r>
        <w:rPr>
          <w:snapToGrid w:val="0"/>
        </w:rPr>
        <w:t xml:space="preserve">(see </w:t>
      </w:r>
      <w:hyperlink w:anchor="_Chapter_11:_" w:history="1">
        <w:r w:rsidR="00550C22" w:rsidRPr="00CA461C">
          <w:rPr>
            <w:rStyle w:val="Hyperlink"/>
          </w:rPr>
          <w:t>Chapter 11</w:t>
        </w:r>
      </w:hyperlink>
      <w:r w:rsidR="00550C22">
        <w:t xml:space="preserve"> </w:t>
      </w:r>
      <w:r>
        <w:rPr>
          <w:snapToGrid w:val="0"/>
        </w:rPr>
        <w:t>for more info</w:t>
      </w:r>
      <w:r w:rsidR="00550C22">
        <w:rPr>
          <w:snapToGrid w:val="0"/>
        </w:rPr>
        <w:t>rmation</w:t>
      </w:r>
      <w:r>
        <w:rPr>
          <w:snapToGrid w:val="0"/>
        </w:rPr>
        <w:t xml:space="preserve">) and Reasonable Assurance Plans </w:t>
      </w:r>
      <w:r w:rsidRPr="00776983">
        <w:rPr>
          <w:snapToGrid w:val="0"/>
        </w:rPr>
        <w:t>to restore water quality.</w:t>
      </w:r>
      <w:r w:rsidRPr="00776983">
        <w:t xml:space="preserve">  </w:t>
      </w:r>
    </w:p>
    <w:p w:rsidR="00485094" w:rsidRDefault="00485094" w:rsidP="006D6F86">
      <w:pPr>
        <w:pStyle w:val="Bodytext"/>
      </w:pPr>
    </w:p>
    <w:p w:rsidR="00485094" w:rsidRPr="00CB2BDA" w:rsidRDefault="00485094" w:rsidP="006D6F86">
      <w:pPr>
        <w:pStyle w:val="Bodytext"/>
      </w:pPr>
      <w:r w:rsidRPr="00CB2BDA">
        <w:t xml:space="preserve">The assessment, consisting of multiple phases, has been completed in all of the state’s basins (the Group 1–5 basins) once.  As part of its watershed management approach, FDEP developed Verified Lists of impaired waters for the Group 1–5 basins in 2002, 2003, 2004, 2005, and 2006, respectively.  Cycle 2 of the rotating basin approach was initiated in 2007 with Verified Lists of impaired waters for the Group 1, Group 2, and Group 3 basins completed through 2009.  Assessments and list development for Groups 4 and 5 will take place in 2010 and 2011.  As required by Subsection 403.067(4), Florida Statutes (F.S.), the lists were adopted by Secretarial Order.  The resulting Verified Lists of impaired waters and waters to be delisted in those basins amend the 1998 303(d) list of impaired </w:t>
      </w:r>
      <w:smartTag w:uri="urn:schemas-microsoft-com:office:smarttags" w:element="State">
        <w:smartTag w:uri="urn:schemas-microsoft-com:office:smarttags" w:element="place">
          <w:r w:rsidRPr="00CB2BDA">
            <w:t>Florida</w:t>
          </w:r>
        </w:smartTag>
      </w:smartTag>
      <w:r w:rsidRPr="00CB2BDA">
        <w:t xml:space="preserve"> waters maintained by the EPA.  FDEP intends to submit annual amendments to its 303(d) list as part of the watershed management approach.</w:t>
      </w:r>
    </w:p>
    <w:p w:rsidR="00485094" w:rsidRDefault="00485094" w:rsidP="00FF43CF">
      <w:pPr>
        <w:pStyle w:val="Bodytext"/>
      </w:pPr>
    </w:p>
    <w:p w:rsidR="00485094" w:rsidRPr="0094606D" w:rsidRDefault="00485094" w:rsidP="0094606D">
      <w:pPr>
        <w:rPr>
          <w:rFonts w:ascii="Arial" w:hAnsi="Arial" w:cs="Arial"/>
          <w:sz w:val="22"/>
          <w:szCs w:val="22"/>
        </w:rPr>
      </w:pPr>
      <w:r w:rsidRPr="0094606D">
        <w:rPr>
          <w:rFonts w:ascii="Arial" w:hAnsi="Arial" w:cs="Arial"/>
          <w:sz w:val="22"/>
          <w:szCs w:val="22"/>
        </w:rPr>
        <w:t>The Status and Trend Monitoring results are a component of the CWA 106 monitoring work</w:t>
      </w:r>
      <w:r>
        <w:rPr>
          <w:rFonts w:ascii="Arial" w:hAnsi="Arial" w:cs="Arial"/>
          <w:sz w:val="22"/>
          <w:szCs w:val="22"/>
        </w:rPr>
        <w:t xml:space="preserve"> </w:t>
      </w:r>
      <w:r w:rsidRPr="0094606D">
        <w:rPr>
          <w:rFonts w:ascii="Arial" w:hAnsi="Arial" w:cs="Arial"/>
          <w:sz w:val="22"/>
          <w:szCs w:val="22"/>
        </w:rPr>
        <w:t>plan for FDEP.  The results of these monitoring programs are reported internally through basin assessments, published by the Watershed Monitoring Section on FDEP</w:t>
      </w:r>
      <w:r>
        <w:rPr>
          <w:rFonts w:ascii="Arial" w:hAnsi="Arial" w:cs="Arial"/>
          <w:sz w:val="22"/>
          <w:szCs w:val="22"/>
        </w:rPr>
        <w:t>’s</w:t>
      </w:r>
      <w:r w:rsidRPr="0094606D">
        <w:rPr>
          <w:rFonts w:ascii="Arial" w:hAnsi="Arial" w:cs="Arial"/>
          <w:sz w:val="22"/>
          <w:szCs w:val="22"/>
        </w:rPr>
        <w:t xml:space="preserve"> </w:t>
      </w:r>
      <w:hyperlink r:id="rId12" w:history="1">
        <w:r w:rsidRPr="00BA63C9">
          <w:rPr>
            <w:rStyle w:val="Hyperlink"/>
            <w:rFonts w:ascii="Arial" w:hAnsi="Arial" w:cs="Arial"/>
            <w:sz w:val="22"/>
            <w:szCs w:val="22"/>
          </w:rPr>
          <w:t>Watershed Monitoring website</w:t>
        </w:r>
      </w:hyperlink>
      <w:r>
        <w:rPr>
          <w:rFonts w:ascii="Arial" w:hAnsi="Arial" w:cs="Arial"/>
          <w:sz w:val="22"/>
          <w:szCs w:val="22"/>
        </w:rPr>
        <w:t xml:space="preserve">. </w:t>
      </w:r>
      <w:r w:rsidRPr="0094606D">
        <w:rPr>
          <w:rFonts w:ascii="Arial" w:hAnsi="Arial" w:cs="Arial"/>
          <w:sz w:val="22"/>
          <w:szCs w:val="22"/>
        </w:rPr>
        <w:t xml:space="preserve"> The years 2004</w:t>
      </w:r>
      <w:r>
        <w:rPr>
          <w:rFonts w:ascii="Arial" w:hAnsi="Arial" w:cs="Arial"/>
          <w:sz w:val="22"/>
          <w:szCs w:val="22"/>
        </w:rPr>
        <w:t xml:space="preserve"> through 20</w:t>
      </w:r>
      <w:r w:rsidRPr="0094606D">
        <w:rPr>
          <w:rFonts w:ascii="Arial" w:hAnsi="Arial" w:cs="Arial"/>
          <w:sz w:val="22"/>
          <w:szCs w:val="22"/>
        </w:rPr>
        <w:t>08 follow the TMDL</w:t>
      </w:r>
      <w:r>
        <w:rPr>
          <w:rFonts w:ascii="Arial" w:hAnsi="Arial" w:cs="Arial"/>
          <w:sz w:val="22"/>
          <w:szCs w:val="22"/>
        </w:rPr>
        <w:t xml:space="preserve"> rotating basin design, and from </w:t>
      </w:r>
      <w:r w:rsidRPr="0094606D">
        <w:rPr>
          <w:rFonts w:ascii="Arial" w:hAnsi="Arial" w:cs="Arial"/>
          <w:sz w:val="22"/>
          <w:szCs w:val="22"/>
        </w:rPr>
        <w:t>2009</w:t>
      </w:r>
      <w:r>
        <w:rPr>
          <w:rFonts w:ascii="Arial" w:hAnsi="Arial" w:cs="Arial"/>
          <w:sz w:val="22"/>
          <w:szCs w:val="22"/>
        </w:rPr>
        <w:t xml:space="preserve"> to the </w:t>
      </w:r>
      <w:r w:rsidRPr="0094606D">
        <w:rPr>
          <w:rFonts w:ascii="Arial" w:hAnsi="Arial" w:cs="Arial"/>
          <w:sz w:val="22"/>
          <w:szCs w:val="22"/>
        </w:rPr>
        <w:t>present</w:t>
      </w:r>
      <w:r>
        <w:rPr>
          <w:rFonts w:ascii="Arial" w:hAnsi="Arial" w:cs="Arial"/>
          <w:sz w:val="22"/>
          <w:szCs w:val="22"/>
        </w:rPr>
        <w:t>,</w:t>
      </w:r>
      <w:r w:rsidRPr="0094606D">
        <w:rPr>
          <w:rFonts w:ascii="Arial" w:hAnsi="Arial" w:cs="Arial"/>
          <w:sz w:val="22"/>
          <w:szCs w:val="22"/>
        </w:rPr>
        <w:t xml:space="preserve"> </w:t>
      </w:r>
      <w:r>
        <w:rPr>
          <w:rFonts w:ascii="Arial" w:hAnsi="Arial" w:cs="Arial"/>
          <w:sz w:val="22"/>
          <w:szCs w:val="22"/>
        </w:rPr>
        <w:t>the monitoring has</w:t>
      </w:r>
      <w:r w:rsidRPr="0094606D">
        <w:rPr>
          <w:rFonts w:ascii="Arial" w:hAnsi="Arial" w:cs="Arial"/>
          <w:sz w:val="22"/>
          <w:szCs w:val="22"/>
        </w:rPr>
        <w:t xml:space="preserve"> </w:t>
      </w:r>
      <w:r>
        <w:rPr>
          <w:rFonts w:ascii="Arial" w:hAnsi="Arial" w:cs="Arial"/>
          <w:sz w:val="22"/>
          <w:szCs w:val="22"/>
        </w:rPr>
        <w:t>shifted</w:t>
      </w:r>
      <w:r w:rsidRPr="0094606D">
        <w:rPr>
          <w:rFonts w:ascii="Arial" w:hAnsi="Arial" w:cs="Arial"/>
          <w:sz w:val="22"/>
          <w:szCs w:val="22"/>
        </w:rPr>
        <w:t xml:space="preserve"> to an annual estimate of condition.</w:t>
      </w:r>
    </w:p>
    <w:p w:rsidR="00485094" w:rsidRPr="0094606D" w:rsidRDefault="00485094" w:rsidP="0094606D">
      <w:pPr>
        <w:rPr>
          <w:rFonts w:ascii="Arial" w:hAnsi="Arial" w:cs="Arial"/>
          <w:sz w:val="22"/>
          <w:szCs w:val="22"/>
        </w:rPr>
      </w:pPr>
    </w:p>
    <w:p w:rsidR="00485094" w:rsidRDefault="00485094" w:rsidP="002B7AD6">
      <w:pPr>
        <w:tabs>
          <w:tab w:val="left" w:pos="5490"/>
        </w:tabs>
        <w:rPr>
          <w:rFonts w:ascii="Arial" w:hAnsi="Arial" w:cs="Arial"/>
          <w:sz w:val="22"/>
          <w:szCs w:val="22"/>
        </w:rPr>
      </w:pPr>
      <w:r w:rsidRPr="0094606D">
        <w:rPr>
          <w:rFonts w:ascii="Arial" w:hAnsi="Arial" w:cs="Arial"/>
          <w:sz w:val="22"/>
          <w:szCs w:val="22"/>
        </w:rPr>
        <w:t xml:space="preserve">An additional requirement for CWA </w:t>
      </w:r>
      <w:r>
        <w:rPr>
          <w:rFonts w:ascii="Arial" w:hAnsi="Arial" w:cs="Arial"/>
          <w:sz w:val="22"/>
          <w:szCs w:val="22"/>
        </w:rPr>
        <w:t>S</w:t>
      </w:r>
      <w:r w:rsidRPr="0094606D">
        <w:rPr>
          <w:rFonts w:ascii="Arial" w:hAnsi="Arial" w:cs="Arial"/>
          <w:sz w:val="22"/>
          <w:szCs w:val="22"/>
        </w:rPr>
        <w:t xml:space="preserve">ection 106 is the submittal of the </w:t>
      </w:r>
      <w:r>
        <w:rPr>
          <w:rFonts w:ascii="Arial" w:hAnsi="Arial" w:cs="Arial"/>
          <w:sz w:val="22"/>
          <w:szCs w:val="22"/>
        </w:rPr>
        <w:t>F</w:t>
      </w:r>
      <w:r w:rsidRPr="0094606D">
        <w:rPr>
          <w:rFonts w:ascii="Arial" w:hAnsi="Arial" w:cs="Arial"/>
          <w:sz w:val="22"/>
          <w:szCs w:val="22"/>
        </w:rPr>
        <w:t>DEP monitoring strategy, which  addresses the suite of monitoring programs in this document, u</w:t>
      </w:r>
      <w:r>
        <w:rPr>
          <w:rFonts w:ascii="Arial" w:hAnsi="Arial" w:cs="Arial"/>
          <w:sz w:val="22"/>
          <w:szCs w:val="22"/>
        </w:rPr>
        <w:t>s</w:t>
      </w:r>
      <w:r w:rsidRPr="0094606D">
        <w:rPr>
          <w:rFonts w:ascii="Arial" w:hAnsi="Arial" w:cs="Arial"/>
          <w:sz w:val="22"/>
          <w:szCs w:val="22"/>
        </w:rPr>
        <w:t xml:space="preserve">ing </w:t>
      </w:r>
      <w:r>
        <w:rPr>
          <w:rFonts w:ascii="Arial" w:hAnsi="Arial" w:cs="Arial"/>
          <w:sz w:val="22"/>
          <w:szCs w:val="22"/>
        </w:rPr>
        <w:t xml:space="preserve">the </w:t>
      </w:r>
      <w:r w:rsidRPr="0094606D">
        <w:rPr>
          <w:rFonts w:ascii="Arial" w:hAnsi="Arial" w:cs="Arial"/>
          <w:sz w:val="22"/>
          <w:szCs w:val="22"/>
        </w:rPr>
        <w:t xml:space="preserve">EPA’s March 2003 </w:t>
      </w:r>
      <w:r w:rsidRPr="0094606D">
        <w:rPr>
          <w:rFonts w:ascii="Arial" w:hAnsi="Arial" w:cs="Arial"/>
          <w:i/>
          <w:sz w:val="22"/>
          <w:szCs w:val="22"/>
        </w:rPr>
        <w:t xml:space="preserve">Elements of a State Water Monitoring and Assessment Program </w:t>
      </w:r>
      <w:r w:rsidRPr="0094606D">
        <w:rPr>
          <w:rFonts w:ascii="Arial" w:hAnsi="Arial" w:cs="Arial"/>
          <w:sz w:val="22"/>
          <w:szCs w:val="22"/>
        </w:rPr>
        <w:t>guidance.  As part of the report, changes to the design document for the FDEP Watershed Monitoring program is updated as any changes to the design of the monitoring program or strategy occur.</w:t>
      </w:r>
    </w:p>
    <w:p w:rsidR="00485094" w:rsidRPr="000D7DC5" w:rsidRDefault="00485094" w:rsidP="0094606D">
      <w:pPr>
        <w:rPr>
          <w:rFonts w:ascii="Arial" w:hAnsi="Arial" w:cs="Arial"/>
          <w:sz w:val="22"/>
          <w:szCs w:val="22"/>
        </w:rPr>
      </w:pPr>
      <w:r>
        <w:rPr>
          <w:rFonts w:ascii="Arial" w:hAnsi="Arial" w:cs="Arial"/>
          <w:sz w:val="22"/>
          <w:szCs w:val="22"/>
        </w:rPr>
        <w:t xml:space="preserve"> </w:t>
      </w:r>
    </w:p>
    <w:p w:rsidR="00485094" w:rsidRPr="003A4461" w:rsidRDefault="00485094" w:rsidP="00A553DE">
      <w:pPr>
        <w:pStyle w:val="Bodytextreduced"/>
      </w:pPr>
      <w:r w:rsidRPr="003A4461">
        <w:br w:type="page"/>
      </w:r>
    </w:p>
    <w:p w:rsidR="00FC6EE0" w:rsidRDefault="00FC6EE0" w:rsidP="00FC6EE0">
      <w:pPr>
        <w:pStyle w:val="Bodytextreduced"/>
      </w:pPr>
      <w:bookmarkStart w:id="51" w:name="_Toc255822484"/>
    </w:p>
    <w:p w:rsidR="00485094" w:rsidRPr="00462963" w:rsidRDefault="00485094" w:rsidP="006179DC">
      <w:pPr>
        <w:pStyle w:val="Heading1"/>
      </w:pPr>
      <w:bookmarkStart w:id="52" w:name="_Toc271794296"/>
      <w:r>
        <w:t>Chapter 2</w:t>
      </w:r>
      <w:r w:rsidRPr="006179DC">
        <w:t xml:space="preserve">:  </w:t>
      </w:r>
      <w:r>
        <w:t>Background Information</w:t>
      </w:r>
      <w:bookmarkEnd w:id="51"/>
      <w:bookmarkEnd w:id="52"/>
    </w:p>
    <w:p w:rsidR="00485094" w:rsidRDefault="00485094" w:rsidP="00DF3904">
      <w:pPr>
        <w:pStyle w:val="Bodytextreduced"/>
      </w:pPr>
      <w:bookmarkStart w:id="53" w:name="_Toc255822485"/>
    </w:p>
    <w:p w:rsidR="00485094" w:rsidRDefault="00485094" w:rsidP="008731A6">
      <w:pPr>
        <w:pStyle w:val="Heading2"/>
      </w:pPr>
      <w:bookmarkStart w:id="54" w:name="_Toc271794297"/>
      <w:r>
        <w:t>Overview</w:t>
      </w:r>
      <w:bookmarkEnd w:id="53"/>
      <w:bookmarkEnd w:id="54"/>
    </w:p>
    <w:p w:rsidR="00485094" w:rsidRDefault="00485094" w:rsidP="006D6F86">
      <w:pPr>
        <w:pStyle w:val="Bodytext"/>
        <w:rPr>
          <w:snapToGrid w:val="0"/>
        </w:rPr>
      </w:pPr>
      <w:smartTag w:uri="urn:schemas-microsoft-com:office:smarttags" w:element="State">
        <w:smartTag w:uri="urn:schemas-microsoft-com:office:smarttags" w:element="place">
          <w:r>
            <w:t>Florida</w:t>
          </w:r>
        </w:smartTag>
      </w:smartTag>
      <w:r>
        <w:t xml:space="preserve">'s 65,758 square miles support abundant, diverse natural resources.  Some of these resources—such as the Everglades—are found nowhere else.  </w:t>
      </w:r>
      <w:smartTag w:uri="urn:schemas-microsoft-com:office:smarttags" w:element="State">
        <w:r>
          <w:t>Florida</w:t>
        </w:r>
      </w:smartTag>
      <w:r>
        <w:t xml:space="preserve"> also contains the only coral reef in the continental </w:t>
      </w:r>
      <w:smartTag w:uri="urn:schemas-microsoft-com:office:smarttags" w:element="country-region">
        <w:smartTag w:uri="urn:schemas-microsoft-com:office:smarttags" w:element="place">
          <w:r>
            <w:t>United States</w:t>
          </w:r>
        </w:smartTag>
      </w:smartTag>
      <w:r>
        <w:rPr>
          <w:i/>
        </w:rPr>
        <w:t xml:space="preserve">.  </w:t>
      </w:r>
      <w:r>
        <w:t>The state has 11,761 square miles of surface water (ranking third in the country in total water area) and large supplies of fresh water in its underground aquifers.  Florida</w:t>
      </w:r>
      <w:r>
        <w:rPr>
          <w:snapToGrid w:val="0"/>
        </w:rPr>
        <w:t xml:space="preserve"> depends on water resources in many ways—for example, for its $26.4 billion fishing and $57 billion tourism industries (Florida Fish and Wildlife Conservation Commission [FWC] website, 2010; American Safety Council website, 2010).</w:t>
      </w:r>
    </w:p>
    <w:p w:rsidR="00485094" w:rsidRDefault="00485094" w:rsidP="006D6F86">
      <w:pPr>
        <w:pStyle w:val="Bodytext"/>
        <w:rPr>
          <w:snapToGrid w:val="0"/>
        </w:rPr>
      </w:pPr>
    </w:p>
    <w:p w:rsidR="00485094" w:rsidRDefault="00485094" w:rsidP="006D6F86">
      <w:pPr>
        <w:pStyle w:val="Bodytext"/>
      </w:pPr>
      <w:r>
        <w:t>The pressures of population growth and its accompanying development are impacting the state’s freshwater, ground water, and saltwater resources.  Although the state ranks 22</w:t>
      </w:r>
      <w:r w:rsidRPr="00FF43CF">
        <w:rPr>
          <w:vertAlign w:val="superscript"/>
        </w:rPr>
        <w:t>nd</w:t>
      </w:r>
      <w:r>
        <w:t xml:space="preserve"> in the country in total area, it currently ranks </w:t>
      </w:r>
      <w:r w:rsidRPr="001C582C">
        <w:t>fourth</w:t>
      </w:r>
      <w:r>
        <w:t xml:space="preserve"> in population, and that population continues to grow.  </w:t>
      </w:r>
      <w:r>
        <w:rPr>
          <w:snapToGrid w:val="0"/>
        </w:rPr>
        <w:t>Most Floridians live in coastal areas where less fresh water is available, and about three-fourths of new Florida residents choose coastal locations for their new homes.  As development continues, different users vie for water resources.  Major</w:t>
      </w:r>
      <w:r>
        <w:t xml:space="preserve"> challenges include maintaining overall water quality and supplies, protecting public health, </w:t>
      </w:r>
      <w:r>
        <w:rPr>
          <w:snapToGrid w:val="0"/>
        </w:rPr>
        <w:t>satisfying competing and rapidly increasing demands for finite quantities of fresh water, minimizing damage to future water reserves, and</w:t>
      </w:r>
      <w:r>
        <w:t xml:space="preserve"> ensuring healthy populations of fish and wildlife.</w:t>
      </w:r>
    </w:p>
    <w:p w:rsidR="00485094" w:rsidRDefault="00485094" w:rsidP="006D6F86">
      <w:pPr>
        <w:pStyle w:val="Bodytext"/>
      </w:pPr>
    </w:p>
    <w:p w:rsidR="00485094" w:rsidRDefault="00485094" w:rsidP="005508B0">
      <w:pPr>
        <w:pStyle w:val="Bodytext"/>
      </w:pPr>
      <w:r>
        <w:t xml:space="preserve">In addition, climate change, and its effects on water quality, must be considered in water resource management.  Predicted impacts to Florida are increased air and water temperatures, increased variability in precipitation regimes, sea level rise, and salt water intrusion.  In, 2007, Governor Charlie </w:t>
      </w:r>
      <w:proofErr w:type="spellStart"/>
      <w:r>
        <w:t>Crist</w:t>
      </w:r>
      <w:proofErr w:type="spellEnd"/>
      <w:r>
        <w:t xml:space="preserve"> established the Governor’s Action Team on Energy and Climate Change.  This group was assigned the task of establishing a comprehensive </w:t>
      </w:r>
      <w:hyperlink r:id="rId13" w:history="1">
        <w:r w:rsidRPr="001922D8">
          <w:rPr>
            <w:rStyle w:val="Hyperlink"/>
          </w:rPr>
          <w:t>Florida Energy and Climate Action Plan</w:t>
        </w:r>
      </w:hyperlink>
      <w:r>
        <w:t xml:space="preserve"> to achieve reductions in greenhouse gases.  </w:t>
      </w:r>
    </w:p>
    <w:p w:rsidR="00485094" w:rsidRDefault="00485094" w:rsidP="009D22C7">
      <w:pPr>
        <w:pStyle w:val="Bodytext"/>
      </w:pPr>
    </w:p>
    <w:p w:rsidR="00485094" w:rsidRDefault="00485094" w:rsidP="009D22C7">
      <w:pPr>
        <w:pStyle w:val="Bodytext"/>
        <w:rPr>
          <w:snapToGrid w:val="0"/>
        </w:rPr>
      </w:pPr>
      <w:r>
        <w:t>Despite the fact that water is plentiful in many areas, w</w:t>
      </w:r>
      <w:r>
        <w:rPr>
          <w:snapToGrid w:val="0"/>
        </w:rPr>
        <w:t xml:space="preserve">ater quantity and quality are critical issues.  In 1950, </w:t>
      </w:r>
      <w:smartTag w:uri="urn:schemas-microsoft-com:office:smarttags" w:element="State">
        <w:smartTag w:uri="urn:schemas-microsoft-com:office:smarttags" w:element="place">
          <w:r>
            <w:rPr>
              <w:snapToGrid w:val="0"/>
            </w:rPr>
            <w:t>Florida</w:t>
          </w:r>
        </w:smartTag>
      </w:smartTag>
      <w:r>
        <w:rPr>
          <w:snapToGrid w:val="0"/>
        </w:rPr>
        <w:t xml:space="preserve">’s population of 2.8 million used about 2.9 billion gallons per day (BGD) of fresh ground water and surface water.  In 1995, that number had risen to 7.2 BGD, and consumption is projected to rise to 9.3 BGD by 2020.  </w:t>
      </w:r>
      <w:r w:rsidRPr="00595B30">
        <w:t xml:space="preserve">Surface water and ground water quality has been </w:t>
      </w:r>
      <w:r w:rsidRPr="00595B30">
        <w:rPr>
          <w:snapToGrid w:val="0"/>
        </w:rPr>
        <w:t>impacted</w:t>
      </w:r>
      <w:r w:rsidRPr="00595B30">
        <w:t xml:space="preserve"> by industrial, residential, and agricultural land uses in areas throughout the state.</w:t>
      </w:r>
      <w:r w:rsidRPr="001E0CFB">
        <w:rPr>
          <w:snapToGrid w:val="0"/>
        </w:rPr>
        <w:t xml:space="preserve">  While many point sources of pollution such as sewage treatment</w:t>
      </w:r>
      <w:r>
        <w:rPr>
          <w:snapToGrid w:val="0"/>
        </w:rPr>
        <w:t xml:space="preserve"> plant discharges have been eliminated, pollutant loading from widespread, diffuse nonpoint sources such as urban development and agriculture remains a challenge.  </w:t>
      </w:r>
    </w:p>
    <w:p w:rsidR="00485094" w:rsidRDefault="00485094" w:rsidP="006D6F86">
      <w:pPr>
        <w:pStyle w:val="Bodytext"/>
      </w:pPr>
    </w:p>
    <w:p w:rsidR="00485094" w:rsidRDefault="00485094" w:rsidP="006D6F86">
      <w:pPr>
        <w:pStyle w:val="Bodytext"/>
      </w:pPr>
      <w:r>
        <w:t xml:space="preserve">This chapter provides background information about Florida’s population, water resources, climate, and physical features.  </w:t>
      </w:r>
      <w:r>
        <w:rPr>
          <w:b/>
          <w:i/>
        </w:rPr>
        <w:t>Table 2.1</w:t>
      </w:r>
      <w:r>
        <w:t xml:space="preserve"> summarizes basic information on the state and its surface water resources.</w:t>
      </w:r>
    </w:p>
    <w:p w:rsidR="0052125D" w:rsidRDefault="0052125D" w:rsidP="00492CE5">
      <w:pPr>
        <w:pStyle w:val="Bodytext"/>
        <w:rPr>
          <w:rFonts w:cs="Arial"/>
          <w:bCs/>
          <w:szCs w:val="22"/>
        </w:rPr>
        <w:sectPr w:rsidR="0052125D" w:rsidSect="002C06E9">
          <w:pgSz w:w="12240" w:h="15840" w:code="1"/>
          <w:pgMar w:top="1440" w:right="1440" w:bottom="1440" w:left="1440" w:header="720" w:footer="720" w:gutter="0"/>
          <w:paperSrc w:first="261"/>
          <w:cols w:space="720"/>
          <w:docGrid w:linePitch="360"/>
        </w:sectPr>
      </w:pPr>
    </w:p>
    <w:p w:rsidR="00485094" w:rsidRPr="0052125D" w:rsidRDefault="00485094" w:rsidP="00492CE5">
      <w:pPr>
        <w:pStyle w:val="Bodytext"/>
        <w:rPr>
          <w:rFonts w:cs="Arial"/>
          <w:bCs/>
          <w:sz w:val="16"/>
          <w:szCs w:val="16"/>
        </w:rPr>
      </w:pPr>
    </w:p>
    <w:p w:rsidR="00485094" w:rsidRPr="004F5F3F" w:rsidRDefault="00485094" w:rsidP="000877C3">
      <w:pPr>
        <w:pStyle w:val="Tableheading"/>
      </w:pPr>
      <w:bookmarkStart w:id="55" w:name="_Toc255482786"/>
      <w:bookmarkStart w:id="56" w:name="_Toc255807445"/>
      <w:bookmarkStart w:id="57" w:name="_Toc271889813"/>
      <w:r w:rsidRPr="004F5F3F">
        <w:t xml:space="preserve">Table </w:t>
      </w:r>
      <w:r>
        <w:t>2.</w:t>
      </w:r>
      <w:r w:rsidRPr="004F5F3F">
        <w:t>1</w:t>
      </w:r>
      <w:r>
        <w:t>.</w:t>
      </w:r>
      <w:r w:rsidRPr="004F5F3F">
        <w:t xml:space="preserve">  </w:t>
      </w:r>
      <w:smartTag w:uri="urn:schemas-microsoft-com:office:smarttags" w:element="State">
        <w:smartTag w:uri="urn:schemas-microsoft-com:office:smarttags" w:element="place">
          <w:r>
            <w:t>Florida</w:t>
          </w:r>
        </w:smartTag>
      </w:smartTag>
      <w:r>
        <w:t xml:space="preserve"> </w:t>
      </w:r>
      <w:r w:rsidRPr="004F5F3F">
        <w:t>Atlas</w:t>
      </w:r>
      <w:bookmarkEnd w:id="55"/>
      <w:bookmarkEnd w:id="56"/>
      <w:bookmarkEnd w:id="57"/>
    </w:p>
    <w:p w:rsidR="00485094" w:rsidRDefault="00485094" w:rsidP="00364D48">
      <w:pPr>
        <w:pStyle w:val="TabledescriptionBF"/>
        <w:rPr>
          <w:snapToGrid w:val="0"/>
        </w:rPr>
      </w:pPr>
      <w:r>
        <w:rPr>
          <w:snapToGrid w:val="0"/>
        </w:rPr>
        <w:t>This is a two-column table.  Column 1 lists individual statistics for the state, and Column 2 lists the numbers</w:t>
      </w:r>
      <w:r w:rsidR="00F01F27">
        <w:rPr>
          <w:snapToGrid w:val="0"/>
        </w:rPr>
        <w:t xml:space="preserve"> for Florida </w:t>
      </w:r>
      <w:r>
        <w:rPr>
          <w:snapToGrid w:val="0"/>
        </w:rPr>
        <w:t>associated with those statistics.</w:t>
      </w:r>
    </w:p>
    <w:p w:rsidR="00485094" w:rsidRDefault="00485094" w:rsidP="00364D48">
      <w:pPr>
        <w:pStyle w:val="TabledescriptionBF"/>
        <w:rPr>
          <w:snapToGrid w:val="0"/>
        </w:rPr>
      </w:pPr>
    </w:p>
    <w:tbl>
      <w:tblPr>
        <w:tblW w:w="991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5095"/>
        <w:gridCol w:w="4823"/>
      </w:tblGrid>
      <w:tr w:rsidR="00485094" w:rsidRPr="00364D48" w:rsidTr="000F2909">
        <w:trPr>
          <w:trHeight w:val="259"/>
          <w:jc w:val="center"/>
        </w:trPr>
        <w:tc>
          <w:tcPr>
            <w:tcW w:w="5095" w:type="dxa"/>
            <w:tcBorders>
              <w:bottom w:val="double" w:sz="4" w:space="0" w:color="auto"/>
            </w:tcBorders>
            <w:shd w:val="clear" w:color="auto" w:fill="BDFFFF"/>
            <w:vAlign w:val="center"/>
          </w:tcPr>
          <w:p w:rsidR="00485094" w:rsidRPr="00364D48" w:rsidRDefault="00485094" w:rsidP="00364D48">
            <w:pPr>
              <w:jc w:val="center"/>
              <w:rPr>
                <w:rFonts w:ascii="Arial" w:hAnsi="Arial"/>
                <w:b/>
                <w:bCs/>
                <w:i/>
                <w:snapToGrid w:val="0"/>
                <w:sz w:val="18"/>
              </w:rPr>
            </w:pPr>
            <w:r w:rsidRPr="00364D48">
              <w:rPr>
                <w:rFonts w:ascii="Arial" w:hAnsi="Arial"/>
                <w:b/>
                <w:bCs/>
                <w:i/>
                <w:snapToGrid w:val="0"/>
                <w:sz w:val="18"/>
              </w:rPr>
              <w:t>Statistic</w:t>
            </w:r>
          </w:p>
        </w:tc>
        <w:tc>
          <w:tcPr>
            <w:tcW w:w="4823" w:type="dxa"/>
            <w:tcBorders>
              <w:bottom w:val="double" w:sz="4" w:space="0" w:color="auto"/>
            </w:tcBorders>
            <w:shd w:val="clear" w:color="auto" w:fill="BDFFFF"/>
            <w:vAlign w:val="center"/>
          </w:tcPr>
          <w:p w:rsidR="00485094" w:rsidRPr="00364D48" w:rsidRDefault="00485094" w:rsidP="00364D48">
            <w:pPr>
              <w:jc w:val="center"/>
              <w:rPr>
                <w:rFonts w:ascii="Arial" w:hAnsi="Arial"/>
                <w:b/>
                <w:bCs/>
                <w:i/>
                <w:snapToGrid w:val="0"/>
                <w:sz w:val="18"/>
              </w:rPr>
            </w:pPr>
            <w:r w:rsidRPr="00364D48">
              <w:rPr>
                <w:rFonts w:ascii="Arial" w:hAnsi="Arial"/>
                <w:b/>
                <w:bCs/>
                <w:i/>
                <w:snapToGrid w:val="0"/>
                <w:sz w:val="18"/>
              </w:rPr>
              <w:t>Number</w:t>
            </w:r>
          </w:p>
        </w:tc>
      </w:tr>
      <w:tr w:rsidR="00485094" w:rsidRPr="00E76B4B" w:rsidTr="009D19A3">
        <w:trPr>
          <w:trHeight w:val="259"/>
          <w:jc w:val="center"/>
        </w:trPr>
        <w:tc>
          <w:tcPr>
            <w:tcW w:w="5095" w:type="dxa"/>
            <w:tcBorders>
              <w:top w:val="double" w:sz="4" w:space="0" w:color="auto"/>
            </w:tcBorders>
            <w:shd w:val="clear" w:color="auto" w:fill="FFFFD5"/>
            <w:vAlign w:val="center"/>
          </w:tcPr>
          <w:p w:rsidR="00485094" w:rsidRDefault="00485094">
            <w:pPr>
              <w:rPr>
                <w:rFonts w:ascii="Arial" w:hAnsi="Arial"/>
                <w:b/>
                <w:bCs/>
                <w:snapToGrid w:val="0"/>
                <w:sz w:val="18"/>
              </w:rPr>
            </w:pPr>
            <w:r w:rsidRPr="00E76B4B">
              <w:rPr>
                <w:rFonts w:ascii="Arial" w:hAnsi="Arial"/>
                <w:b/>
                <w:bCs/>
                <w:snapToGrid w:val="0"/>
                <w:sz w:val="18"/>
              </w:rPr>
              <w:t>200</w:t>
            </w:r>
            <w:r>
              <w:rPr>
                <w:rFonts w:ascii="Arial" w:hAnsi="Arial"/>
                <w:b/>
                <w:bCs/>
                <w:snapToGrid w:val="0"/>
                <w:sz w:val="18"/>
              </w:rPr>
              <w:t>8</w:t>
            </w:r>
            <w:r w:rsidRPr="00E76B4B">
              <w:rPr>
                <w:rFonts w:ascii="Arial" w:hAnsi="Arial"/>
                <w:b/>
                <w:bCs/>
                <w:snapToGrid w:val="0"/>
                <w:sz w:val="18"/>
              </w:rPr>
              <w:t xml:space="preserve"> estimated population (U.S. Census Bureau)</w:t>
            </w:r>
          </w:p>
        </w:tc>
        <w:tc>
          <w:tcPr>
            <w:tcW w:w="4823" w:type="dxa"/>
            <w:tcBorders>
              <w:top w:val="double" w:sz="4" w:space="0" w:color="auto"/>
            </w:tcBorders>
            <w:vAlign w:val="center"/>
          </w:tcPr>
          <w:p w:rsidR="00485094" w:rsidRPr="00E76B4B" w:rsidRDefault="00485094" w:rsidP="0082702B">
            <w:pPr>
              <w:rPr>
                <w:rFonts w:ascii="Arial" w:hAnsi="Arial"/>
                <w:b/>
                <w:bCs/>
                <w:snapToGrid w:val="0"/>
                <w:sz w:val="18"/>
              </w:rPr>
            </w:pPr>
            <w:r w:rsidRPr="00CC42C1">
              <w:rPr>
                <w:rFonts w:ascii="Arial" w:hAnsi="Arial"/>
                <w:b/>
                <w:bCs/>
                <w:snapToGrid w:val="0"/>
                <w:sz w:val="18"/>
              </w:rPr>
              <w:t>18,328,340</w:t>
            </w:r>
            <w:r>
              <w:rPr>
                <w:rFonts w:ascii="Arial" w:hAnsi="Arial"/>
                <w:b/>
                <w:bCs/>
                <w:snapToGrid w:val="0"/>
                <w:sz w:val="18"/>
              </w:rPr>
              <w:t xml:space="preserve"> </w:t>
            </w:r>
            <w:r w:rsidRPr="00E76B4B">
              <w:rPr>
                <w:rFonts w:ascii="Arial" w:hAnsi="Arial"/>
                <w:b/>
                <w:bCs/>
                <w:snapToGrid w:val="0"/>
                <w:sz w:val="18"/>
              </w:rPr>
              <w:t>people</w:t>
            </w:r>
            <w:r>
              <w:rPr>
                <w:rFonts w:ascii="Arial" w:hAnsi="Arial"/>
                <w:b/>
                <w:bCs/>
                <w:snapToGrid w:val="0"/>
                <w:sz w:val="18"/>
              </w:rPr>
              <w:t xml:space="preserve"> </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population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4</w:t>
            </w:r>
            <w:r w:rsidRPr="00E76B4B">
              <w:rPr>
                <w:rFonts w:ascii="Arial" w:hAnsi="Arial"/>
                <w:snapToGrid w:val="0"/>
                <w:sz w:val="18"/>
                <w:vertAlign w:val="superscript"/>
              </w:rPr>
              <w:t>th</w:t>
            </w:r>
            <w:r w:rsidRPr="00E76B4B">
              <w:rPr>
                <w:rFonts w:ascii="Arial" w:hAnsi="Arial"/>
                <w:snapToGrid w:val="0"/>
                <w:sz w:val="18"/>
              </w:rPr>
              <w:t xml:space="preserve"> largest</w:t>
            </w:r>
          </w:p>
        </w:tc>
      </w:tr>
      <w:tr w:rsidR="00485094" w:rsidRPr="00E76B4B" w:rsidTr="009D19A3">
        <w:trPr>
          <w:trHeight w:val="259"/>
          <w:jc w:val="center"/>
        </w:trPr>
        <w:tc>
          <w:tcPr>
            <w:tcW w:w="5095" w:type="dxa"/>
            <w:shd w:val="clear" w:color="auto" w:fill="FFFFD5"/>
            <w:vAlign w:val="center"/>
          </w:tcPr>
          <w:p w:rsidR="00485094" w:rsidRDefault="00485094">
            <w:pPr>
              <w:ind w:firstLine="360"/>
              <w:rPr>
                <w:rFonts w:ascii="Arial" w:hAnsi="Arial"/>
                <w:snapToGrid w:val="0"/>
                <w:sz w:val="18"/>
              </w:rPr>
            </w:pPr>
            <w:r w:rsidRPr="00E76B4B">
              <w:rPr>
                <w:rFonts w:ascii="Arial" w:hAnsi="Arial"/>
                <w:snapToGrid w:val="0"/>
                <w:sz w:val="18"/>
              </w:rPr>
              <w:t>% change, April 1, 2000, to July 1, 200</w:t>
            </w:r>
            <w:r>
              <w:rPr>
                <w:rFonts w:ascii="Arial" w:hAnsi="Arial"/>
                <w:snapToGrid w:val="0"/>
                <w:sz w:val="18"/>
              </w:rPr>
              <w:t>8</w:t>
            </w:r>
            <w:r w:rsidRPr="00E76B4B">
              <w:rPr>
                <w:rFonts w:ascii="Arial" w:hAnsi="Arial"/>
                <w:snapToGrid w:val="0"/>
                <w:sz w:val="18"/>
              </w:rPr>
              <w:t xml:space="preserve"> </w:t>
            </w:r>
          </w:p>
        </w:tc>
        <w:tc>
          <w:tcPr>
            <w:tcW w:w="4823" w:type="dxa"/>
            <w:vAlign w:val="center"/>
          </w:tcPr>
          <w:p w:rsidR="00485094" w:rsidRDefault="00485094">
            <w:pPr>
              <w:ind w:firstLine="305"/>
              <w:rPr>
                <w:rFonts w:ascii="Arial" w:hAnsi="Arial"/>
                <w:snapToGrid w:val="0"/>
                <w:sz w:val="18"/>
              </w:rPr>
            </w:pPr>
            <w:r w:rsidRPr="00E76B4B">
              <w:rPr>
                <w:rFonts w:ascii="Arial" w:hAnsi="Arial"/>
                <w:snapToGrid w:val="0"/>
                <w:sz w:val="18"/>
              </w:rPr>
              <w:t xml:space="preserve">+ </w:t>
            </w:r>
            <w:r>
              <w:rPr>
                <w:rFonts w:ascii="Arial" w:hAnsi="Arial"/>
                <w:snapToGrid w:val="0"/>
                <w:sz w:val="18"/>
              </w:rPr>
              <w:t>14.9</w:t>
            </w:r>
            <w:r w:rsidRPr="00E76B4B">
              <w:rPr>
                <w:rFonts w:ascii="Arial" w:hAnsi="Arial"/>
                <w:snapToGrid w:val="0"/>
                <w:sz w:val="18"/>
              </w:rPr>
              <w:t>%</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Surface area</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z w:val="18"/>
              </w:rPr>
              <w:t>65,758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land area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22</w:t>
            </w:r>
            <w:r w:rsidRPr="00E76B4B">
              <w:rPr>
                <w:rFonts w:ascii="Arial" w:hAnsi="Arial"/>
                <w:snapToGrid w:val="0"/>
                <w:sz w:val="18"/>
                <w:vertAlign w:val="superscript"/>
              </w:rPr>
              <w:t>nd</w:t>
            </w:r>
            <w:r w:rsidRPr="00E76B4B">
              <w:rPr>
                <w:rFonts w:ascii="Arial" w:hAnsi="Arial"/>
                <w:snapToGrid w:val="0"/>
                <w:sz w:val="18"/>
              </w:rPr>
              <w:t xml:space="preserve"> in size</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NormalWeb"/>
              <w:spacing w:before="0" w:after="0"/>
              <w:rPr>
                <w:rFonts w:ascii="Arial" w:hAnsi="Arial"/>
                <w:b/>
                <w:snapToGrid w:val="0"/>
                <w:sz w:val="18"/>
              </w:rPr>
            </w:pPr>
            <w:r w:rsidRPr="00E76B4B">
              <w:rPr>
                <w:rFonts w:ascii="Arial" w:hAnsi="Arial"/>
                <w:b/>
                <w:snapToGrid w:val="0"/>
                <w:sz w:val="18"/>
              </w:rPr>
              <w:t>Total water area</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z w:val="18"/>
              </w:rPr>
              <w:t>11,761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Ranking by total water area among 50 states</w:t>
            </w:r>
          </w:p>
        </w:tc>
        <w:tc>
          <w:tcPr>
            <w:tcW w:w="4823" w:type="dxa"/>
            <w:vAlign w:val="center"/>
          </w:tcPr>
          <w:p w:rsidR="00485094" w:rsidRPr="00E76B4B" w:rsidRDefault="00485094" w:rsidP="00E76B4B">
            <w:pPr>
              <w:ind w:firstLine="305"/>
              <w:rPr>
                <w:rFonts w:ascii="Arial" w:hAnsi="Arial"/>
                <w:snapToGrid w:val="0"/>
                <w:sz w:val="18"/>
              </w:rPr>
            </w:pPr>
            <w:r w:rsidRPr="00E76B4B">
              <w:rPr>
                <w:rFonts w:ascii="Arial" w:hAnsi="Arial"/>
                <w:snapToGrid w:val="0"/>
                <w:sz w:val="18"/>
              </w:rPr>
              <w:t>3</w:t>
            </w:r>
            <w:r w:rsidRPr="00E76B4B">
              <w:rPr>
                <w:rFonts w:ascii="Arial" w:hAnsi="Arial"/>
                <w:snapToGrid w:val="0"/>
                <w:sz w:val="18"/>
                <w:vertAlign w:val="superscript"/>
              </w:rPr>
              <w:t>rd</w:t>
            </w:r>
            <w:r w:rsidRPr="00E76B4B">
              <w:rPr>
                <w:rFonts w:ascii="Arial" w:hAnsi="Arial"/>
                <w:snapToGrid w:val="0"/>
                <w:sz w:val="18"/>
              </w:rPr>
              <w:t xml:space="preserve"> largest</w:t>
            </w:r>
          </w:p>
        </w:tc>
      </w:tr>
      <w:tr w:rsidR="00485094" w:rsidRPr="00E76B4B" w:rsidTr="009D19A3">
        <w:trPr>
          <w:trHeight w:val="435"/>
          <w:jc w:val="center"/>
        </w:trPr>
        <w:tc>
          <w:tcPr>
            <w:tcW w:w="5095" w:type="dxa"/>
            <w:shd w:val="clear" w:color="auto" w:fill="FFFFD5"/>
            <w:vAlign w:val="center"/>
          </w:tcPr>
          <w:p w:rsidR="00485094" w:rsidRPr="00E76B4B" w:rsidRDefault="00485094" w:rsidP="00F9092E">
            <w:pPr>
              <w:rPr>
                <w:rFonts w:ascii="Arial" w:hAnsi="Arial"/>
                <w:b/>
                <w:snapToGrid w:val="0"/>
                <w:sz w:val="18"/>
              </w:rPr>
            </w:pPr>
            <w:r w:rsidRPr="00E76B4B">
              <w:rPr>
                <w:rFonts w:ascii="Arial" w:hAnsi="Arial"/>
                <w:b/>
                <w:snapToGrid w:val="0"/>
                <w:sz w:val="18"/>
              </w:rPr>
              <w:t xml:space="preserve">Number of U.S. Geological Survey </w:t>
            </w:r>
            <w:r>
              <w:rPr>
                <w:rFonts w:ascii="Arial" w:hAnsi="Arial"/>
                <w:b/>
                <w:snapToGrid w:val="0"/>
                <w:sz w:val="18"/>
              </w:rPr>
              <w:t xml:space="preserve">(USGS) </w:t>
            </w:r>
            <w:r w:rsidRPr="00E76B4B">
              <w:rPr>
                <w:rFonts w:ascii="Arial" w:hAnsi="Arial"/>
                <w:b/>
                <w:snapToGrid w:val="0"/>
                <w:sz w:val="18"/>
              </w:rPr>
              <w:t xml:space="preserve">hydrologic units </w:t>
            </w:r>
            <w:r>
              <w:rPr>
                <w:rFonts w:ascii="Arial" w:hAnsi="Arial"/>
                <w:b/>
                <w:snapToGrid w:val="0"/>
                <w:sz w:val="18"/>
              </w:rPr>
              <w:t xml:space="preserve"> </w:t>
            </w:r>
            <w:r w:rsidRPr="00E76B4B">
              <w:rPr>
                <w:rFonts w:ascii="Arial" w:hAnsi="Arial"/>
                <w:snapToGrid w:val="0"/>
                <w:sz w:val="18"/>
              </w:rPr>
              <w:t>(i.e., watersheds with hydrologic unit codes, or HUCs)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52</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Header"/>
              <w:tabs>
                <w:tab w:val="clear" w:pos="4320"/>
                <w:tab w:val="clear" w:pos="8640"/>
              </w:tabs>
              <w:rPr>
                <w:rFonts w:ascii="Arial" w:hAnsi="Arial"/>
                <w:b/>
                <w:snapToGrid w:val="0"/>
                <w:sz w:val="18"/>
              </w:rPr>
            </w:pPr>
            <w:r w:rsidRPr="00E76B4B">
              <w:rPr>
                <w:rFonts w:ascii="Arial" w:hAnsi="Arial"/>
                <w:b/>
                <w:snapToGrid w:val="0"/>
                <w:sz w:val="18"/>
              </w:rPr>
              <w:t xml:space="preserve">Total number of rivers and streams </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More than 1,700</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pStyle w:val="Header"/>
              <w:tabs>
                <w:tab w:val="clear" w:pos="4320"/>
                <w:tab w:val="clear" w:pos="8640"/>
              </w:tabs>
              <w:rPr>
                <w:rFonts w:ascii="Arial" w:hAnsi="Arial"/>
                <w:b/>
                <w:snapToGrid w:val="0"/>
                <w:sz w:val="18"/>
              </w:rPr>
            </w:pPr>
            <w:r w:rsidRPr="00E76B4B">
              <w:rPr>
                <w:rFonts w:ascii="Arial" w:hAnsi="Arial"/>
                <w:b/>
                <w:snapToGrid w:val="0"/>
                <w:sz w:val="18"/>
              </w:rPr>
              <w:t>Total number of river and stream miles</w:t>
            </w:r>
          </w:p>
        </w:tc>
        <w:tc>
          <w:tcPr>
            <w:tcW w:w="4823" w:type="dxa"/>
            <w:vAlign w:val="center"/>
          </w:tcPr>
          <w:p w:rsidR="00485094" w:rsidRPr="00E76B4B" w:rsidRDefault="00485094" w:rsidP="003475EE">
            <w:pPr>
              <w:rPr>
                <w:rFonts w:ascii="Arial" w:hAnsi="Arial"/>
                <w:b/>
                <w:snapToGrid w:val="0"/>
                <w:sz w:val="18"/>
              </w:rPr>
            </w:pPr>
            <w:r>
              <w:rPr>
                <w:rFonts w:ascii="Arial" w:hAnsi="Arial"/>
                <w:b/>
                <w:snapToGrid w:val="0"/>
                <w:sz w:val="18"/>
              </w:rPr>
              <w:t>78,170</w:t>
            </w:r>
            <w:r w:rsidRPr="00E76B4B">
              <w:rPr>
                <w:rFonts w:ascii="Arial" w:hAnsi="Arial"/>
                <w:b/>
                <w:snapToGrid w:val="0"/>
                <w:sz w:val="18"/>
              </w:rPr>
              <w:t xml:space="preserv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Total river miles bordering other states</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191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Name">
              <w:smartTag w:uri="urn:schemas-microsoft-com:office:smarttags" w:element="place">
                <w:r w:rsidRPr="00E76B4B">
                  <w:rPr>
                    <w:rFonts w:ascii="Arial" w:hAnsi="Arial"/>
                    <w:i/>
                    <w:snapToGrid w:val="0"/>
                    <w:sz w:val="18"/>
                  </w:rPr>
                  <w:t>Chattahoochee</w:t>
                </w:r>
              </w:smartTag>
              <w:r w:rsidRPr="00E76B4B">
                <w:rPr>
                  <w:rFonts w:ascii="Arial" w:hAnsi="Arial"/>
                  <w:i/>
                  <w:snapToGrid w:val="0"/>
                  <w:sz w:val="18"/>
                </w:rPr>
                <w:t xml:space="preserve"> </w:t>
              </w:r>
              <w:smartTag w:uri="urn:schemas-microsoft-com:office:smarttags" w:element="PlaceType">
                <w:r w:rsidRPr="00E76B4B">
                  <w:rPr>
                    <w:rFonts w:ascii="Arial" w:hAnsi="Arial"/>
                    <w:i/>
                    <w:snapToGrid w:val="0"/>
                    <w:sz w:val="18"/>
                  </w:rPr>
                  <w:t>River</w:t>
                </w:r>
              </w:smartTag>
            </w:smartTag>
          </w:p>
        </w:tc>
        <w:tc>
          <w:tcPr>
            <w:tcW w:w="4823" w:type="dxa"/>
            <w:vAlign w:val="center"/>
          </w:tcPr>
          <w:p w:rsidR="00485094" w:rsidRPr="00E76B4B" w:rsidRDefault="00485094" w:rsidP="00E76B4B">
            <w:pPr>
              <w:ind w:left="665"/>
              <w:rPr>
                <w:rFonts w:ascii="Arial" w:hAnsi="Arial"/>
                <w:i/>
                <w:snapToGrid w:val="0"/>
                <w:sz w:val="18"/>
              </w:rPr>
            </w:pPr>
            <w:r w:rsidRPr="00E76B4B">
              <w:rPr>
                <w:rFonts w:ascii="Arial" w:hAnsi="Arial"/>
                <w:i/>
                <w:snapToGrid w:val="0"/>
                <w:sz w:val="18"/>
              </w:rPr>
              <w:t>26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Name">
              <w:smartTag w:uri="urn:schemas-microsoft-com:office:smarttags" w:element="place">
                <w:r w:rsidRPr="00E76B4B">
                  <w:rPr>
                    <w:rFonts w:ascii="Arial" w:hAnsi="Arial"/>
                    <w:i/>
                    <w:snapToGrid w:val="0"/>
                    <w:sz w:val="18"/>
                  </w:rPr>
                  <w:t>Perdido</w:t>
                </w:r>
              </w:smartTag>
              <w:r w:rsidRPr="00E76B4B">
                <w:rPr>
                  <w:rFonts w:ascii="Arial" w:hAnsi="Arial"/>
                  <w:i/>
                  <w:snapToGrid w:val="0"/>
                  <w:sz w:val="18"/>
                </w:rPr>
                <w:t xml:space="preserve"> </w:t>
              </w:r>
              <w:smartTag w:uri="urn:schemas-microsoft-com:office:smarttags" w:element="PlaceType">
                <w:r w:rsidRPr="00E76B4B">
                  <w:rPr>
                    <w:rFonts w:ascii="Arial" w:hAnsi="Arial"/>
                    <w:i/>
                    <w:snapToGrid w:val="0"/>
                    <w:sz w:val="18"/>
                  </w:rPr>
                  <w:t>River</w:t>
                </w:r>
              </w:smartTag>
            </w:smartTag>
          </w:p>
        </w:tc>
        <w:tc>
          <w:tcPr>
            <w:tcW w:w="4823" w:type="dxa"/>
            <w:vAlign w:val="center"/>
          </w:tcPr>
          <w:p w:rsidR="00485094" w:rsidRPr="00E76B4B" w:rsidRDefault="00485094" w:rsidP="00E76B4B">
            <w:pPr>
              <w:ind w:firstLine="665"/>
              <w:rPr>
                <w:rFonts w:ascii="Arial" w:hAnsi="Arial"/>
                <w:i/>
                <w:snapToGrid w:val="0"/>
                <w:sz w:val="18"/>
              </w:rPr>
            </w:pPr>
            <w:r w:rsidRPr="00E76B4B">
              <w:rPr>
                <w:rFonts w:ascii="Arial" w:hAnsi="Arial"/>
                <w:i/>
                <w:snapToGrid w:val="0"/>
                <w:sz w:val="18"/>
              </w:rPr>
              <w:t>65 miles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720"/>
              <w:rPr>
                <w:rFonts w:ascii="Arial" w:hAnsi="Arial"/>
                <w:i/>
                <w:snapToGrid w:val="0"/>
                <w:sz w:val="18"/>
              </w:rPr>
            </w:pPr>
            <w:smartTag w:uri="urn:schemas-microsoft-com:office:smarttags" w:element="place">
              <w:r w:rsidRPr="00E76B4B">
                <w:rPr>
                  <w:rFonts w:ascii="Arial" w:hAnsi="Arial"/>
                  <w:i/>
                  <w:snapToGrid w:val="0"/>
                  <w:sz w:val="18"/>
                </w:rPr>
                <w:t>St. Marys River</w:t>
              </w:r>
            </w:smartTag>
          </w:p>
        </w:tc>
        <w:tc>
          <w:tcPr>
            <w:tcW w:w="4823" w:type="dxa"/>
            <w:vAlign w:val="center"/>
          </w:tcPr>
          <w:p w:rsidR="00485094" w:rsidRPr="00E76B4B" w:rsidRDefault="00485094" w:rsidP="00E76B4B">
            <w:pPr>
              <w:ind w:firstLine="665"/>
              <w:rPr>
                <w:rFonts w:ascii="Arial" w:hAnsi="Arial"/>
                <w:i/>
                <w:snapToGrid w:val="0"/>
                <w:sz w:val="18"/>
              </w:rPr>
            </w:pPr>
            <w:r w:rsidRPr="00E76B4B">
              <w:rPr>
                <w:rFonts w:ascii="Arial" w:hAnsi="Arial"/>
                <w:i/>
                <w:snapToGrid w:val="0"/>
                <w:sz w:val="18"/>
              </w:rPr>
              <w:t>100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 xml:space="preserve">Longest river (entirely in </w:t>
            </w:r>
            <w:smartTag w:uri="urn:schemas-microsoft-com:office:smarttags" w:element="State">
              <w:smartTag w:uri="urn:schemas-microsoft-com:office:smarttags" w:element="place">
                <w:r w:rsidRPr="00E76B4B">
                  <w:rPr>
                    <w:rFonts w:ascii="Arial" w:hAnsi="Arial"/>
                    <w:b/>
                    <w:snapToGrid w:val="0"/>
                    <w:sz w:val="18"/>
                  </w:rPr>
                  <w:t>Florida</w:t>
                </w:r>
              </w:smartTag>
            </w:smartTag>
            <w:r w:rsidRPr="00E76B4B">
              <w:rPr>
                <w:rFonts w:ascii="Arial" w:hAnsi="Arial"/>
                <w:b/>
                <w:snapToGrid w:val="0"/>
                <w:sz w:val="18"/>
              </w:rPr>
              <w:t>)</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
              <w:r w:rsidRPr="00E76B4B">
                <w:rPr>
                  <w:rFonts w:ascii="Arial" w:hAnsi="Arial"/>
                  <w:b/>
                  <w:snapToGrid w:val="0"/>
                  <w:sz w:val="18"/>
                </w:rPr>
                <w:t>St. Johns River</w:t>
              </w:r>
            </w:smartTag>
            <w:r w:rsidRPr="00E76B4B">
              <w:rPr>
                <w:rFonts w:ascii="Arial" w:hAnsi="Arial"/>
                <w:b/>
                <w:snapToGrid w:val="0"/>
                <w:sz w:val="18"/>
              </w:rPr>
              <w:t xml:space="preserve"> (273 miles)</w:t>
            </w:r>
          </w:p>
        </w:tc>
      </w:tr>
      <w:tr w:rsidR="00485094" w:rsidRPr="00E76B4B" w:rsidTr="009D19A3">
        <w:trPr>
          <w:trHeight w:val="453"/>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Largest discharge</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Name">
              <w:smartTag w:uri="urn:schemas-microsoft-com:office:smarttags" w:element="place">
                <w:r w:rsidRPr="00E76B4B">
                  <w:rPr>
                    <w:rFonts w:ascii="Arial" w:hAnsi="Arial"/>
                    <w:b/>
                    <w:snapToGrid w:val="0"/>
                    <w:sz w:val="18"/>
                  </w:rPr>
                  <w:t>Apalachicola</w:t>
                </w:r>
              </w:smartTag>
              <w:r w:rsidRPr="00E76B4B">
                <w:rPr>
                  <w:rFonts w:ascii="Arial" w:hAnsi="Arial"/>
                  <w:b/>
                  <w:snapToGrid w:val="0"/>
                  <w:sz w:val="18"/>
                </w:rPr>
                <w:t xml:space="preserve"> </w:t>
              </w:r>
              <w:smartTag w:uri="urn:schemas-microsoft-com:office:smarttags" w:element="PlaceType">
                <w:r w:rsidRPr="00E76B4B">
                  <w:rPr>
                    <w:rFonts w:ascii="Arial" w:hAnsi="Arial"/>
                    <w:b/>
                    <w:snapToGrid w:val="0"/>
                    <w:sz w:val="18"/>
                  </w:rPr>
                  <w:t>River</w:t>
                </w:r>
              </w:smartTag>
            </w:smartTag>
            <w:r w:rsidRPr="00E76B4B">
              <w:rPr>
                <w:rFonts w:ascii="Arial" w:hAnsi="Arial"/>
                <w:b/>
                <w:snapToGrid w:val="0"/>
                <w:sz w:val="18"/>
              </w:rPr>
              <w:t xml:space="preserve"> (average of </w:t>
            </w:r>
          </w:p>
          <w:p w:rsidR="00485094" w:rsidRPr="00E76B4B" w:rsidRDefault="00485094" w:rsidP="003475EE">
            <w:pPr>
              <w:rPr>
                <w:rFonts w:ascii="Arial" w:hAnsi="Arial"/>
                <w:b/>
                <w:snapToGrid w:val="0"/>
                <w:sz w:val="18"/>
              </w:rPr>
            </w:pPr>
            <w:r w:rsidRPr="00E76B4B">
              <w:rPr>
                <w:rFonts w:ascii="Arial" w:hAnsi="Arial"/>
                <w:b/>
                <w:snapToGrid w:val="0"/>
                <w:sz w:val="18"/>
              </w:rPr>
              <w:t>24,768 cubic feet per second [cfs])</w:t>
            </w:r>
          </w:p>
        </w:tc>
      </w:tr>
      <w:tr w:rsidR="00485094" w:rsidRPr="00E76B4B" w:rsidTr="009D19A3">
        <w:trPr>
          <w:trHeight w:val="259"/>
          <w:jc w:val="center"/>
        </w:trPr>
        <w:tc>
          <w:tcPr>
            <w:tcW w:w="5095" w:type="dxa"/>
            <w:shd w:val="clear" w:color="auto" w:fill="FFFFD5"/>
            <w:vAlign w:val="center"/>
          </w:tcPr>
          <w:p w:rsidR="00485094" w:rsidRPr="00E76B4B" w:rsidRDefault="00485094" w:rsidP="00100349">
            <w:pPr>
              <w:rPr>
                <w:rFonts w:ascii="Arial" w:hAnsi="Arial"/>
                <w:b/>
                <w:snapToGrid w:val="0"/>
                <w:sz w:val="18"/>
              </w:rPr>
            </w:pPr>
            <w:r>
              <w:rPr>
                <w:rFonts w:ascii="Arial" w:hAnsi="Arial"/>
                <w:b/>
                <w:snapToGrid w:val="0"/>
                <w:sz w:val="18"/>
              </w:rPr>
              <w:t>Total number of d</w:t>
            </w:r>
            <w:r w:rsidRPr="00E76B4B">
              <w:rPr>
                <w:rFonts w:ascii="Arial" w:hAnsi="Arial"/>
                <w:b/>
                <w:snapToGrid w:val="0"/>
                <w:sz w:val="18"/>
              </w:rPr>
              <w:t>itch and canal</w:t>
            </w:r>
            <w:r>
              <w:rPr>
                <w:rFonts w:ascii="Arial" w:hAnsi="Arial"/>
                <w:b/>
                <w:snapToGrid w:val="0"/>
                <w:sz w:val="18"/>
              </w:rPr>
              <w:t xml:space="preserve"> miles</w:t>
            </w:r>
          </w:p>
        </w:tc>
        <w:tc>
          <w:tcPr>
            <w:tcW w:w="4823" w:type="dxa"/>
            <w:vAlign w:val="center"/>
          </w:tcPr>
          <w:p w:rsidR="00485094" w:rsidRPr="00E76B4B" w:rsidRDefault="00485094" w:rsidP="00100349">
            <w:pPr>
              <w:rPr>
                <w:rFonts w:ascii="Arial" w:hAnsi="Arial"/>
                <w:b/>
                <w:snapToGrid w:val="0"/>
                <w:sz w:val="18"/>
              </w:rPr>
            </w:pPr>
            <w:r>
              <w:rPr>
                <w:rFonts w:ascii="Arial" w:hAnsi="Arial"/>
                <w:b/>
                <w:snapToGrid w:val="0"/>
                <w:sz w:val="18"/>
              </w:rPr>
              <w:t>49,540</w:t>
            </w:r>
            <w:r w:rsidRPr="00E76B4B">
              <w:rPr>
                <w:rFonts w:ascii="Arial" w:hAnsi="Arial"/>
                <w:b/>
                <w:snapToGrid w:val="0"/>
                <w:sz w:val="18"/>
              </w:rPr>
              <w:t xml:space="preserv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Number of lakes, reservoirs, and ponds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7,712 (area greater than or equal to 10 acres)</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Area of lakes, reservoirs, and ponds</w:t>
            </w:r>
          </w:p>
        </w:tc>
        <w:tc>
          <w:tcPr>
            <w:tcW w:w="4823" w:type="dxa"/>
            <w:vAlign w:val="center"/>
          </w:tcPr>
          <w:p w:rsidR="00485094" w:rsidRPr="00E76B4B" w:rsidRDefault="00485094" w:rsidP="00525390">
            <w:pPr>
              <w:ind w:firstLine="305"/>
              <w:rPr>
                <w:rFonts w:ascii="Arial" w:hAnsi="Arial"/>
                <w:snapToGrid w:val="0"/>
                <w:sz w:val="18"/>
              </w:rPr>
            </w:pPr>
            <w:r w:rsidRPr="00E76B4B">
              <w:rPr>
                <w:rFonts w:ascii="Arial" w:hAnsi="Arial"/>
                <w:snapToGrid w:val="0"/>
                <w:sz w:val="18"/>
              </w:rPr>
              <w:t>1,</w:t>
            </w:r>
            <w:r>
              <w:rPr>
                <w:rFonts w:ascii="Arial" w:hAnsi="Arial"/>
                <w:snapToGrid w:val="0"/>
                <w:sz w:val="18"/>
              </w:rPr>
              <w:t xml:space="preserve">618,368 </w:t>
            </w:r>
            <w:r w:rsidRPr="00E76B4B">
              <w:rPr>
                <w:rFonts w:ascii="Arial" w:hAnsi="Arial"/>
                <w:snapToGrid w:val="0"/>
                <w:sz w:val="18"/>
              </w:rPr>
              <w:t>acres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largest lake</w:t>
            </w:r>
          </w:p>
        </w:tc>
        <w:tc>
          <w:tcPr>
            <w:tcW w:w="4823" w:type="dxa"/>
            <w:vAlign w:val="center"/>
          </w:tcPr>
          <w:p w:rsidR="00485094" w:rsidRPr="00E76B4B" w:rsidRDefault="00485094" w:rsidP="003475EE">
            <w:pPr>
              <w:rPr>
                <w:rFonts w:ascii="Arial" w:hAnsi="Arial"/>
                <w:b/>
                <w:snapToGrid w:val="0"/>
                <w:sz w:val="18"/>
              </w:rPr>
            </w:pPr>
            <w:smartTag w:uri="urn:schemas-microsoft-com:office:smarttags" w:element="place">
              <w:r w:rsidRPr="00E76B4B">
                <w:rPr>
                  <w:rFonts w:ascii="Arial" w:hAnsi="Arial"/>
                  <w:b/>
                  <w:snapToGrid w:val="0"/>
                  <w:sz w:val="18"/>
                </w:rPr>
                <w:t>Lake Okeechobee</w:t>
              </w:r>
            </w:smartTag>
            <w:r w:rsidRPr="00E76B4B">
              <w:rPr>
                <w:rFonts w:ascii="Arial" w:hAnsi="Arial"/>
                <w:b/>
                <w:snapToGrid w:val="0"/>
                <w:sz w:val="18"/>
              </w:rPr>
              <w:t xml:space="preserve"> (435,840 acres)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estuaries and bays</w:t>
            </w:r>
          </w:p>
        </w:tc>
        <w:tc>
          <w:tcPr>
            <w:tcW w:w="4823" w:type="dxa"/>
            <w:vAlign w:val="center"/>
          </w:tcPr>
          <w:p w:rsidR="00485094" w:rsidRPr="00E76B4B" w:rsidRDefault="00485094" w:rsidP="001725EE">
            <w:pPr>
              <w:rPr>
                <w:rFonts w:ascii="Arial" w:hAnsi="Arial"/>
                <w:b/>
                <w:snapToGrid w:val="0"/>
                <w:sz w:val="18"/>
              </w:rPr>
            </w:pPr>
            <w:r>
              <w:rPr>
                <w:rFonts w:ascii="Arial" w:hAnsi="Arial"/>
                <w:b/>
                <w:snapToGrid w:val="0"/>
                <w:sz w:val="18"/>
              </w:rPr>
              <w:t xml:space="preserve">4,460 </w:t>
            </w:r>
            <w:r w:rsidRPr="00E76B4B">
              <w:rPr>
                <w:rFonts w:ascii="Arial" w:hAnsi="Arial"/>
                <w:b/>
                <w:snapToGrid w:val="0"/>
                <w:sz w:val="18"/>
              </w:rPr>
              <w:t xml:space="preserve">square miles </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coastal waters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6,758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freshwater and tidal wetlands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17,830 square miles</w:t>
            </w:r>
          </w:p>
        </w:tc>
      </w:tr>
      <w:tr w:rsidR="00485094" w:rsidRPr="00E76B4B" w:rsidTr="009D19A3">
        <w:trPr>
          <w:trHeight w:val="705"/>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Prominent wetland systems</w:t>
            </w:r>
          </w:p>
        </w:tc>
        <w:tc>
          <w:tcPr>
            <w:tcW w:w="4823" w:type="dxa"/>
            <w:vAlign w:val="center"/>
          </w:tcPr>
          <w:p w:rsidR="00485094" w:rsidRPr="00E76B4B" w:rsidRDefault="00485094" w:rsidP="00E76B4B">
            <w:pPr>
              <w:ind w:left="305" w:hanging="35"/>
              <w:rPr>
                <w:rFonts w:ascii="Arial" w:hAnsi="Arial"/>
                <w:snapToGrid w:val="0"/>
                <w:sz w:val="18"/>
              </w:rPr>
            </w:pPr>
            <w:r w:rsidRPr="00E76B4B">
              <w:rPr>
                <w:rFonts w:ascii="Arial" w:hAnsi="Arial"/>
                <w:snapToGrid w:val="0"/>
                <w:sz w:val="18"/>
              </w:rPr>
              <w:t xml:space="preserve">Everglades and Big Cypress Swamp, Green Swamp, Okefenokee Swamp, Big Bend coastal marshes, </w:t>
            </w:r>
            <w:r w:rsidRPr="00E76B4B">
              <w:rPr>
                <w:rFonts w:ascii="Arial" w:hAnsi="Arial"/>
                <w:sz w:val="18"/>
              </w:rPr>
              <w:t>St. Johns River marshes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Area of islands greater than 10 acres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1,314 square miles</w:t>
            </w:r>
          </w:p>
        </w:tc>
      </w:tr>
      <w:tr w:rsidR="00485094" w:rsidRPr="00E76B4B" w:rsidTr="009D19A3">
        <w:trPr>
          <w:trHeight w:val="259"/>
          <w:jc w:val="center"/>
        </w:trPr>
        <w:tc>
          <w:tcPr>
            <w:tcW w:w="5095" w:type="dxa"/>
            <w:shd w:val="clear" w:color="auto" w:fill="FFFFD5"/>
            <w:vAlign w:val="center"/>
          </w:tcPr>
          <w:p w:rsidR="00485094" w:rsidRPr="00E76B4B" w:rsidRDefault="00485094" w:rsidP="003475EE">
            <w:pPr>
              <w:rPr>
                <w:rFonts w:ascii="Arial" w:hAnsi="Arial"/>
                <w:b/>
                <w:snapToGrid w:val="0"/>
                <w:sz w:val="18"/>
              </w:rPr>
            </w:pPr>
            <w:r w:rsidRPr="00E76B4B">
              <w:rPr>
                <w:rFonts w:ascii="Arial" w:hAnsi="Arial"/>
                <w:b/>
                <w:snapToGrid w:val="0"/>
                <w:sz w:val="18"/>
              </w:rPr>
              <w:t>Number of known springs</w:t>
            </w:r>
          </w:p>
        </w:tc>
        <w:tc>
          <w:tcPr>
            <w:tcW w:w="4823" w:type="dxa"/>
            <w:vAlign w:val="center"/>
          </w:tcPr>
          <w:p w:rsidR="00485094" w:rsidRPr="00E76B4B" w:rsidRDefault="00485094" w:rsidP="003475EE">
            <w:pPr>
              <w:rPr>
                <w:rFonts w:ascii="Arial" w:hAnsi="Arial"/>
                <w:b/>
                <w:snapToGrid w:val="0"/>
                <w:sz w:val="18"/>
              </w:rPr>
            </w:pPr>
            <w:r w:rsidRPr="00E76B4B">
              <w:rPr>
                <w:rFonts w:ascii="Arial" w:hAnsi="Arial"/>
                <w:b/>
                <w:snapToGrid w:val="0"/>
                <w:sz w:val="18"/>
              </w:rPr>
              <w:t>More than 700</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Combined spring outflow</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8 billion gallons per day</w:t>
            </w:r>
          </w:p>
        </w:tc>
      </w:tr>
      <w:tr w:rsidR="00485094" w:rsidRPr="00E76B4B" w:rsidTr="009D19A3">
        <w:trPr>
          <w:trHeight w:val="507"/>
          <w:jc w:val="center"/>
        </w:trPr>
        <w:tc>
          <w:tcPr>
            <w:tcW w:w="5095" w:type="dxa"/>
            <w:shd w:val="clear" w:color="auto" w:fill="FFFFD5"/>
            <w:vAlign w:val="center"/>
          </w:tcPr>
          <w:p w:rsidR="00485094" w:rsidRPr="00E76B4B" w:rsidRDefault="00485094" w:rsidP="00E76B4B">
            <w:pPr>
              <w:ind w:firstLine="360"/>
              <w:rPr>
                <w:rFonts w:ascii="Arial" w:hAnsi="Arial"/>
                <w:snapToGrid w:val="0"/>
                <w:sz w:val="18"/>
              </w:rPr>
            </w:pPr>
            <w:r w:rsidRPr="00E76B4B">
              <w:rPr>
                <w:rFonts w:ascii="Arial" w:hAnsi="Arial"/>
                <w:snapToGrid w:val="0"/>
                <w:sz w:val="18"/>
              </w:rPr>
              <w:t>Largest spring</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 xml:space="preserve">Wakulla Springs (average discharge </w:t>
            </w:r>
          </w:p>
          <w:p w:rsidR="00485094" w:rsidRPr="00E76B4B" w:rsidRDefault="00485094" w:rsidP="00E76B4B">
            <w:pPr>
              <w:ind w:left="305"/>
              <w:rPr>
                <w:rFonts w:ascii="Arial" w:hAnsi="Arial"/>
                <w:snapToGrid w:val="0"/>
                <w:sz w:val="18"/>
              </w:rPr>
            </w:pPr>
            <w:r w:rsidRPr="00E76B4B">
              <w:rPr>
                <w:rFonts w:ascii="Arial" w:hAnsi="Arial"/>
                <w:snapToGrid w:val="0"/>
                <w:sz w:val="18"/>
              </w:rPr>
              <w:t>of 252 million gallons per day [MGD])</w:t>
            </w:r>
          </w:p>
        </w:tc>
      </w:tr>
      <w:tr w:rsidR="00485094" w:rsidRPr="00E76B4B" w:rsidTr="009D19A3">
        <w:trPr>
          <w:trHeight w:val="259"/>
          <w:jc w:val="center"/>
        </w:trPr>
        <w:tc>
          <w:tcPr>
            <w:tcW w:w="5095" w:type="dxa"/>
            <w:shd w:val="clear" w:color="auto" w:fill="FFFFD5"/>
            <w:vAlign w:val="center"/>
          </w:tcPr>
          <w:p w:rsidR="00485094" w:rsidRPr="00E76B4B" w:rsidRDefault="00485094" w:rsidP="00E76B4B">
            <w:pPr>
              <w:ind w:left="720" w:hanging="360"/>
              <w:rPr>
                <w:rFonts w:ascii="Arial" w:hAnsi="Arial"/>
                <w:snapToGrid w:val="0"/>
                <w:sz w:val="18"/>
              </w:rPr>
            </w:pPr>
            <w:r w:rsidRPr="00E76B4B">
              <w:rPr>
                <w:rFonts w:ascii="Arial" w:hAnsi="Arial"/>
                <w:snapToGrid w:val="0"/>
                <w:sz w:val="18"/>
              </w:rPr>
              <w:t xml:space="preserve">Number of first-order magnitude springs </w:t>
            </w:r>
          </w:p>
          <w:p w:rsidR="00485094" w:rsidRPr="00E76B4B" w:rsidRDefault="00485094" w:rsidP="00E76B4B">
            <w:pPr>
              <w:ind w:left="720" w:hanging="360"/>
              <w:rPr>
                <w:rFonts w:ascii="Arial" w:hAnsi="Arial"/>
                <w:snapToGrid w:val="0"/>
                <w:sz w:val="18"/>
              </w:rPr>
            </w:pPr>
            <w:r w:rsidRPr="00E76B4B">
              <w:rPr>
                <w:rFonts w:ascii="Arial" w:hAnsi="Arial"/>
                <w:snapToGrid w:val="0"/>
                <w:sz w:val="18"/>
              </w:rPr>
              <w:t>(flows greater than 64.6 MGD)</w:t>
            </w:r>
          </w:p>
        </w:tc>
        <w:tc>
          <w:tcPr>
            <w:tcW w:w="4823" w:type="dxa"/>
            <w:vAlign w:val="center"/>
          </w:tcPr>
          <w:p w:rsidR="00485094" w:rsidRPr="00E76B4B" w:rsidRDefault="00485094" w:rsidP="00E76B4B">
            <w:pPr>
              <w:ind w:left="305"/>
              <w:rPr>
                <w:rFonts w:ascii="Arial" w:hAnsi="Arial"/>
                <w:snapToGrid w:val="0"/>
                <w:sz w:val="18"/>
              </w:rPr>
            </w:pPr>
            <w:r w:rsidRPr="00E76B4B">
              <w:rPr>
                <w:rFonts w:ascii="Arial" w:hAnsi="Arial"/>
                <w:snapToGrid w:val="0"/>
                <w:sz w:val="18"/>
              </w:rPr>
              <w:t>33</w:t>
            </w:r>
          </w:p>
        </w:tc>
      </w:tr>
    </w:tbl>
    <w:p w:rsidR="00485094" w:rsidRDefault="00485094" w:rsidP="00A75223">
      <w:pPr>
        <w:pStyle w:val="TableText"/>
        <w:rPr>
          <w:b/>
          <w:szCs w:val="18"/>
          <w:highlight w:val="cyan"/>
        </w:rPr>
      </w:pPr>
    </w:p>
    <w:p w:rsidR="00485094" w:rsidRPr="00BB22DA" w:rsidRDefault="00485094" w:rsidP="00BB22DA">
      <w:pPr>
        <w:pStyle w:val="Bodytextreduced"/>
      </w:pPr>
      <w:r w:rsidRPr="00534B03">
        <w:rPr>
          <w:b/>
        </w:rPr>
        <w:t>Sources:</w:t>
      </w:r>
      <w:r w:rsidRPr="00BB22DA">
        <w:t xml:space="preserve">  </w:t>
      </w:r>
      <w:r>
        <w:t>Copeland et al., 2009; Florida Trend, 2009; FWC website, 2010d; U.S. Census Bureau, 2010c; American Safety Council website, 2010, USGS, 2010.</w:t>
      </w:r>
    </w:p>
    <w:p w:rsidR="00485094" w:rsidRPr="003A4461" w:rsidRDefault="00485094" w:rsidP="00A553DE">
      <w:pPr>
        <w:pStyle w:val="Bodytextreduced"/>
      </w:pPr>
      <w:r>
        <w:br w:type="page"/>
      </w:r>
    </w:p>
    <w:p w:rsidR="00485094" w:rsidRDefault="00485094" w:rsidP="008423A9">
      <w:pPr>
        <w:pStyle w:val="Heading3"/>
      </w:pPr>
      <w:bookmarkStart w:id="58" w:name="_Toc490373225"/>
      <w:bookmarkStart w:id="59" w:name="_Toc74537927"/>
      <w:bookmarkStart w:id="60" w:name="_Toc78886299"/>
      <w:bookmarkStart w:id="61" w:name="_Toc255822486"/>
      <w:bookmarkStart w:id="62" w:name="_Toc271794298"/>
      <w:r>
        <w:lastRenderedPageBreak/>
        <w:t>Population</w:t>
      </w:r>
      <w:bookmarkEnd w:id="58"/>
      <w:bookmarkEnd w:id="59"/>
      <w:bookmarkEnd w:id="60"/>
      <w:bookmarkEnd w:id="61"/>
      <w:bookmarkEnd w:id="62"/>
    </w:p>
    <w:p w:rsidR="00485094" w:rsidRPr="00B43D14" w:rsidRDefault="00485094" w:rsidP="00B43D14">
      <w:pPr>
        <w:pStyle w:val="Bodytext"/>
      </w:pPr>
      <w:r w:rsidRPr="00E138B6">
        <w:t>According to the U.S. Census Bureau, Florida’s population in 200</w:t>
      </w:r>
      <w:r>
        <w:t>8</w:t>
      </w:r>
      <w:r w:rsidRPr="00E138B6">
        <w:t xml:space="preserve"> was </w:t>
      </w:r>
      <w:r w:rsidRPr="003F5D2C">
        <w:t>18,328,340</w:t>
      </w:r>
      <w:r>
        <w:t xml:space="preserve"> (U.S. Census Bureau website, 2010c).  Population growth has slowed during the current economic downturn, and</w:t>
      </w:r>
      <w:r w:rsidRPr="00972222">
        <w:t xml:space="preserve"> is expected to reach only 1.57% in 2011</w:t>
      </w:r>
      <w:r>
        <w:t>–</w:t>
      </w:r>
      <w:r w:rsidRPr="00972222">
        <w:t>12</w:t>
      </w:r>
      <w:r>
        <w:t>.  However, Florida</w:t>
      </w:r>
      <w:r w:rsidRPr="00E138B6">
        <w:t xml:space="preserve"> is </w:t>
      </w:r>
      <w:r>
        <w:t xml:space="preserve">still </w:t>
      </w:r>
      <w:r w:rsidRPr="00E138B6">
        <w:t>projected to be</w:t>
      </w:r>
      <w:r>
        <w:t>come</w:t>
      </w:r>
      <w:r w:rsidRPr="00E138B6">
        <w:t xml:space="preserve"> the third</w:t>
      </w:r>
      <w:r w:rsidRPr="00E138B6">
        <w:rPr>
          <w:vertAlign w:val="superscript"/>
        </w:rPr>
        <w:t xml:space="preserve"> </w:t>
      </w:r>
      <w:r w:rsidRPr="00E138B6">
        <w:t xml:space="preserve">most populated </w:t>
      </w:r>
      <w:r>
        <w:t xml:space="preserve">state sometime before 2014, behind California and Texas (Florida Trend, 2009).  </w:t>
      </w:r>
      <w:r w:rsidRPr="00B43D14">
        <w:t xml:space="preserve">Within the next two decades, the state’s total population is expected to increase by </w:t>
      </w:r>
      <w:r>
        <w:t>9.4</w:t>
      </w:r>
      <w:r w:rsidRPr="00B43D14">
        <w:t xml:space="preserve"> million people.  Florida is also expected to gain 1.9 million people through international migration between </w:t>
      </w:r>
      <w:r w:rsidRPr="00595B30">
        <w:t>1995</w:t>
      </w:r>
      <w:r w:rsidRPr="008A6063">
        <w:t xml:space="preserve"> </w:t>
      </w:r>
      <w:r w:rsidRPr="00B43D14">
        <w:t>and</w:t>
      </w:r>
      <w:r>
        <w:t xml:space="preserve"> </w:t>
      </w:r>
      <w:r w:rsidRPr="00B43D14">
        <w:t>2025, the third largest net gain in the country</w:t>
      </w:r>
      <w:r>
        <w:t xml:space="preserve"> (U.S. Census Bureau website, 2010a–c)</w:t>
      </w:r>
      <w:r w:rsidRPr="00B43D14">
        <w:t>.</w:t>
      </w:r>
    </w:p>
    <w:p w:rsidR="00485094" w:rsidRPr="00B43D14" w:rsidRDefault="00485094" w:rsidP="00B43D14">
      <w:pPr>
        <w:pStyle w:val="Bodytext"/>
      </w:pPr>
    </w:p>
    <w:p w:rsidR="00485094" w:rsidRPr="00B43D14" w:rsidRDefault="00485094" w:rsidP="00B43D14">
      <w:pPr>
        <w:pStyle w:val="Bodytext"/>
      </w:pPr>
      <w:r w:rsidRPr="00B43D14">
        <w:t>As the baby-boom generation (those born between 1946 and 1964) reaches retirement age, the number of resid</w:t>
      </w:r>
      <w:r>
        <w:t xml:space="preserve">ents aged </w:t>
      </w:r>
      <w:r w:rsidRPr="00B43D14">
        <w:t xml:space="preserve">65 and over </w:t>
      </w:r>
      <w:r>
        <w:t>will</w:t>
      </w:r>
      <w:r w:rsidRPr="00B43D14">
        <w:t xml:space="preserve"> accelerate rapidly in all states.  In Florida, the proportion of </w:t>
      </w:r>
      <w:r>
        <w:t>people over 65</w:t>
      </w:r>
      <w:r w:rsidRPr="00B43D14">
        <w:t xml:space="preserve"> </w:t>
      </w:r>
      <w:r>
        <w:t xml:space="preserve">was 17.4% as of 2008, and this number is </w:t>
      </w:r>
      <w:r w:rsidRPr="00B43D14">
        <w:t xml:space="preserve">projected to </w:t>
      </w:r>
      <w:r>
        <w:t>grow</w:t>
      </w:r>
      <w:r w:rsidRPr="00B43D14">
        <w:t xml:space="preserve"> to </w:t>
      </w:r>
      <w:r>
        <w:t>19.5%</w:t>
      </w:r>
      <w:r w:rsidRPr="00B43D14">
        <w:t xml:space="preserve"> in 20</w:t>
      </w:r>
      <w:r>
        <w:t>15 (U.S. Census Bureau, 2010d).</w:t>
      </w:r>
    </w:p>
    <w:p w:rsidR="00485094" w:rsidRPr="00B43D14" w:rsidRDefault="00485094" w:rsidP="00B43D14">
      <w:pPr>
        <w:pStyle w:val="Bodytext"/>
      </w:pPr>
    </w:p>
    <w:p w:rsidR="00485094" w:rsidRPr="00B43D14" w:rsidRDefault="00485094" w:rsidP="00B43D14">
      <w:pPr>
        <w:pStyle w:val="Bodytext"/>
      </w:pPr>
      <w:r w:rsidRPr="00B43D14">
        <w:t>The state has a number of large, expanding population centers, including southeastern Florida (Dade, Broward, and Palm Beach Counties), Jacksonville, Tampa–St. Petersburg, southwest Florida (from Sarasota to Naples), and Orlando</w:t>
      </w:r>
      <w:r>
        <w:t xml:space="preserve"> (</w:t>
      </w:r>
      <w:r w:rsidRPr="00035B69">
        <w:rPr>
          <w:b/>
          <w:i/>
        </w:rPr>
        <w:t>Figure 2.1</w:t>
      </w:r>
      <w:r>
        <w:t>)</w:t>
      </w:r>
      <w:r w:rsidRPr="00B43D14">
        <w:t>.  In contrast, other relatively large areas of Florida are</w:t>
      </w:r>
      <w:r>
        <w:t xml:space="preserve"> </w:t>
      </w:r>
      <w:r w:rsidRPr="00B43D14">
        <w:t>sparsely populated.</w:t>
      </w:r>
    </w:p>
    <w:p w:rsidR="00485094" w:rsidRDefault="00485094" w:rsidP="00B43D14">
      <w:pPr>
        <w:pStyle w:val="Bodytext"/>
      </w:pPr>
    </w:p>
    <w:p w:rsidR="00485094" w:rsidRDefault="00485094" w:rsidP="008423A9">
      <w:pPr>
        <w:pStyle w:val="Heading3"/>
      </w:pPr>
      <w:bookmarkStart w:id="63" w:name="_Toc74537929"/>
      <w:bookmarkStart w:id="64" w:name="_Toc78886301"/>
      <w:bookmarkStart w:id="65" w:name="_Toc255822487"/>
      <w:bookmarkStart w:id="66" w:name="_Toc271794299"/>
      <w:bookmarkStart w:id="67" w:name="_Toc490373226"/>
      <w:bookmarkStart w:id="68" w:name="_Toc74537774"/>
      <w:bookmarkStart w:id="69" w:name="_Toc74537928"/>
      <w:bookmarkStart w:id="70" w:name="_Toc78886300"/>
      <w:r>
        <w:t>Climate</w:t>
      </w:r>
      <w:bookmarkEnd w:id="63"/>
      <w:bookmarkEnd w:id="64"/>
      <w:bookmarkEnd w:id="65"/>
      <w:bookmarkEnd w:id="66"/>
    </w:p>
    <w:p w:rsidR="00485094" w:rsidRDefault="00485094" w:rsidP="00D34410">
      <w:pPr>
        <w:pStyle w:val="Bodytext"/>
      </w:pPr>
      <w:r>
        <w:t>The state’s climate ranges from a transitional zone between temperate and subtropical in the north and northwest, to tropical in the Keys.  Summers are long, with periods of very warm, humid air.  Maximum temperatures average about 90° F., although temperatures of 100° F. or greater can occur in some areas.  Winters are generally mild, except when cold fronts move across the state.  Frosts and freezes are possible, but typically temperatures do not remain low during the day, and cold weather usually lasts no more than two or three days at a time.</w:t>
      </w:r>
    </w:p>
    <w:p w:rsidR="00485094" w:rsidRDefault="00485094" w:rsidP="00F039EA">
      <w:pPr>
        <w:pStyle w:val="Bodytext"/>
      </w:pPr>
    </w:p>
    <w:p w:rsidR="00485094" w:rsidRPr="00C20EA1" w:rsidRDefault="00485094" w:rsidP="00D34410">
      <w:pPr>
        <w:pStyle w:val="Bodytext"/>
        <w:rPr>
          <w:rFonts w:cs="Arial"/>
        </w:rPr>
      </w:pPr>
      <w:r>
        <w:t>Rainfall across the state varies with location and season.  On average, more than 60 inches per year falls in the far northwest and southeast, while the Keys receive about 40 inches annually (</w:t>
      </w:r>
      <w:r w:rsidRPr="00035B69">
        <w:rPr>
          <w:b/>
          <w:i/>
        </w:rPr>
        <w:t>Figure 2.2</w:t>
      </w:r>
      <w:r>
        <w:t>).  The heaviest rainfall occurs in northwestern Florida and in a strip 10 to 15 miles inland along the southeast coast.</w:t>
      </w:r>
      <w:r w:rsidRPr="00866ECE">
        <w:t xml:space="preserve"> </w:t>
      </w:r>
      <w:r>
        <w:t xml:space="preserve"> Variability in rainfall, both spatially and temporally, can contribute to local water shortages.  Historically, Florida has had periods of high rainfall along with periods of low rainfall</w:t>
      </w:r>
      <w:r w:rsidR="00550C22">
        <w:t xml:space="preserve"> (</w:t>
      </w:r>
      <w:r>
        <w:t>e.g.</w:t>
      </w:r>
      <w:r w:rsidR="00550C22">
        <w:t xml:space="preserve">, </w:t>
      </w:r>
      <w:r>
        <w:t>drought</w:t>
      </w:r>
      <w:r w:rsidR="00550C22">
        <w:t>)</w:t>
      </w:r>
      <w:r w:rsidRPr="00C20EA1">
        <w:rPr>
          <w:rFonts w:cs="Arial"/>
        </w:rPr>
        <w:t xml:space="preserve">.  </w:t>
      </w:r>
      <w:r>
        <w:rPr>
          <w:rFonts w:cs="Arial"/>
        </w:rPr>
        <w:t xml:space="preserve">Based on data dating back to 1932, </w:t>
      </w:r>
      <w:r w:rsidRPr="00F729AC">
        <w:rPr>
          <w:rFonts w:cs="Arial"/>
          <w:color w:val="000000"/>
        </w:rPr>
        <w:t>2006</w:t>
      </w:r>
      <w:r w:rsidR="00550C22">
        <w:rPr>
          <w:rFonts w:cs="Arial"/>
          <w:color w:val="000000"/>
        </w:rPr>
        <w:t xml:space="preserve"> and </w:t>
      </w:r>
      <w:r w:rsidRPr="00F729AC">
        <w:rPr>
          <w:rFonts w:cs="Arial"/>
          <w:color w:val="000000"/>
        </w:rPr>
        <w:t>2007 were the driest back-to-back calendar years Florida has experienced.</w:t>
      </w:r>
      <w:r>
        <w:rPr>
          <w:rFonts w:cs="Arial"/>
          <w:color w:val="000000"/>
        </w:rPr>
        <w:t xml:space="preserve">  </w:t>
      </w:r>
    </w:p>
    <w:p w:rsidR="00485094" w:rsidRPr="00C20EA1" w:rsidRDefault="00485094" w:rsidP="00F039EA">
      <w:pPr>
        <w:pStyle w:val="Bodytext"/>
        <w:rPr>
          <w:rFonts w:cs="Arial"/>
        </w:rPr>
      </w:pPr>
    </w:p>
    <w:p w:rsidR="00485094" w:rsidRDefault="00485094" w:rsidP="00D34410">
      <w:pPr>
        <w:pStyle w:val="Bodytext"/>
      </w:pPr>
      <w:r>
        <w:t xml:space="preserve">Except for the northwestern part of the state, most of Florida has a rainy season and a relatively long dry season.  In the peninsula, half the average annual rainfall usually falls between June and September.  In northwestern </w:t>
      </w:r>
      <w:smartTag w:uri="urn:schemas-microsoft-com:office:smarttags" w:element="State">
        <w:smartTag w:uri="urn:schemas-microsoft-com:office:smarttags" w:element="place">
          <w:r>
            <w:t>Florida</w:t>
          </w:r>
        </w:smartTag>
      </w:smartTag>
      <w:r>
        <w:t>, a secondary rainy season occurs in late winter to early spring.</w:t>
      </w:r>
      <w:r>
        <w:rPr>
          <w:rStyle w:val="EndnoteReference"/>
        </w:rPr>
        <w:t xml:space="preserve">  </w:t>
      </w:r>
      <w:r>
        <w:t>The lowest rainfall for most of the state occurs in fall (October and November) and spring (April and May).  The varying patterns of rainfall create differences in the timing of high and low discharges from surface waters.</w:t>
      </w:r>
    </w:p>
    <w:p w:rsidR="00485094" w:rsidRDefault="00485094" w:rsidP="00D34410">
      <w:pPr>
        <w:pStyle w:val="Bodytext"/>
      </w:pPr>
    </w:p>
    <w:p w:rsidR="00485094" w:rsidRDefault="00485094">
      <w:r>
        <w:br w:type="page"/>
      </w:r>
    </w:p>
    <w:p w:rsidR="008A1744" w:rsidRDefault="008A1744" w:rsidP="008A1744">
      <w:pPr>
        <w:pStyle w:val="Caption"/>
      </w:pPr>
      <w:bookmarkStart w:id="71" w:name="_Toc271280138"/>
      <w:r>
        <w:lastRenderedPageBreak/>
        <w:t>Figure 2.1.  Florida’s Population Distribution, 2000</w:t>
      </w:r>
      <w:bookmarkEnd w:id="71"/>
    </w:p>
    <w:p w:rsidR="008A1744" w:rsidRDefault="008A1744" w:rsidP="008A1744">
      <w:pPr>
        <w:rPr>
          <w:rFonts w:ascii="Arial" w:hAnsi="Arial" w:cs="Arial"/>
          <w:sz w:val="16"/>
          <w:szCs w:val="16"/>
        </w:rPr>
      </w:pPr>
    </w:p>
    <w:p w:rsidR="00485094" w:rsidRDefault="00B2471C" w:rsidP="00BF2988">
      <w:pPr>
        <w:pStyle w:val="Bodytext"/>
        <w:jc w:val="center"/>
      </w:pPr>
      <w:r>
        <w:rPr>
          <w:noProof/>
        </w:rPr>
        <w:pict>
          <v:shape id="_x0000_s1035" type="#_x0000_t202" style="position:absolute;left:0;text-align:left;margin-left:155.2pt;margin-top:467.55pt;width:243.55pt;height:69.25pt;z-index:251666944;mso-width-relative:margin;mso-height-relative:margin" stroked="f">
            <v:textbox style="mso-next-textbox:#_x0000_s1035">
              <w:txbxContent>
                <w:p w:rsidR="00366909" w:rsidRDefault="00366909"/>
              </w:txbxContent>
            </v:textbox>
          </v:shape>
        </w:pict>
      </w:r>
      <w:r w:rsidR="001717CD">
        <w:rPr>
          <w:noProof/>
        </w:rPr>
        <w:drawing>
          <wp:inline distT="0" distB="0" distL="0" distR="0">
            <wp:extent cx="5477510" cy="7091045"/>
            <wp:effectExtent l="19050" t="0" r="8890" b="0"/>
            <wp:docPr id="2" name="Picture 2" descr="Figure 2.1.  Florida’s Population Distribution, 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2.1.  Florida’s Population Distribution, 2000"/>
                    <pic:cNvPicPr>
                      <a:picLocks noChangeAspect="1" noChangeArrowheads="1"/>
                    </pic:cNvPicPr>
                  </pic:nvPicPr>
                  <pic:blipFill>
                    <a:blip r:embed="rId14"/>
                    <a:srcRect/>
                    <a:stretch>
                      <a:fillRect/>
                    </a:stretch>
                  </pic:blipFill>
                  <pic:spPr bwMode="auto">
                    <a:xfrm>
                      <a:off x="0" y="0"/>
                      <a:ext cx="5477510" cy="7091045"/>
                    </a:xfrm>
                    <a:prstGeom prst="rect">
                      <a:avLst/>
                    </a:prstGeom>
                    <a:noFill/>
                    <a:ln w="9525">
                      <a:noFill/>
                      <a:miter lim="800000"/>
                      <a:headEnd/>
                      <a:tailEnd/>
                    </a:ln>
                  </pic:spPr>
                </pic:pic>
              </a:graphicData>
            </a:graphic>
          </wp:inline>
        </w:drawing>
      </w:r>
    </w:p>
    <w:p w:rsidR="00485094" w:rsidRDefault="00485094" w:rsidP="00BF2988">
      <w:pPr>
        <w:pStyle w:val="Bodytextreduced"/>
      </w:pPr>
    </w:p>
    <w:p w:rsidR="008A1744" w:rsidRDefault="008A1744">
      <w:pPr>
        <w:rPr>
          <w:rFonts w:ascii="Arial" w:hAnsi="Arial"/>
          <w:sz w:val="16"/>
          <w:szCs w:val="20"/>
        </w:rPr>
      </w:pPr>
      <w:r>
        <w:br w:type="page"/>
      </w:r>
    </w:p>
    <w:p w:rsidR="008A1744" w:rsidRDefault="008A1744" w:rsidP="008A1744">
      <w:pPr>
        <w:pStyle w:val="Caption"/>
      </w:pPr>
      <w:bookmarkStart w:id="72" w:name="_Toc271280139"/>
      <w:r>
        <w:lastRenderedPageBreak/>
        <w:t>Figure 2.2.  Florida’s Average Annual Rainfall, 1971–2000</w:t>
      </w:r>
      <w:bookmarkEnd w:id="72"/>
    </w:p>
    <w:p w:rsidR="008A1744" w:rsidRDefault="008A1744" w:rsidP="008A1744">
      <w:pPr>
        <w:pStyle w:val="Bodytextreduced"/>
      </w:pPr>
    </w:p>
    <w:p w:rsidR="00485094" w:rsidRDefault="00B2471C" w:rsidP="00BF2988">
      <w:pPr>
        <w:pStyle w:val="Bodytext"/>
        <w:jc w:val="center"/>
      </w:pPr>
      <w:r>
        <w:rPr>
          <w:noProof/>
        </w:rPr>
        <w:pict>
          <v:rect id="_x0000_s1071" style="position:absolute;left:0;text-align:left;margin-left:173.3pt;margin-top:488.95pt;width:243.65pt;height:46.05pt;z-index:251674112" stroked="f"/>
        </w:pict>
      </w:r>
      <w:r w:rsidR="001717CD">
        <w:rPr>
          <w:noProof/>
        </w:rPr>
        <w:drawing>
          <wp:inline distT="0" distB="0" distL="0" distR="0">
            <wp:extent cx="5477510" cy="7091045"/>
            <wp:effectExtent l="19050" t="0" r="8890" b="0"/>
            <wp:docPr id="3" name="Picture 6" descr="Figure 2.2.  Florida’s Average Annual Rainfall, 1971–2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2.2.  Florida’s Average Annual Rainfall, 1971–2000"/>
                    <pic:cNvPicPr>
                      <a:picLocks noChangeAspect="1" noChangeArrowheads="1"/>
                    </pic:cNvPicPr>
                  </pic:nvPicPr>
                  <pic:blipFill>
                    <a:blip r:embed="rId15"/>
                    <a:srcRect/>
                    <a:stretch>
                      <a:fillRect/>
                    </a:stretch>
                  </pic:blipFill>
                  <pic:spPr bwMode="auto">
                    <a:xfrm>
                      <a:off x="0" y="0"/>
                      <a:ext cx="5477510" cy="7091045"/>
                    </a:xfrm>
                    <a:prstGeom prst="rect">
                      <a:avLst/>
                    </a:prstGeom>
                    <a:noFill/>
                    <a:ln w="9525">
                      <a:noFill/>
                      <a:miter lim="800000"/>
                      <a:headEnd/>
                      <a:tailEnd/>
                    </a:ln>
                  </pic:spPr>
                </pic:pic>
              </a:graphicData>
            </a:graphic>
          </wp:inline>
        </w:drawing>
      </w:r>
    </w:p>
    <w:p w:rsidR="00485094" w:rsidRDefault="00485094" w:rsidP="00173D87">
      <w:pPr>
        <w:pStyle w:val="Bodytextreduced"/>
      </w:pPr>
    </w:p>
    <w:p w:rsidR="00EB08C5" w:rsidRDefault="00485094" w:rsidP="00EB08C5">
      <w:pPr>
        <w:pStyle w:val="Bodytext"/>
        <w:rPr>
          <w:rFonts w:cs="Arial"/>
          <w:b/>
          <w:i/>
          <w:sz w:val="28"/>
          <w:szCs w:val="28"/>
        </w:rPr>
      </w:pPr>
      <w:r>
        <w:br w:type="page"/>
      </w:r>
      <w:r w:rsidR="00EB08C5">
        <w:lastRenderedPageBreak/>
        <w:t xml:space="preserve">An approximate diagonal line drawn from the mouth of the St. Johns River at the Atlantic Ocean to the boundary of Levy and </w:t>
      </w:r>
      <w:smartTag w:uri="urn:schemas-microsoft-com:office:smarttags" w:element="PlaceName">
        <w:r w:rsidR="00EB08C5">
          <w:t>Dixie</w:t>
        </w:r>
      </w:smartTag>
      <w:r w:rsidR="00EB08C5">
        <w:t xml:space="preserve"> </w:t>
      </w:r>
      <w:smartTag w:uri="urn:schemas-microsoft-com:office:smarttags" w:element="PlaceType">
        <w:r w:rsidR="00EB08C5">
          <w:t>Counties</w:t>
        </w:r>
      </w:smartTag>
      <w:r w:rsidR="00EB08C5">
        <w:t xml:space="preserve"> on the </w:t>
      </w:r>
      <w:smartTag w:uri="urn:schemas-microsoft-com:office:smarttags" w:element="place">
        <w:r w:rsidR="00EB08C5">
          <w:t>Gulf of Mexico</w:t>
        </w:r>
      </w:smartTag>
      <w:r w:rsidR="00EB08C5">
        <w:t xml:space="preserve"> depicts a climatic river basin divide.  North and northwest of the divide, streams have high discharges in spring and late winter (March and April) and low discharges in the fall and early winter (October and November).  A second low-water period occurs from May to June.  South of the climatic divide, high stream discharges occur in September and October, and low discharges occur from May to June.</w:t>
      </w:r>
    </w:p>
    <w:p w:rsidR="00485094" w:rsidRDefault="00485094" w:rsidP="00BF2988">
      <w:pPr>
        <w:pStyle w:val="Bodytextreduced"/>
      </w:pPr>
    </w:p>
    <w:p w:rsidR="00485094" w:rsidRDefault="00485094" w:rsidP="008423A9">
      <w:pPr>
        <w:pStyle w:val="Heading2"/>
      </w:pPr>
      <w:bookmarkStart w:id="73" w:name="_Toc255822488"/>
      <w:bookmarkStart w:id="74" w:name="_Toc271794300"/>
      <w:r>
        <w:t xml:space="preserve">Surface </w:t>
      </w:r>
      <w:r w:rsidRPr="00B43D14">
        <w:t xml:space="preserve">Water </w:t>
      </w:r>
      <w:r>
        <w:t xml:space="preserve">and Ground Water </w:t>
      </w:r>
      <w:r w:rsidRPr="00B43D14">
        <w:t>Resources</w:t>
      </w:r>
      <w:bookmarkEnd w:id="67"/>
      <w:bookmarkEnd w:id="68"/>
      <w:bookmarkEnd w:id="69"/>
      <w:bookmarkEnd w:id="70"/>
      <w:bookmarkEnd w:id="73"/>
      <w:bookmarkEnd w:id="74"/>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has 78,170</w:t>
      </w:r>
      <w:r w:rsidRPr="001C582C">
        <w:t xml:space="preserve"> miles</w:t>
      </w:r>
      <w:r>
        <w:t xml:space="preserve"> of streams and rivers and 49,540 miles of ditches and canals.  It has more than 7,700 lakes greater than 10 acres in size, with a total surface area of 1,618,368 acres.  The state also has 4,460 square miles of estuaries and a coastline ranking second in length only to </w:t>
      </w:r>
      <w:smartTag w:uri="urn:schemas-microsoft-com:office:smarttags" w:element="State">
        <w:smartTag w:uri="urn:schemas-microsoft-com:office:smarttags" w:element="place">
          <w:r>
            <w:t>Alaska</w:t>
          </w:r>
        </w:smartTag>
      </w:smartTag>
      <w:r>
        <w:t xml:space="preserve">.  A line running from the northeast corner of the state to </w:t>
      </w:r>
      <w:smartTag w:uri="urn:schemas-microsoft-com:office:smarttags" w:element="City">
        <w:r>
          <w:t>Key West</w:t>
        </w:r>
      </w:smartTag>
      <w:r>
        <w:t xml:space="preserve"> and back up to the northwest corner along the </w:t>
      </w:r>
      <w:smartTag w:uri="urn:schemas-microsoft-com:office:smarttags" w:element="PlaceType">
        <w:smartTag w:uri="urn:schemas-microsoft-com:office:smarttags" w:element="place">
          <w:r>
            <w:t>Gulf</w:t>
          </w:r>
        </w:smartTag>
        <w:r>
          <w:t xml:space="preserve"> </w:t>
        </w:r>
        <w:smartTag w:uri="urn:schemas-microsoft-com:office:smarttags" w:element="PlaceType">
          <w:r>
            <w:t>Coast</w:t>
          </w:r>
        </w:smartTag>
      </w:smartTag>
      <w:r>
        <w:t xml:space="preserve"> would extend 1,300 miles.  If the distance around barrier islands and estuaries were included, the line would stretch 9,888 miles.</w:t>
      </w:r>
    </w:p>
    <w:p w:rsidR="00485094" w:rsidRDefault="00485094" w:rsidP="00B43D14">
      <w:pPr>
        <w:pStyle w:val="Bodytext"/>
      </w:pPr>
    </w:p>
    <w:p w:rsidR="00485094" w:rsidRDefault="00485094" w:rsidP="008423A9">
      <w:pPr>
        <w:pStyle w:val="Heading3"/>
      </w:pPr>
      <w:bookmarkStart w:id="75" w:name="_Toc255822489"/>
      <w:bookmarkStart w:id="76" w:name="_Toc271794301"/>
      <w:r w:rsidRPr="00DC48A1">
        <w:t>Streams and Rivers</w:t>
      </w:r>
      <w:bookmarkEnd w:id="75"/>
      <w:bookmarkEnd w:id="76"/>
    </w:p>
    <w:p w:rsidR="00485094" w:rsidRDefault="00485094" w:rsidP="00D34410">
      <w:pPr>
        <w:pStyle w:val="Bodytext"/>
      </w:pPr>
      <w:r>
        <w:t xml:space="preserve">The state has more than 1,700 streams and rivers.  Differences in climate, hydrogeology, and location all affect their water quality.  The longest river entirely in the state is the </w:t>
      </w:r>
      <w:smartTag w:uri="urn:schemas-microsoft-com:office:smarttags" w:element="City">
        <w:r>
          <w:t>St. Johns</w:t>
        </w:r>
      </w:smartTag>
      <w:r>
        <w:t xml:space="preserve">, which flows north as a recognizable stream about 273 miles from the St. Johns Marsh in northern St. Lucie County, to its mouth at Jacksonville.  The river drains a land area equal to about one-sixth of </w:t>
      </w:r>
      <w:smartTag w:uri="urn:schemas-microsoft-com:office:smarttags" w:element="State">
        <w:smartTag w:uri="urn:schemas-microsoft-com:office:smarttags" w:element="place">
          <w:r>
            <w:t>Florida</w:t>
          </w:r>
        </w:smartTag>
      </w:smartTag>
      <w:r>
        <w:t xml:space="preserve">'s surface.  The </w:t>
      </w:r>
      <w:smartTag w:uri="urn:schemas-microsoft-com:office:smarttags" w:element="PlaceName">
        <w:smartTag w:uri="urn:schemas-microsoft-com:office:smarttags" w:element="place">
          <w:r>
            <w:t>Apalachicola</w:t>
          </w:r>
        </w:smartTag>
        <w:r>
          <w:t xml:space="preserve"> </w:t>
        </w:r>
        <w:smartTag w:uri="urn:schemas-microsoft-com:office:smarttags" w:element="PlaceType">
          <w:r>
            <w:t>River</w:t>
          </w:r>
        </w:smartTag>
      </w:smartTag>
      <w:r>
        <w:t>, in the Florida Panhandle, has the largest discharge flow, averaging almost 25,000 cubic feet per second.  Its basin, draining over 19,000 square miles, extends to north Georgia’s southern Appalachian Mountains.  In the Panhandle, spring discharges give rise to rivers, where the ground water base flow comprises 80% of the rivers’ flow.</w:t>
      </w:r>
    </w:p>
    <w:p w:rsidR="00485094" w:rsidRDefault="00485094" w:rsidP="00D34410">
      <w:pPr>
        <w:rPr>
          <w:snapToGrid w:val="0"/>
        </w:rPr>
      </w:pPr>
    </w:p>
    <w:p w:rsidR="00485094" w:rsidRDefault="00485094" w:rsidP="00D34410">
      <w:pPr>
        <w:pStyle w:val="Bodytext"/>
        <w:rPr>
          <w:snapToGrid w:val="0"/>
        </w:rPr>
      </w:pPr>
      <w:r>
        <w:rPr>
          <w:snapToGrid w:val="0"/>
        </w:rPr>
        <w:t xml:space="preserve">The state has several types of natural river systems, including blackwater streams, spring runs, </w:t>
      </w:r>
      <w:r w:rsidR="00B97320">
        <w:rPr>
          <w:snapToGrid w:val="0"/>
        </w:rPr>
        <w:t xml:space="preserve">and </w:t>
      </w:r>
      <w:r w:rsidRPr="009A74E6">
        <w:rPr>
          <w:snapToGrid w:val="0"/>
        </w:rPr>
        <w:t>estuarine or tidal streams</w:t>
      </w:r>
      <w:r w:rsidR="00B97320">
        <w:rPr>
          <w:snapToGrid w:val="0"/>
        </w:rPr>
        <w:t>,</w:t>
      </w:r>
      <w:r w:rsidRPr="009A74E6">
        <w:rPr>
          <w:snapToGrid w:val="0"/>
        </w:rPr>
        <w:t xml:space="preserve"> and these systems can be perennial or intermittent.</w:t>
      </w:r>
      <w:r>
        <w:rPr>
          <w:snapToGrid w:val="0"/>
        </w:rPr>
        <w:t xml:space="preserve">  Most of Florida’s rivers exhibit characteristics of more than one type of river system, either at different places along their length or at different times of the year.  The links between surface water and ground water can also affect natural systems.  For example, the Suwannee River, which originates in the Okefenokee Swamp as a blackwater stream, becomes spring fed south of Ellaville.  During periods of high flow, it carries sand and sediments, behaving like a true alluvial stream (sediment carrying).  During low flow, however, the river’s base flow comes from multiple springs, including several </w:t>
      </w:r>
      <w:r w:rsidR="00B97320">
        <w:rPr>
          <w:snapToGrid w:val="0"/>
        </w:rPr>
        <w:t>first-</w:t>
      </w:r>
      <w:r>
        <w:rPr>
          <w:snapToGrid w:val="0"/>
        </w:rPr>
        <w:t>magnitude springs.  These variations in flow affect the downstream stretches of the river and the receiving estuary.  Ground water in the region has elevated nitrate concentrations that can affect animals and plants downstream (</w:t>
      </w:r>
      <w:hyperlink r:id="rId16" w:history="1">
        <w:r w:rsidRPr="004060D0">
          <w:rPr>
            <w:rStyle w:val="Hyperlink"/>
            <w:snapToGrid w:val="0"/>
          </w:rPr>
          <w:t>Suwannee River Water Management District website</w:t>
        </w:r>
      </w:hyperlink>
      <w:r>
        <w:rPr>
          <w:snapToGrid w:val="0"/>
        </w:rPr>
        <w:t>, 2010).</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In north and northwest </w:t>
      </w:r>
      <w:smartTag w:uri="urn:schemas-microsoft-com:office:smarttags" w:element="State">
        <w:smartTag w:uri="urn:schemas-microsoft-com:office:smarttags" w:element="place">
          <w:r>
            <w:rPr>
              <w:snapToGrid w:val="0"/>
            </w:rPr>
            <w:t>Florida</w:t>
          </w:r>
        </w:smartTag>
      </w:smartTag>
      <w:r>
        <w:rPr>
          <w:snapToGrid w:val="0"/>
        </w:rPr>
        <w:t xml:space="preserve">, many rivers are alluvial.  The Choctawhatchee, Apalachicola, and Escambia </w:t>
      </w:r>
      <w:r w:rsidR="00B97320">
        <w:rPr>
          <w:snapToGrid w:val="0"/>
        </w:rPr>
        <w:t xml:space="preserve">Rivers </w:t>
      </w:r>
      <w:r>
        <w:rPr>
          <w:snapToGrid w:val="0"/>
        </w:rPr>
        <w:t>best represent this type of river.  Common features include a well-developed floodplain, levees, terraces, oxbows, and remnant channels (sloughs) that parallel the active riverbed.  Typically, because flows fluctuate more than with other types of rivers, habitats are more diverse.</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There are many blackwater streams and rivers in </w:t>
      </w:r>
      <w:smartTag w:uri="urn:schemas-microsoft-com:office:smarttags" w:element="State">
        <w:smartTag w:uri="urn:schemas-microsoft-com:office:smarttags" w:element="place">
          <w:r>
            <w:rPr>
              <w:snapToGrid w:val="0"/>
            </w:rPr>
            <w:t>Florida</w:t>
          </w:r>
        </w:smartTag>
      </w:smartTag>
      <w:r>
        <w:rPr>
          <w:snapToGrid w:val="0"/>
        </w:rPr>
        <w:t xml:space="preserve">.  Blackwater rivers usually have acidic, highly colored, slowly moving waters containing few sediments.  These systems typically drain </w:t>
      </w:r>
      <w:r>
        <w:rPr>
          <w:snapToGrid w:val="0"/>
        </w:rPr>
        <w:lastRenderedPageBreak/>
        <w:t>acidic flatwoods or swamps.  The upper Suwannee River and north New River are examples of this type of river system.</w:t>
      </w:r>
    </w:p>
    <w:p w:rsidR="00485094" w:rsidRDefault="00485094" w:rsidP="004454B8">
      <w:pPr>
        <w:pStyle w:val="Bodytext"/>
        <w:rPr>
          <w:snapToGrid w:val="0"/>
        </w:rPr>
      </w:pPr>
    </w:p>
    <w:p w:rsidR="00485094" w:rsidRDefault="00485094" w:rsidP="00D34410">
      <w:pPr>
        <w:pStyle w:val="Bodytext"/>
        <w:rPr>
          <w:snapToGrid w:val="0"/>
        </w:rPr>
      </w:pPr>
      <w:r>
        <w:rPr>
          <w:snapToGrid w:val="0"/>
        </w:rPr>
        <w:t xml:space="preserve">Many major river systems that originate as springs are found in central and north </w:t>
      </w:r>
      <w:smartTag w:uri="urn:schemas-microsoft-com:office:smarttags" w:element="State">
        <w:r>
          <w:rPr>
            <w:snapToGrid w:val="0"/>
          </w:rPr>
          <w:t>Florida</w:t>
        </w:r>
      </w:smartTag>
      <w:r>
        <w:rPr>
          <w:snapToGrid w:val="0"/>
        </w:rPr>
        <w:t xml:space="preserve">, the Big Bend area of the </w:t>
      </w:r>
      <w:smartTag w:uri="urn:schemas-microsoft-com:office:smarttags" w:element="PlaceType">
        <w:smartTag w:uri="urn:schemas-microsoft-com:office:smarttags" w:element="place">
          <w:r>
            <w:rPr>
              <w:snapToGrid w:val="0"/>
            </w:rPr>
            <w:t>Gulf</w:t>
          </w:r>
        </w:smartTag>
        <w:r>
          <w:rPr>
            <w:snapToGrid w:val="0"/>
          </w:rPr>
          <w:t xml:space="preserve"> </w:t>
        </w:r>
        <w:smartTag w:uri="urn:schemas-microsoft-com:office:smarttags" w:element="PlaceType">
          <w:r>
            <w:rPr>
              <w:snapToGrid w:val="0"/>
            </w:rPr>
            <w:t>Coast</w:t>
          </w:r>
        </w:smartTag>
      </w:smartTag>
      <w:r>
        <w:rPr>
          <w:snapToGrid w:val="0"/>
        </w:rPr>
        <w:t>, and the southern portion of the Tallahassee Hills.  Chemically, these rivers are clear, alkaline, and well buffered.  They have little temperature variation, relatively constant flows, and little sediment.  Their clear water encourages the growth of submerged plants that provide habitat for diverse animal species.  Many spring-fed rivers flow directly into estuaries, and the constant temperatures offer protection from temperature extremes to a number of species, including estuarine fish such as spotted seatrout and red drum, as well as marine mammals, such as manatees.</w:t>
      </w:r>
    </w:p>
    <w:p w:rsidR="00485094" w:rsidRDefault="00485094" w:rsidP="00D34410">
      <w:pPr>
        <w:pStyle w:val="Bodytext"/>
      </w:pPr>
    </w:p>
    <w:p w:rsidR="00485094" w:rsidRDefault="00485094" w:rsidP="00D34410">
      <w:pPr>
        <w:pStyle w:val="Bodytext"/>
        <w:rPr>
          <w:snapToGrid w:val="0"/>
        </w:rPr>
      </w:pPr>
      <w:r>
        <w:rPr>
          <w:snapToGrid w:val="0"/>
        </w:rPr>
        <w:t xml:space="preserve">Major dams have been built on the Apalachicola, Ocklawaha, Ochlockonee, Hillsborough, and Withlacoochee (Citrus County) Rivers.  The most extreme alterations were damming the Ocklawaha to create the Cross-Florida Barge Canal and channelizing the Kissimmee River.  The hydrology of the southern third of Florida's peninsula has been </w:t>
      </w:r>
      <w:r w:rsidR="00B97320">
        <w:rPr>
          <w:snapToGrid w:val="0"/>
        </w:rPr>
        <w:t xml:space="preserve">significantly </w:t>
      </w:r>
      <w:r>
        <w:rPr>
          <w:snapToGrid w:val="0"/>
        </w:rPr>
        <w:t xml:space="preserve">altered, and few naturally flowing streams and rivers remain.  Most fresh waterbodies in </w:t>
      </w:r>
      <w:r w:rsidR="00B97320">
        <w:rPr>
          <w:snapToGrid w:val="0"/>
        </w:rPr>
        <w:t xml:space="preserve">south </w:t>
      </w:r>
      <w:r>
        <w:rPr>
          <w:snapToGrid w:val="0"/>
        </w:rPr>
        <w:t>Florida are canals.</w:t>
      </w:r>
    </w:p>
    <w:p w:rsidR="00485094" w:rsidRDefault="00485094" w:rsidP="00D34410">
      <w:pPr>
        <w:pStyle w:val="Bodytext"/>
        <w:rPr>
          <w:snapToGrid w:val="0"/>
        </w:rPr>
      </w:pPr>
    </w:p>
    <w:p w:rsidR="00485094" w:rsidRDefault="00B97320" w:rsidP="00D34410">
      <w:pPr>
        <w:pStyle w:val="Bodytext"/>
        <w:rPr>
          <w:snapToGrid w:val="0"/>
        </w:rPr>
      </w:pPr>
      <w:r>
        <w:rPr>
          <w:snapToGrid w:val="0"/>
        </w:rPr>
        <w:t>S</w:t>
      </w:r>
      <w:r w:rsidR="00485094" w:rsidRPr="00595B30">
        <w:rPr>
          <w:snapToGrid w:val="0"/>
        </w:rPr>
        <w:t>everal efforts</w:t>
      </w:r>
      <w:r>
        <w:rPr>
          <w:snapToGrid w:val="0"/>
        </w:rPr>
        <w:t xml:space="preserve"> are under way</w:t>
      </w:r>
      <w:r w:rsidR="00485094" w:rsidRPr="00595B30">
        <w:rPr>
          <w:snapToGrid w:val="0"/>
        </w:rPr>
        <w:t xml:space="preserve"> to restore some of the alterations, thus restoring natural flows and function to waterbodies.  Significant work on the Kissimmee River since the 1990s has successfully restored flow in portions of the historic</w:t>
      </w:r>
      <w:r>
        <w:rPr>
          <w:snapToGrid w:val="0"/>
        </w:rPr>
        <w:t>al</w:t>
      </w:r>
      <w:r w:rsidR="00485094" w:rsidRPr="00595B30">
        <w:rPr>
          <w:snapToGrid w:val="0"/>
        </w:rPr>
        <w:t xml:space="preserve"> river channel, leading to improved habitat, fisheries, and water quality.  </w:t>
      </w:r>
      <w:r w:rsidR="00485094">
        <w:rPr>
          <w:snapToGrid w:val="0"/>
        </w:rPr>
        <w:t xml:space="preserve">Additional information on the Kissimmee restoration is available on the </w:t>
      </w:r>
      <w:hyperlink r:id="rId17" w:history="1">
        <w:r w:rsidR="00485094" w:rsidRPr="00173D87">
          <w:rPr>
            <w:rStyle w:val="Hyperlink"/>
            <w:snapToGrid w:val="0"/>
          </w:rPr>
          <w:t>South Florida Water Management District Kissimmee River website</w:t>
        </w:r>
      </w:hyperlink>
      <w:r w:rsidR="00485094">
        <w:rPr>
          <w:snapToGrid w:val="0"/>
        </w:rPr>
        <w:t>.</w:t>
      </w:r>
    </w:p>
    <w:p w:rsidR="00485094" w:rsidRDefault="00485094" w:rsidP="00D34410">
      <w:pPr>
        <w:pStyle w:val="Bodytext"/>
        <w:rPr>
          <w:snapToGrid w:val="0"/>
          <w:highlight w:val="yellow"/>
        </w:rPr>
      </w:pPr>
    </w:p>
    <w:p w:rsidR="00485094" w:rsidRPr="008423A9" w:rsidRDefault="00485094" w:rsidP="008423A9">
      <w:pPr>
        <w:pStyle w:val="Heading3"/>
      </w:pPr>
      <w:bookmarkStart w:id="77" w:name="_Toc255822490"/>
      <w:bookmarkStart w:id="78" w:name="_Toc271794302"/>
      <w:r w:rsidRPr="00555500">
        <w:t>Lakes</w:t>
      </w:r>
      <w:bookmarkEnd w:id="77"/>
      <w:bookmarkEnd w:id="78"/>
    </w:p>
    <w:p w:rsidR="00485094" w:rsidRDefault="00485094" w:rsidP="00D34410">
      <w:pPr>
        <w:pStyle w:val="Bodytext"/>
      </w:pPr>
      <w:smartTag w:uri="urn:schemas-microsoft-com:office:smarttags" w:element="State">
        <w:smartTag w:uri="urn:schemas-microsoft-com:office:smarttags" w:element="place">
          <w:r w:rsidRPr="008423A9">
            <w:t>Florida</w:t>
          </w:r>
        </w:smartTag>
      </w:smartTag>
      <w:r w:rsidRPr="008423A9">
        <w:t>'s lakes provide important</w:t>
      </w:r>
      <w:r>
        <w:t xml:space="preserve"> </w:t>
      </w:r>
      <w:r w:rsidRPr="008423A9">
        <w:t xml:space="preserve">habitats for </w:t>
      </w:r>
      <w:r>
        <w:t>plant and animal species</w:t>
      </w:r>
      <w:r w:rsidRPr="008423A9">
        <w:t xml:space="preserve"> and </w:t>
      </w:r>
      <w:r>
        <w:t>are</w:t>
      </w:r>
      <w:r w:rsidRPr="008423A9">
        <w:t xml:space="preserve"> a valuable </w:t>
      </w:r>
      <w:r>
        <w:t xml:space="preserve">recreational </w:t>
      </w:r>
      <w:r w:rsidRPr="008423A9">
        <w:t xml:space="preserve">resource. </w:t>
      </w:r>
      <w:r>
        <w:t xml:space="preserve"> The state has m</w:t>
      </w:r>
      <w:r w:rsidRPr="008423A9">
        <w:t>ore than 7,700 lakes</w:t>
      </w:r>
      <w:r>
        <w:t xml:space="preserve">, which </w:t>
      </w:r>
      <w:r w:rsidRPr="008423A9">
        <w:t xml:space="preserve">occupy close to 6% of </w:t>
      </w:r>
      <w:r>
        <w:t>its</w:t>
      </w:r>
      <w:r w:rsidRPr="008423A9">
        <w:t xml:space="preserve"> surface</w:t>
      </w:r>
      <w:r>
        <w:t xml:space="preserve"> area</w:t>
      </w:r>
      <w:r w:rsidRPr="008423A9">
        <w:t xml:space="preserve">.  The largest, Lake Okeechobee (covering </w:t>
      </w:r>
      <w:r w:rsidRPr="008423A9">
        <w:rPr>
          <w:snapToGrid w:val="0"/>
        </w:rPr>
        <w:t>435,840 acres)</w:t>
      </w:r>
      <w:r w:rsidRPr="008423A9">
        <w:t>, is the ninth largest lake in surface area in the United States and the second largest freshwater lake wholly within the conterminous United States</w:t>
      </w:r>
      <w:r>
        <w:t xml:space="preserve"> (Fernald and Purdum, 1998).  </w:t>
      </w:r>
      <w:r w:rsidRPr="008423A9">
        <w:t>Most of the state’s lakes are shallow, averaging 7 to 20 feet deep, although many sinkhole lakes and parts of other lakes can be much deeper.</w:t>
      </w:r>
    </w:p>
    <w:p w:rsidR="00485094" w:rsidRDefault="00485094" w:rsidP="00D34410">
      <w:pPr>
        <w:pStyle w:val="Bodytext"/>
      </w:pPr>
    </w:p>
    <w:p w:rsidR="00B97320" w:rsidRDefault="00485094" w:rsidP="0036702D">
      <w:pPr>
        <w:pStyle w:val="Bodytext"/>
      </w:pPr>
      <w:r>
        <w:t xml:space="preserve">Florida’s lakes are physically, chemically, and biologically diverse.  Many lakes are spring-fed; others are seepage lakes fed by ground water, and still others are depression lakes fed by surface water sources.  Florida lakes </w:t>
      </w:r>
      <w:r w:rsidR="00B97320">
        <w:t>are</w:t>
      </w:r>
      <w:r>
        <w:t xml:space="preserve"> classified according to water pH, water color, and the ecoregion of the lake basin.  FDEP identified 47 different lake regions as part of its Lake Bioassessment/Regionalization Initiative.  </w:t>
      </w:r>
    </w:p>
    <w:p w:rsidR="00B97320" w:rsidRDefault="00B97320" w:rsidP="0036702D">
      <w:pPr>
        <w:pStyle w:val="Bodytext"/>
      </w:pPr>
    </w:p>
    <w:p w:rsidR="00485094" w:rsidRDefault="00485094" w:rsidP="0036702D">
      <w:pPr>
        <w:pStyle w:val="Bodytext"/>
      </w:pPr>
      <w:r>
        <w:t>Within each lake region, the lakes have similar geology, soils, chemistry, hydrology, and biology, and lakes in one region may differ significantly from those in another region.  For example, most lakes in the New Hope Ridge/Greenhead Slope lake region in northwestern Florida (in Washington, Bay, Calhoun, and Jackson Counties) tend to have lower total nitrogen</w:t>
      </w:r>
      <w:r w:rsidR="008C37FA">
        <w:t xml:space="preserve"> (TN)</w:t>
      </w:r>
      <w:r>
        <w:t>, lower total phosphorus</w:t>
      </w:r>
      <w:r w:rsidR="008C37FA">
        <w:t xml:space="preserve"> (TP)</w:t>
      </w:r>
      <w:r>
        <w:t xml:space="preserve">, lower chlorophyll concentrations, and higher clarity compared with other Florida lakes.  In comparison, lakes in the Lakeland/Bone Valley Upland lake region in central Florida (in Polk and Hillsborough Counties) tend to have higher </w:t>
      </w:r>
      <w:r w:rsidR="008C37FA">
        <w:t>TN</w:t>
      </w:r>
      <w:r>
        <w:t xml:space="preserve">, higher </w:t>
      </w:r>
      <w:r w:rsidR="008C37FA">
        <w:t>TP</w:t>
      </w:r>
      <w:r>
        <w:t>, higher chlorophyll concentrations, and lower clarity.</w:t>
      </w:r>
      <w:r w:rsidRPr="006A756B">
        <w:t xml:space="preserve"> </w:t>
      </w:r>
      <w:r>
        <w:t xml:space="preserve"> </w:t>
      </w:r>
      <w:r w:rsidRPr="00364D48">
        <w:t xml:space="preserve">Additional information on Florida lake regions and the ecology of Florida’s lakes is available from the </w:t>
      </w:r>
      <w:hyperlink r:id="rId18" w:history="1">
        <w:r w:rsidRPr="00577E5C">
          <w:rPr>
            <w:rStyle w:val="Hyperlink"/>
            <w:szCs w:val="22"/>
          </w:rPr>
          <w:t>LakeWatch website</w:t>
        </w:r>
      </w:hyperlink>
      <w:r>
        <w:rPr>
          <w:szCs w:val="22"/>
        </w:rPr>
        <w:t xml:space="preserve"> </w:t>
      </w:r>
      <w:r w:rsidRPr="00364D48">
        <w:t xml:space="preserve">and the </w:t>
      </w:r>
      <w:hyperlink r:id="rId19" w:history="1">
        <w:r w:rsidRPr="00B508DB">
          <w:rPr>
            <w:rStyle w:val="Hyperlink"/>
          </w:rPr>
          <w:t>EPA Ecoregions of Florida website</w:t>
        </w:r>
      </w:hyperlink>
      <w:r w:rsidRPr="00364D48">
        <w:t>.</w:t>
      </w:r>
      <w:r>
        <w:t xml:space="preserve">  </w:t>
      </w:r>
    </w:p>
    <w:p w:rsidR="00485094" w:rsidRPr="00084130" w:rsidRDefault="00485094" w:rsidP="00084130">
      <w:pPr>
        <w:pStyle w:val="Bodytextreduced"/>
        <w:rPr>
          <w:snapToGrid w:val="0"/>
          <w:sz w:val="22"/>
          <w:szCs w:val="22"/>
        </w:rPr>
      </w:pPr>
      <w:bookmarkStart w:id="79" w:name="_Toc255822491"/>
    </w:p>
    <w:p w:rsidR="00485094" w:rsidRDefault="00485094" w:rsidP="008423A9">
      <w:pPr>
        <w:pStyle w:val="Heading3"/>
        <w:rPr>
          <w:snapToGrid w:val="0"/>
        </w:rPr>
      </w:pPr>
      <w:bookmarkStart w:id="80" w:name="_Toc271794303"/>
      <w:r w:rsidRPr="00DC48A1">
        <w:rPr>
          <w:snapToGrid w:val="0"/>
        </w:rPr>
        <w:lastRenderedPageBreak/>
        <w:t>Estuarie</w:t>
      </w:r>
      <w:r>
        <w:rPr>
          <w:snapToGrid w:val="0"/>
        </w:rPr>
        <w:t>s and Coastal Water</w:t>
      </w:r>
      <w:r w:rsidRPr="00DC48A1">
        <w:rPr>
          <w:snapToGrid w:val="0"/>
        </w:rPr>
        <w:t>s</w:t>
      </w:r>
      <w:bookmarkEnd w:id="79"/>
      <w:bookmarkEnd w:id="80"/>
    </w:p>
    <w:p w:rsidR="00485094" w:rsidRDefault="00485094" w:rsidP="00D34410">
      <w:pPr>
        <w:pStyle w:val="Bodytext"/>
        <w:rPr>
          <w:snapToGrid w:val="0"/>
        </w:rPr>
      </w:pPr>
      <w:r>
        <w:rPr>
          <w:snapToGrid w:val="0"/>
        </w:rPr>
        <w:t xml:space="preserve">With nearly 10,000 coastal miles, </w:t>
      </w:r>
      <w:smartTag w:uri="urn:schemas-microsoft-com:office:smarttags" w:element="State">
        <w:r>
          <w:rPr>
            <w:snapToGrid w:val="0"/>
          </w:rPr>
          <w:t>Florida</w:t>
        </w:r>
      </w:smartTag>
      <w:r>
        <w:rPr>
          <w:snapToGrid w:val="0"/>
        </w:rPr>
        <w:t xml:space="preserve"> is second only to </w:t>
      </w:r>
      <w:smartTag w:uri="urn:schemas-microsoft-com:office:smarttags" w:element="State">
        <w:smartTag w:uri="urn:schemas-microsoft-com:office:smarttags" w:element="place">
          <w:r>
            <w:rPr>
              <w:snapToGrid w:val="0"/>
            </w:rPr>
            <w:t>Alaska</w:t>
          </w:r>
        </w:smartTag>
      </w:smartTag>
      <w:r>
        <w:rPr>
          <w:snapToGrid w:val="0"/>
        </w:rPr>
        <w:t xml:space="preserve"> in amount of coastline.  The state’s west coast alone contains almost 22% of the </w:t>
      </w:r>
      <w:smartTag w:uri="urn:schemas-microsoft-com:office:smarttags" w:element="PlaceType">
        <w:r>
          <w:rPr>
            <w:snapToGrid w:val="0"/>
          </w:rPr>
          <w:t>Gulf</w:t>
        </w:r>
      </w:smartTag>
      <w:r>
        <w:rPr>
          <w:snapToGrid w:val="0"/>
        </w:rPr>
        <w:t xml:space="preserve"> </w:t>
      </w:r>
      <w:smartTag w:uri="urn:schemas-microsoft-com:office:smarttags" w:element="PlaceType">
        <w:r>
          <w:rPr>
            <w:snapToGrid w:val="0"/>
          </w:rPr>
          <w:t>Coast</w:t>
        </w:r>
      </w:smartTag>
      <w:r>
        <w:rPr>
          <w:snapToGrid w:val="0"/>
        </w:rPr>
        <w:t xml:space="preserve"> estuarine acreage in the </w:t>
      </w:r>
      <w:smartTag w:uri="urn:schemas-microsoft-com:office:smarttags" w:element="country-region">
        <w:smartTag w:uri="urn:schemas-microsoft-com:office:smarttags" w:element="place">
          <w:r>
            <w:rPr>
              <w:snapToGrid w:val="0"/>
            </w:rPr>
            <w:t>United States</w:t>
          </w:r>
        </w:smartTag>
      </w:smartTag>
      <w:r>
        <w:rPr>
          <w:snapToGrid w:val="0"/>
        </w:rPr>
        <w:t xml:space="preserve">.  </w:t>
      </w:r>
      <w:smartTag w:uri="urn:schemas-microsoft-com:office:smarttags" w:element="State">
        <w:smartTag w:uri="urn:schemas-microsoft-com:office:smarttags" w:element="place">
          <w:r>
            <w:rPr>
              <w:snapToGrid w:val="0"/>
            </w:rPr>
            <w:t>Florida</w:t>
          </w:r>
        </w:smartTag>
      </w:smartTag>
      <w:r>
        <w:rPr>
          <w:snapToGrid w:val="0"/>
        </w:rPr>
        <w:t xml:space="preserve">'s estuaries are some of the nation's most diverse and productive.  They include embayments, low- and high-energy tidal salt marshes, lagoons or sounds behind barrier islands, mangrove swamps, coral reefs, oyster bars, and tidal segments of large river mouths.  Florida has more Estuaries of National Significance (Tampa Bay, Sarasota Bay, Charlotte Harbor, and Indian River Lagoon), designated by EPA, than any other state in the nation.  </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The Atlantic coast of </w:t>
      </w:r>
      <w:smartTag w:uri="urn:schemas-microsoft-com:office:smarttags" w:element="State">
        <w:r>
          <w:rPr>
            <w:snapToGrid w:val="0"/>
          </w:rPr>
          <w:t>Florida</w:t>
        </w:r>
      </w:smartTag>
      <w:r>
        <w:rPr>
          <w:snapToGrid w:val="0"/>
        </w:rPr>
        <w:t xml:space="preserve"> from the mouth of the St. Marys River to </w:t>
      </w:r>
      <w:smartTag w:uri="urn:schemas-microsoft-com:office:smarttags" w:element="place">
        <w:r>
          <w:rPr>
            <w:snapToGrid w:val="0"/>
          </w:rPr>
          <w:t>Biscayne Bay</w:t>
        </w:r>
      </w:smartTag>
      <w:r>
        <w:rPr>
          <w:snapToGrid w:val="0"/>
        </w:rPr>
        <w:t xml:space="preserve"> is a high-energy shoreline bordered by long stretches of barrier islands, behind which lie highly saline lagoons.  This 350-mile stretch of coast contains only 18 river mouths and inlets.  Biscayne Bay spans the transition from high- to low-energy shorelines.</w:t>
      </w:r>
    </w:p>
    <w:p w:rsidR="00485094" w:rsidRDefault="00485094" w:rsidP="00D34410">
      <w:pPr>
        <w:pStyle w:val="Bodytext"/>
        <w:rPr>
          <w:snapToGrid w:val="0"/>
        </w:rPr>
      </w:pPr>
    </w:p>
    <w:p w:rsidR="00485094" w:rsidRDefault="00485094" w:rsidP="00D34410">
      <w:pPr>
        <w:pStyle w:val="Bodytext"/>
        <w:rPr>
          <w:snapToGrid w:val="0"/>
        </w:rPr>
      </w:pPr>
      <w:r>
        <w:rPr>
          <w:snapToGrid w:val="0"/>
        </w:rPr>
        <w:t xml:space="preserve">At the southern end of the state lie </w:t>
      </w:r>
      <w:smartTag w:uri="urn:schemas-microsoft-com:office:smarttags" w:element="PlaceName">
        <w:smartTag w:uri="urn:schemas-microsoft-com:office:smarttags" w:element="place">
          <w:r>
            <w:rPr>
              <w:snapToGrid w:val="0"/>
            </w:rPr>
            <w:t>Florida</w:t>
          </w:r>
        </w:smartTag>
        <w:r>
          <w:rPr>
            <w:snapToGrid w:val="0"/>
          </w:rPr>
          <w:t xml:space="preserve"> </w:t>
        </w:r>
        <w:smartTag w:uri="urn:schemas-microsoft-com:office:smarttags" w:element="PlaceType">
          <w:r>
            <w:rPr>
              <w:snapToGrid w:val="0"/>
            </w:rPr>
            <w:t>Bay</w:t>
          </w:r>
        </w:smartTag>
      </w:smartTag>
      <w:r>
        <w:rPr>
          <w:snapToGrid w:val="0"/>
        </w:rPr>
        <w:t xml:space="preserve"> and the Ten Thousand Islands, both of which are dominated by mangrove islands fronting expansive freshwater marshes on the mainland.  Many tidal creeks and natural passes connect the islands and marshes.  Historically, the area’s fresh water came mainly from sheet flow across the </w:t>
      </w:r>
      <w:smartTag w:uri="urn:schemas-microsoft-com:office:smarttags" w:element="place">
        <w:r>
          <w:rPr>
            <w:snapToGrid w:val="0"/>
          </w:rPr>
          <w:t>Everglades</w:t>
        </w:r>
      </w:smartTag>
      <w:r>
        <w:rPr>
          <w:snapToGrid w:val="0"/>
        </w:rPr>
        <w:t>.</w:t>
      </w:r>
    </w:p>
    <w:p w:rsidR="00485094" w:rsidRDefault="00485094" w:rsidP="00D34410">
      <w:pPr>
        <w:pStyle w:val="Bodytext"/>
        <w:rPr>
          <w:snapToGrid w:val="0"/>
        </w:rPr>
      </w:pPr>
    </w:p>
    <w:p w:rsidR="00485094" w:rsidRDefault="00485094" w:rsidP="00D34410">
      <w:pPr>
        <w:pStyle w:val="Bodytext"/>
        <w:rPr>
          <w:snapToGrid w:val="0"/>
        </w:rPr>
      </w:pPr>
      <w:smartTag w:uri="urn:schemas-microsoft-com:office:smarttags" w:element="State">
        <w:smartTag w:uri="urn:schemas-microsoft-com:office:smarttags" w:element="place">
          <w:r>
            <w:rPr>
              <w:snapToGrid w:val="0"/>
            </w:rPr>
            <w:t>Florida</w:t>
          </w:r>
        </w:smartTag>
      </w:smartTag>
      <w:r>
        <w:rPr>
          <w:snapToGrid w:val="0"/>
        </w:rPr>
        <w:t xml:space="preserve">'s west coast has low relief, and the continental shelf extends seaward for many miles.  Unlike the east coast, numerous rivers, creeks, and springs contribute to estuarine habitats.  Generally, the west coast’s estuaries are well-mixed systems with broad variations in salinity.  They often lie behind low-energy barrier islands or at the mouths of rivers that discharge into salt marshes or mangrove-fringed bays.  The Big Bend coast from the Anclote Keys north to </w:t>
      </w:r>
      <w:smartTag w:uri="urn:schemas-microsoft-com:office:smarttags" w:element="PlaceName">
        <w:smartTag w:uri="urn:schemas-microsoft-com:office:smarttags" w:element="place">
          <w:r>
            <w:rPr>
              <w:snapToGrid w:val="0"/>
            </w:rPr>
            <w:t>Apalachee</w:t>
          </w:r>
        </w:smartTag>
        <w:r>
          <w:rPr>
            <w:snapToGrid w:val="0"/>
          </w:rPr>
          <w:t xml:space="preserve"> </w:t>
        </w:r>
        <w:smartTag w:uri="urn:schemas-microsoft-com:office:smarttags" w:element="PlaceType">
          <w:r>
            <w:rPr>
              <w:snapToGrid w:val="0"/>
            </w:rPr>
            <w:t>Bay</w:t>
          </w:r>
        </w:smartTag>
      </w:smartTag>
      <w:r>
        <w:rPr>
          <w:snapToGrid w:val="0"/>
        </w:rPr>
        <w:t xml:space="preserve"> is low-energy marsh shoreline.  While it does not conform to the classical definition of an estuary, its flora and fauna are typically estuarine.  Many freshwater rivers and streams feeding the shoreline here are either spring runs or receive significant quantities of spring water.  The Florida Panhandle from </w:t>
      </w:r>
      <w:smartTag w:uri="urn:schemas-microsoft-com:office:smarttags" w:element="PlaceName">
        <w:r>
          <w:rPr>
            <w:snapToGrid w:val="0"/>
          </w:rPr>
          <w:t>Apalachee</w:t>
        </w:r>
      </w:smartTag>
      <w:r>
        <w:rPr>
          <w:snapToGrid w:val="0"/>
        </w:rPr>
        <w:t xml:space="preserve"> </w:t>
      </w:r>
      <w:smartTag w:uri="urn:schemas-microsoft-com:office:smarttags" w:element="PlaceType">
        <w:r>
          <w:rPr>
            <w:snapToGrid w:val="0"/>
          </w:rPr>
          <w:t>Bay</w:t>
        </w:r>
      </w:smartTag>
      <w:r>
        <w:rPr>
          <w:snapToGrid w:val="0"/>
        </w:rPr>
        <w:t xml:space="preserve"> west to </w:t>
      </w:r>
      <w:smartTag w:uri="urn:schemas-microsoft-com:office:smarttags" w:element="PlaceName">
        <w:r>
          <w:rPr>
            <w:snapToGrid w:val="0"/>
          </w:rPr>
          <w:t>Pensacola</w:t>
        </w:r>
      </w:smartTag>
      <w:r>
        <w:rPr>
          <w:snapToGrid w:val="0"/>
        </w:rPr>
        <w:t xml:space="preserve"> </w:t>
      </w:r>
      <w:smartTag w:uri="urn:schemas-microsoft-com:office:smarttags" w:element="PlaceType">
        <w:r>
          <w:rPr>
            <w:snapToGrid w:val="0"/>
          </w:rPr>
          <w:t>Bay</w:t>
        </w:r>
      </w:smartTag>
      <w:r>
        <w:rPr>
          <w:snapToGrid w:val="0"/>
        </w:rPr>
        <w:t xml:space="preserve"> comprises high-energy barrier islands, with sand beaches fronting the </w:t>
      </w:r>
      <w:smartTag w:uri="urn:schemas-microsoft-com:office:smarttags" w:element="place">
        <w:r>
          <w:rPr>
            <w:snapToGrid w:val="0"/>
          </w:rPr>
          <w:t>Gulf of Mexico</w:t>
        </w:r>
      </w:smartTag>
      <w:r>
        <w:rPr>
          <w:snapToGrid w:val="0"/>
        </w:rPr>
        <w:t>.</w:t>
      </w:r>
    </w:p>
    <w:p w:rsidR="00485094" w:rsidRDefault="00485094" w:rsidP="004454B8">
      <w:pPr>
        <w:pStyle w:val="Bodytext"/>
        <w:rPr>
          <w:snapToGrid w:val="0"/>
        </w:rPr>
      </w:pPr>
    </w:p>
    <w:p w:rsidR="00485094" w:rsidRDefault="00485094" w:rsidP="00D34410">
      <w:pPr>
        <w:pStyle w:val="Bodytext"/>
        <w:rPr>
          <w:snapToGrid w:val="0"/>
        </w:rPr>
      </w:pPr>
      <w:r>
        <w:rPr>
          <w:snapToGrid w:val="0"/>
        </w:rPr>
        <w:t xml:space="preserve">Major coastal and estuarine habitats vary from northern to southern </w:t>
      </w:r>
      <w:smartTag w:uri="urn:schemas-microsoft-com:office:smarttags" w:element="State">
        <w:smartTag w:uri="urn:schemas-microsoft-com:office:smarttags" w:element="place">
          <w:r>
            <w:rPr>
              <w:snapToGrid w:val="0"/>
            </w:rPr>
            <w:t>Florida</w:t>
          </w:r>
        </w:smartTag>
      </w:smartTag>
      <w:r>
        <w:rPr>
          <w:snapToGrid w:val="0"/>
        </w:rPr>
        <w:t xml:space="preserve">.  Salt marshes dominate from </w:t>
      </w:r>
      <w:smartTag w:uri="urn:schemas-microsoft-com:office:smarttags" w:element="PlaceName">
        <w:r>
          <w:rPr>
            <w:snapToGrid w:val="0"/>
          </w:rPr>
          <w:t>Apalachicola</w:t>
        </w:r>
      </w:smartTag>
      <w:r>
        <w:rPr>
          <w:snapToGrid w:val="0"/>
        </w:rPr>
        <w:t xml:space="preserve"> </w:t>
      </w:r>
      <w:smartTag w:uri="urn:schemas-microsoft-com:office:smarttags" w:element="PlaceType">
        <w:r>
          <w:rPr>
            <w:snapToGrid w:val="0"/>
          </w:rPr>
          <w:t>Bay</w:t>
        </w:r>
      </w:smartTag>
      <w:r>
        <w:rPr>
          <w:snapToGrid w:val="0"/>
        </w:rPr>
        <w:t xml:space="preserve"> to </w:t>
      </w:r>
      <w:smartTag w:uri="urn:schemas-microsoft-com:office:smarttags" w:element="PlaceName">
        <w:r>
          <w:rPr>
            <w:snapToGrid w:val="0"/>
          </w:rPr>
          <w:t>Tampa</w:t>
        </w:r>
      </w:smartTag>
      <w:r>
        <w:rPr>
          <w:snapToGrid w:val="0"/>
        </w:rPr>
        <w:t xml:space="preserve"> </w:t>
      </w:r>
      <w:smartTag w:uri="urn:schemas-microsoft-com:office:smarttags" w:element="PlaceType">
        <w:r>
          <w:rPr>
            <w:snapToGrid w:val="0"/>
          </w:rPr>
          <w:t>Bay</w:t>
        </w:r>
      </w:smartTag>
      <w:r>
        <w:rPr>
          <w:snapToGrid w:val="0"/>
        </w:rPr>
        <w:t xml:space="preserve"> and from the Indian River Lagoon north to the </w:t>
      </w:r>
      <w:smartTag w:uri="urn:schemas-microsoft-com:office:smarttags" w:element="country-region">
        <w:smartTag w:uri="urn:schemas-microsoft-com:office:smarttags" w:element="place">
          <w:r>
            <w:rPr>
              <w:snapToGrid w:val="0"/>
            </w:rPr>
            <w:t>Georgia</w:t>
          </w:r>
        </w:smartTag>
      </w:smartTag>
      <w:r>
        <w:rPr>
          <w:snapToGrid w:val="0"/>
        </w:rPr>
        <w:t xml:space="preserve"> state line.  The estuaries west of </w:t>
      </w:r>
      <w:smartTag w:uri="urn:schemas-microsoft-com:office:smarttags" w:element="PlaceName">
        <w:smartTag w:uri="urn:schemas-microsoft-com:office:smarttags" w:element="place">
          <w:r>
            <w:rPr>
              <w:snapToGrid w:val="0"/>
            </w:rPr>
            <w:t>Apalachicola</w:t>
          </w:r>
        </w:smartTag>
        <w:r>
          <w:rPr>
            <w:snapToGrid w:val="0"/>
          </w:rPr>
          <w:t xml:space="preserve"> </w:t>
        </w:r>
        <w:smartTag w:uri="urn:schemas-microsoft-com:office:smarttags" w:element="PlaceType">
          <w:r>
            <w:rPr>
              <w:snapToGrid w:val="0"/>
            </w:rPr>
            <w:t>Bay</w:t>
          </w:r>
        </w:smartTag>
      </w:smartTag>
      <w:r>
        <w:rPr>
          <w:snapToGrid w:val="0"/>
        </w:rPr>
        <w:t xml:space="preserve"> have few salt marshes.  Mangrove swamps dominate the southern </w:t>
      </w:r>
      <w:smartTag w:uri="urn:schemas-microsoft-com:office:smarttags" w:element="State">
        <w:smartTag w:uri="urn:schemas-microsoft-com:office:smarttags" w:element="place">
          <w:r>
            <w:rPr>
              <w:snapToGrid w:val="0"/>
            </w:rPr>
            <w:t>Florida</w:t>
          </w:r>
        </w:smartTag>
      </w:smartTag>
      <w:r>
        <w:rPr>
          <w:snapToGrid w:val="0"/>
        </w:rPr>
        <w:t xml:space="preserve"> coast.  There are about 6,000 coral reefs between the city of </w:t>
      </w:r>
      <w:smartTag w:uri="urn:schemas-microsoft-com:office:smarttags" w:element="City">
        <w:r>
          <w:rPr>
            <w:snapToGrid w:val="0"/>
          </w:rPr>
          <w:t>Stuart</w:t>
        </w:r>
      </w:smartTag>
      <w:r>
        <w:rPr>
          <w:snapToGrid w:val="0"/>
        </w:rPr>
        <w:t xml:space="preserve"> on the </w:t>
      </w:r>
      <w:smartTag w:uri="urn:schemas-microsoft-com:office:smarttags" w:element="PlaceName">
        <w:r>
          <w:rPr>
            <w:snapToGrid w:val="0"/>
          </w:rPr>
          <w:t>Atlantic</w:t>
        </w:r>
      </w:smartTag>
      <w:r>
        <w:rPr>
          <w:snapToGrid w:val="0"/>
        </w:rPr>
        <w:t xml:space="preserve"> </w:t>
      </w:r>
      <w:smartTag w:uri="urn:schemas-microsoft-com:office:smarttags" w:element="PlaceType">
        <w:r>
          <w:rPr>
            <w:snapToGrid w:val="0"/>
          </w:rPr>
          <w:t>Coast</w:t>
        </w:r>
      </w:smartTag>
      <w:r>
        <w:rPr>
          <w:snapToGrid w:val="0"/>
        </w:rPr>
        <w:t xml:space="preserve"> south and west to the Dry Tortugas, while seagrasses are most abundant from Tarpon Springs to </w:t>
      </w:r>
      <w:smartTag w:uri="urn:schemas-microsoft-com:office:smarttags" w:element="PlaceName">
        <w:r>
          <w:rPr>
            <w:snapToGrid w:val="0"/>
          </w:rPr>
          <w:t>Charlotte</w:t>
        </w:r>
      </w:smartTag>
      <w:r>
        <w:rPr>
          <w:snapToGrid w:val="0"/>
        </w:rPr>
        <w:t xml:space="preserve"> Harbor and from </w:t>
      </w:r>
      <w:smartTag w:uri="urn:schemas-microsoft-com:office:smarttags" w:element="PlaceName">
        <w:r>
          <w:rPr>
            <w:snapToGrid w:val="0"/>
          </w:rPr>
          <w:t>Florida</w:t>
        </w:r>
      </w:smartTag>
      <w:r>
        <w:rPr>
          <w:snapToGrid w:val="0"/>
        </w:rPr>
        <w:t xml:space="preserve"> </w:t>
      </w:r>
      <w:smartTag w:uri="urn:schemas-microsoft-com:office:smarttags" w:element="PlaceType">
        <w:r>
          <w:rPr>
            <w:snapToGrid w:val="0"/>
          </w:rPr>
          <w:t>Bay</w:t>
        </w:r>
      </w:smartTag>
      <w:r>
        <w:rPr>
          <w:snapToGrid w:val="0"/>
        </w:rPr>
        <w:t xml:space="preserve"> to </w:t>
      </w:r>
      <w:smartTag w:uri="urn:schemas-microsoft-com:office:smarttags" w:element="place">
        <w:r>
          <w:rPr>
            <w:snapToGrid w:val="0"/>
          </w:rPr>
          <w:t>Biscayne Bay</w:t>
        </w:r>
      </w:smartTag>
      <w:r>
        <w:rPr>
          <w:snapToGrid w:val="0"/>
        </w:rPr>
        <w:t>.</w:t>
      </w:r>
    </w:p>
    <w:p w:rsidR="00485094" w:rsidRDefault="00485094" w:rsidP="00D34410">
      <w:pPr>
        <w:pStyle w:val="Bodytext"/>
        <w:rPr>
          <w:snapToGrid w:val="0"/>
        </w:rPr>
      </w:pPr>
    </w:p>
    <w:p w:rsidR="00485094" w:rsidRDefault="00485094" w:rsidP="00D34410">
      <w:pPr>
        <w:pStyle w:val="Heading3"/>
      </w:pPr>
      <w:bookmarkStart w:id="81" w:name="_Toc254269829"/>
      <w:bookmarkStart w:id="82" w:name="_Toc255822492"/>
      <w:bookmarkStart w:id="83" w:name="_Toc271794304"/>
      <w:r w:rsidRPr="009060F2">
        <w:t>Wetlands</w:t>
      </w:r>
      <w:bookmarkEnd w:id="81"/>
      <w:bookmarkEnd w:id="82"/>
      <w:bookmarkEnd w:id="83"/>
    </w:p>
    <w:p w:rsidR="00485094" w:rsidRDefault="00485094" w:rsidP="00D34410">
      <w:pPr>
        <w:pStyle w:val="Bodytext"/>
        <w:rPr>
          <w:snapToGrid w:val="0"/>
        </w:rPr>
      </w:pPr>
      <w:r>
        <w:rPr>
          <w:snapToGrid w:val="0"/>
        </w:rPr>
        <w:t xml:space="preserve">Because of its low elevation and peninsular nature, </w:t>
      </w:r>
      <w:smartTag w:uri="urn:schemas-microsoft-com:office:smarttags" w:element="State">
        <w:smartTag w:uri="urn:schemas-microsoft-com:office:smarttags" w:element="place">
          <w:r>
            <w:rPr>
              <w:snapToGrid w:val="0"/>
            </w:rPr>
            <w:t>Florida</w:t>
          </w:r>
        </w:smartTag>
      </w:smartTag>
      <w:r>
        <w:rPr>
          <w:snapToGrid w:val="0"/>
        </w:rPr>
        <w:t xml:space="preserve"> has many varied types of wetlands, including estuarine </w:t>
      </w:r>
      <w:r w:rsidRPr="00294643">
        <w:rPr>
          <w:i/>
          <w:snapToGrid w:val="0"/>
        </w:rPr>
        <w:t>Spartina</w:t>
      </w:r>
      <w:r>
        <w:rPr>
          <w:snapToGrid w:val="0"/>
        </w:rPr>
        <w:t xml:space="preserve"> and mangrove marshes, as well as freshwater sawgrass marshes, cypress swamps, and floodplain marshes.  Wetlands comprise almost one-third of the state.  The following are the largest and most important in the state:</w:t>
      </w:r>
    </w:p>
    <w:p w:rsidR="00485094" w:rsidRDefault="00485094" w:rsidP="00D34410">
      <w:pPr>
        <w:pStyle w:val="Bodytext"/>
        <w:rPr>
          <w:b/>
          <w:i/>
          <w:snapToGrid w:val="0"/>
        </w:rPr>
      </w:pPr>
    </w:p>
    <w:p w:rsidR="00485094" w:rsidRPr="00CE33D6" w:rsidRDefault="00485094" w:rsidP="00D34410">
      <w:pPr>
        <w:pStyle w:val="StyleListBulletPatternClearTan"/>
        <w:shd w:val="clear" w:color="auto" w:fill="auto"/>
      </w:pPr>
      <w:r w:rsidRPr="00CE33D6">
        <w:t xml:space="preserve">The Everglades and the adjacent </w:t>
      </w:r>
      <w:smartTag w:uri="urn:schemas-microsoft-com:office:smarttags" w:element="PlaceName">
        <w:smartTag w:uri="urn:schemas-microsoft-com:office:smarttags" w:element="place">
          <w:r w:rsidRPr="00CE33D6">
            <w:t>Big</w:t>
          </w:r>
        </w:smartTag>
        <w:r w:rsidRPr="00CE33D6">
          <w:t xml:space="preserve"> </w:t>
        </w:r>
        <w:smartTag w:uri="urn:schemas-microsoft-com:office:smarttags" w:element="PlaceName">
          <w:r w:rsidRPr="00CE33D6">
            <w:t>Cypress</w:t>
          </w:r>
        </w:smartTag>
        <w:r w:rsidRPr="00CE33D6">
          <w:t xml:space="preserve"> </w:t>
        </w:r>
        <w:smartTag w:uri="urn:schemas-microsoft-com:office:smarttags" w:element="PlaceType">
          <w:r w:rsidRPr="00CE33D6">
            <w:t>Swamp</w:t>
          </w:r>
        </w:smartTag>
      </w:smartTag>
      <w:r w:rsidRPr="00CE33D6">
        <w:t xml:space="preserve">.  Including the Water Conservation Areas (diked portions of the original Everglades system) and excluding the developed coastal ridge, this system extends from about 20 miles south of Lake Okeechobee to </w:t>
      </w:r>
      <w:smartTag w:uri="urn:schemas-microsoft-com:office:smarttags" w:element="PlaceName">
        <w:smartTag w:uri="urn:schemas-microsoft-com:office:smarttags" w:element="place">
          <w:r w:rsidRPr="00CE33D6">
            <w:t>Florida</w:t>
          </w:r>
        </w:smartTag>
        <w:r w:rsidRPr="00CE33D6">
          <w:t xml:space="preserve"> </w:t>
        </w:r>
        <w:smartTag w:uri="urn:schemas-microsoft-com:office:smarttags" w:element="PlaceType">
          <w:r w:rsidRPr="00CE33D6">
            <w:t>Bay</w:t>
          </w:r>
        </w:smartTag>
      </w:smartTag>
      <w:r w:rsidRPr="00CE33D6">
        <w:t>.</w:t>
      </w:r>
    </w:p>
    <w:p w:rsidR="00485094" w:rsidRPr="00CE33D6" w:rsidRDefault="00485094" w:rsidP="00D34410">
      <w:pPr>
        <w:pStyle w:val="StyleListBulletPatternClearTan"/>
        <w:shd w:val="clear" w:color="auto" w:fill="auto"/>
      </w:pPr>
      <w:r w:rsidRPr="00CE33D6">
        <w:t xml:space="preserve">The </w:t>
      </w:r>
      <w:smartTag w:uri="urn:schemas-microsoft-com:office:smarttags" w:element="PlaceName">
        <w:smartTag w:uri="urn:schemas-microsoft-com:office:smarttags" w:element="place">
          <w:r w:rsidRPr="00CE33D6">
            <w:t>Green</w:t>
          </w:r>
        </w:smartTag>
        <w:r w:rsidRPr="00CE33D6">
          <w:t xml:space="preserve"> </w:t>
        </w:r>
        <w:smartTag w:uri="urn:schemas-microsoft-com:office:smarttags" w:element="PlaceType">
          <w:r w:rsidRPr="00CE33D6">
            <w:t>Swamp</w:t>
          </w:r>
        </w:smartTag>
      </w:smartTag>
      <w:r w:rsidRPr="00CE33D6">
        <w:t xml:space="preserve"> in the state’s central plateau.</w:t>
      </w:r>
    </w:p>
    <w:p w:rsidR="00485094" w:rsidRPr="00CE33D6" w:rsidRDefault="00485094" w:rsidP="00D34410">
      <w:pPr>
        <w:pStyle w:val="StyleListBulletPatternClearTan"/>
        <w:shd w:val="clear" w:color="auto" w:fill="auto"/>
      </w:pPr>
      <w:r w:rsidRPr="00CE33D6">
        <w:lastRenderedPageBreak/>
        <w:t xml:space="preserve">The Big Bend coast from the St. Marks River to the (South) </w:t>
      </w:r>
      <w:smartTag w:uri="urn:schemas-microsoft-com:office:smarttags" w:element="PlaceName">
        <w:smartTag w:uri="urn:schemas-microsoft-com:office:smarttags" w:element="place">
          <w:r w:rsidRPr="00CE33D6">
            <w:t>Withlacoochee</w:t>
          </w:r>
        </w:smartTag>
        <w:r w:rsidRPr="00CE33D6">
          <w:t xml:space="preserve"> </w:t>
        </w:r>
        <w:smartTag w:uri="urn:schemas-microsoft-com:office:smarttags" w:element="PlaceType">
          <w:r w:rsidRPr="00CE33D6">
            <w:t>River</w:t>
          </w:r>
        </w:smartTag>
      </w:smartTag>
      <w:r w:rsidRPr="00CE33D6">
        <w:t>.</w:t>
      </w:r>
    </w:p>
    <w:p w:rsidR="00485094" w:rsidRPr="00CE33D6" w:rsidRDefault="00485094" w:rsidP="00D34410">
      <w:pPr>
        <w:pStyle w:val="StyleListBulletPatternClearTan"/>
        <w:shd w:val="clear" w:color="auto" w:fill="auto"/>
      </w:pPr>
      <w:r w:rsidRPr="00CE33D6">
        <w:t xml:space="preserve">Vast expanses of </w:t>
      </w:r>
      <w:r w:rsidRPr="00294643">
        <w:rPr>
          <w:i w:val="0"/>
        </w:rPr>
        <w:t>Spartina</w:t>
      </w:r>
      <w:r w:rsidRPr="00CE33D6">
        <w:t xml:space="preserve"> marsh between the </w:t>
      </w:r>
      <w:smartTag w:uri="urn:schemas-microsoft-com:office:smarttags" w:element="City">
        <w:smartTag w:uri="urn:schemas-microsoft-com:office:smarttags" w:element="place">
          <w:r w:rsidRPr="00CE33D6">
            <w:t>Nassau</w:t>
          </w:r>
        </w:smartTag>
      </w:smartTag>
      <w:r w:rsidRPr="00CE33D6">
        <w:t xml:space="preserve"> and St. Mary’s Rivers.</w:t>
      </w:r>
    </w:p>
    <w:p w:rsidR="00485094" w:rsidRPr="00CE33D6" w:rsidRDefault="00485094" w:rsidP="00D34410">
      <w:pPr>
        <w:pStyle w:val="StyleListBulletPatternClearTan"/>
        <w:shd w:val="clear" w:color="auto" w:fill="auto"/>
      </w:pPr>
      <w:r w:rsidRPr="00CE33D6">
        <w:t xml:space="preserve">The system of the </w:t>
      </w:r>
      <w:smartTag w:uri="urn:schemas-microsoft-com:office:smarttags" w:element="place">
        <w:r w:rsidRPr="00CE33D6">
          <w:t>St. Johns River</w:t>
        </w:r>
      </w:smartTag>
      <w:r w:rsidRPr="00CE33D6">
        <w:t xml:space="preserve"> marshes.  Before alteration by humans, all but the northernmost one-fifth of the river basin was an extensive freshwater system of swamps, marshes and lakes</w:t>
      </w:r>
      <w:r>
        <w:t xml:space="preserve"> (Kushlan, 1990)</w:t>
      </w:r>
      <w:r w:rsidRPr="00CE33D6">
        <w:t xml:space="preserve">.  Even today, half of the length of the St. Johns River is actually marsh, and in many respects it functions like a northern-flowing </w:t>
      </w:r>
      <w:smartTag w:uri="urn:schemas-microsoft-com:office:smarttags" w:element="place">
        <w:r w:rsidRPr="00CE33D6">
          <w:t>Everglades</w:t>
        </w:r>
      </w:smartTag>
      <w:r w:rsidRPr="00CE33D6">
        <w:t xml:space="preserve">.  </w:t>
      </w:r>
    </w:p>
    <w:p w:rsidR="00485094" w:rsidRDefault="00485094" w:rsidP="003859BA">
      <w:pPr>
        <w:pStyle w:val="StyleListBulletPatternClearTan"/>
        <w:shd w:val="clear" w:color="auto" w:fill="auto"/>
      </w:pPr>
      <w:r w:rsidRPr="00CE33D6">
        <w:t>The headwaters and floodplains of many rivers throughout the state, especially the Apalachicola, Suwannee, St. Johns, Ocklawaha, Kissimmee, and Peace Rivers.</w:t>
      </w:r>
    </w:p>
    <w:p w:rsidR="00485094" w:rsidRDefault="00485094" w:rsidP="00173D87">
      <w:pPr>
        <w:pStyle w:val="Bodytextreduced"/>
      </w:pPr>
    </w:p>
    <w:p w:rsidR="00485094" w:rsidRDefault="00485094" w:rsidP="003859BA">
      <w:pPr>
        <w:pStyle w:val="Bodytext"/>
        <w:rPr>
          <w:snapToGrid w:val="0"/>
        </w:rPr>
      </w:pPr>
      <w:r>
        <w:t xml:space="preserve">In the past, many wetlands were drained (for agriculture and urban development), and numerous rivers were channelized for navigation.  The modifications were most intense in south Florida, where, beginning in the 1920s, canals and levees were built to control flooding and drain wetlands.  These modifications resulted in the loss of much of the original Everglades wetlands from Lake Okeechobee south.  The </w:t>
      </w:r>
      <w:hyperlink r:id="rId20" w:history="1">
        <w:r w:rsidRPr="004060D0">
          <w:rPr>
            <w:rStyle w:val="Hyperlink"/>
            <w:snapToGrid w:val="0"/>
          </w:rPr>
          <w:t>Everglades restoration</w:t>
        </w:r>
      </w:hyperlink>
      <w:r w:rsidRPr="00595B30">
        <w:rPr>
          <w:snapToGrid w:val="0"/>
        </w:rPr>
        <w:t xml:space="preserve"> is under</w:t>
      </w:r>
      <w:r>
        <w:rPr>
          <w:snapToGrid w:val="0"/>
        </w:rPr>
        <w:t xml:space="preserve"> </w:t>
      </w:r>
      <w:r w:rsidRPr="00595B30">
        <w:rPr>
          <w:snapToGrid w:val="0"/>
        </w:rPr>
        <w:t>way</w:t>
      </w:r>
      <w:r>
        <w:rPr>
          <w:snapToGrid w:val="0"/>
        </w:rPr>
        <w:t xml:space="preserve"> </w:t>
      </w:r>
      <w:r w:rsidRPr="00595B30">
        <w:rPr>
          <w:snapToGrid w:val="0"/>
        </w:rPr>
        <w:t xml:space="preserve">to improve water quality.  </w:t>
      </w:r>
      <w:r>
        <w:rPr>
          <w:snapToGrid w:val="0"/>
        </w:rPr>
        <w:t>T</w:t>
      </w:r>
      <w:r w:rsidRPr="003859BA">
        <w:rPr>
          <w:snapToGrid w:val="0"/>
        </w:rPr>
        <w:t>here are preliminary successes; however</w:t>
      </w:r>
      <w:r>
        <w:rPr>
          <w:snapToGrid w:val="0"/>
        </w:rPr>
        <w:t>,</w:t>
      </w:r>
      <w:r w:rsidRPr="003859BA">
        <w:rPr>
          <w:snapToGrid w:val="0"/>
        </w:rPr>
        <w:t xml:space="preserve"> </w:t>
      </w:r>
      <w:r>
        <w:rPr>
          <w:snapToGrid w:val="0"/>
        </w:rPr>
        <w:t>restoration</w:t>
      </w:r>
      <w:r w:rsidRPr="003859BA">
        <w:rPr>
          <w:snapToGrid w:val="0"/>
        </w:rPr>
        <w:t xml:space="preserve"> is a long-term effort involving many agencies </w:t>
      </w:r>
      <w:r>
        <w:rPr>
          <w:snapToGrid w:val="0"/>
        </w:rPr>
        <w:t>working to revitalize the heavily altered system</w:t>
      </w:r>
      <w:r w:rsidRPr="003859BA">
        <w:rPr>
          <w:snapToGrid w:val="0"/>
        </w:rPr>
        <w:t>.</w:t>
      </w:r>
    </w:p>
    <w:p w:rsidR="00485094" w:rsidRDefault="00485094" w:rsidP="00CA657B">
      <w:pPr>
        <w:pStyle w:val="Bodytextreduced"/>
      </w:pPr>
    </w:p>
    <w:p w:rsidR="00485094" w:rsidRDefault="00485094" w:rsidP="008423A9">
      <w:pPr>
        <w:pStyle w:val="Heading3"/>
      </w:pPr>
      <w:bookmarkStart w:id="84" w:name="_Toc255822493"/>
      <w:bookmarkStart w:id="85" w:name="_Toc271794305"/>
      <w:bookmarkStart w:id="86" w:name="_Toc490373227"/>
      <w:r w:rsidRPr="00043A71">
        <w:t>Aquifers</w:t>
      </w:r>
      <w:r>
        <w:t xml:space="preserve"> and Springs</w:t>
      </w:r>
      <w:bookmarkEnd w:id="84"/>
      <w:bookmarkEnd w:id="85"/>
    </w:p>
    <w:p w:rsidR="00485094" w:rsidRDefault="00485094" w:rsidP="004454B8">
      <w:pPr>
        <w:pStyle w:val="Bodytext"/>
      </w:pPr>
      <w:smartTag w:uri="urn:schemas-microsoft-com:office:smarttags" w:element="State">
        <w:smartTag w:uri="urn:schemas-microsoft-com:office:smarttags" w:element="place">
          <w:r>
            <w:t>Florida</w:t>
          </w:r>
        </w:smartTag>
      </w:smartTag>
      <w:r>
        <w:t xml:space="preserve"> lies atop a vast underground aquifer system that provides potable water to most of the state’s population.  Ground water naturally discharges into streams, lakes, wetlands, coastal waters, and springs.  Florida has more than 700 known springs </w:t>
      </w:r>
      <w:r w:rsidRPr="001864B0">
        <w:rPr>
          <w:i/>
        </w:rPr>
        <w:t>(</w:t>
      </w:r>
      <w:r>
        <w:rPr>
          <w:b/>
          <w:i/>
        </w:rPr>
        <w:t>Figure 2.3</w:t>
      </w:r>
      <w:r>
        <w:rPr>
          <w:i/>
        </w:rPr>
        <w:t>)</w:t>
      </w:r>
      <w:r>
        <w:t xml:space="preserve">, which discharge about 8 billion gallons of water per day (BGD); the state may contain the largest concentration of freshwater springs on Earth.  The largest spring by discharge is </w:t>
      </w:r>
      <w:r>
        <w:rPr>
          <w:snapToGrid w:val="0"/>
        </w:rPr>
        <w:t>Wakulla Springs, with an average discharge of 252 million gallons per day (MGD)</w:t>
      </w:r>
      <w:r>
        <w:t xml:space="preserve">.  </w:t>
      </w:r>
      <w:smartTag w:uri="urn:schemas-microsoft-com:office:smarttags" w:element="State">
        <w:r>
          <w:t>Florida</w:t>
        </w:r>
      </w:smartTag>
      <w:r>
        <w:t xml:space="preserve"> also contains 33 of the 78 first-magnitude springs (defined as springs that discharge on average at least 64.6 MGD) in the </w:t>
      </w:r>
      <w:smartTag w:uri="urn:schemas-microsoft-com:office:smarttags" w:element="country-region">
        <w:smartTag w:uri="urn:schemas-microsoft-com:office:smarttags" w:element="place">
          <w:r>
            <w:t>United States</w:t>
          </w:r>
        </w:smartTag>
      </w:smartTag>
      <w:r>
        <w:t>.  Several river systems in the state originate as spring discharges.</w:t>
      </w:r>
    </w:p>
    <w:p w:rsidR="00485094" w:rsidRDefault="00485094" w:rsidP="004454B8">
      <w:pPr>
        <w:autoSpaceDE w:val="0"/>
        <w:autoSpaceDN w:val="0"/>
        <w:adjustRightInd w:val="0"/>
        <w:jc w:val="both"/>
        <w:rPr>
          <w:i/>
        </w:rPr>
      </w:pPr>
    </w:p>
    <w:p w:rsidR="00485094" w:rsidRDefault="00485094" w:rsidP="00953CDA">
      <w:pPr>
        <w:pStyle w:val="Bodytext"/>
      </w:pPr>
      <w:r>
        <w:t xml:space="preserve">Archaeological evidence indicates that humans have been attracted to </w:t>
      </w:r>
      <w:smartTag w:uri="urn:schemas-microsoft-com:office:smarttags" w:element="State">
        <w:smartTag w:uri="urn:schemas-microsoft-com:office:smarttags" w:element="place">
          <w:r>
            <w:t>Florida</w:t>
          </w:r>
        </w:smartTag>
      </w:smartTag>
      <w:r>
        <w:t xml:space="preserve">’s life-giving springs for thousands of years.  Fourteen of </w:t>
      </w:r>
      <w:r w:rsidRPr="00250FBE">
        <w:t xml:space="preserve">Florida’s state parks named for springs attract </w:t>
      </w:r>
      <w:r>
        <w:t>millions of</w:t>
      </w:r>
      <w:r w:rsidRPr="00250FBE">
        <w:t xml:space="preserve"> visitors</w:t>
      </w:r>
      <w:r>
        <w:t xml:space="preserve"> each year, and private spring attractions and parks are a multimillion-dollar tourist industry.</w:t>
      </w:r>
    </w:p>
    <w:p w:rsidR="00485094" w:rsidRDefault="00485094" w:rsidP="007F2D44">
      <w:pPr>
        <w:pStyle w:val="Bodytextreduced"/>
      </w:pPr>
      <w:bookmarkStart w:id="87" w:name="_Toc78886480"/>
    </w:p>
    <w:p w:rsidR="00485094" w:rsidRDefault="00485094" w:rsidP="007F2D44">
      <w:pPr>
        <w:pStyle w:val="Heading2"/>
      </w:pPr>
      <w:bookmarkStart w:id="88" w:name="_Toc271794306"/>
      <w:r>
        <w:t>Hydrogeology</w:t>
      </w:r>
      <w:bookmarkEnd w:id="88"/>
    </w:p>
    <w:p w:rsidR="00485094" w:rsidRDefault="00485094" w:rsidP="007F2D44">
      <w:pPr>
        <w:pStyle w:val="Heading3"/>
      </w:pPr>
      <w:bookmarkStart w:id="89" w:name="_Toc271794307"/>
      <w:r w:rsidRPr="00545526">
        <w:t>Surface Water</w:t>
      </w:r>
      <w:bookmarkEnd w:id="89"/>
    </w:p>
    <w:p w:rsidR="00485094" w:rsidRDefault="00485094" w:rsidP="007F2D44">
      <w:pPr>
        <w:pStyle w:val="Bodytext"/>
      </w:pPr>
      <w:r>
        <w:t xml:space="preserve">Most of </w:t>
      </w:r>
      <w:smartTag w:uri="urn:schemas-microsoft-com:office:smarttags" w:element="State">
        <w:smartTag w:uri="urn:schemas-microsoft-com:office:smarttags" w:element="place">
          <w:r>
            <w:t>Florida</w:t>
          </w:r>
        </w:smartTag>
      </w:smartTag>
      <w:r>
        <w:t xml:space="preserve"> is relatively flat.  The highest elevations in the Panhandle are 345 feet near Lakewood (in Walton County) and 323 feet at Alford (in Washington County).  At 312 feet, Sugarloaf Mountain (in Lake County) has the highest elevation in the peninsula (</w:t>
      </w:r>
      <w:hyperlink r:id="rId21" w:history="1">
        <w:r w:rsidRPr="00B508DB">
          <w:rPr>
            <w:rStyle w:val="Hyperlink"/>
          </w:rPr>
          <w:t>americasroof.com website</w:t>
        </w:r>
      </w:hyperlink>
      <w:r>
        <w:t xml:space="preserve">, 2010).  The longest river, the </w:t>
      </w:r>
      <w:smartTag w:uri="urn:schemas-microsoft-com:office:smarttags" w:element="City">
        <w:r>
          <w:t>St. Johns</w:t>
        </w:r>
      </w:smartTag>
      <w:r>
        <w:t xml:space="preserve"> on </w:t>
      </w:r>
      <w:smartTag w:uri="urn:schemas-microsoft-com:office:smarttags" w:element="State">
        <w:smartTag w:uri="urn:schemas-microsoft-com:office:smarttags" w:element="place">
          <w:r>
            <w:t>Florida</w:t>
          </w:r>
        </w:smartTag>
      </w:smartTag>
      <w:r>
        <w:t xml:space="preserve">’s east coast, only falls about a tenth of a foot per mile from the headwaters to the mouth.  Surface drainage and topographic relief are greatest in the streams and rivers entering north and northwest </w:t>
      </w:r>
      <w:smartTag w:uri="urn:schemas-microsoft-com:office:smarttags" w:element="State">
        <w:r>
          <w:t>Florida</w:t>
        </w:r>
      </w:smartTag>
      <w:r>
        <w:t xml:space="preserve"> from </w:t>
      </w:r>
      <w:smartTag w:uri="urn:schemas-microsoft-com:office:smarttags" w:element="State">
        <w:r>
          <w:t>Alabama</w:t>
        </w:r>
      </w:smartTag>
      <w:r>
        <w:t xml:space="preserve"> and </w:t>
      </w:r>
      <w:smartTag w:uri="urn:schemas-microsoft-com:office:smarttags" w:element="country-region">
        <w:smartTag w:uri="urn:schemas-microsoft-com:office:smarttags" w:element="place">
          <w:r>
            <w:t>Georgia</w:t>
          </w:r>
        </w:smartTag>
      </w:smartTag>
      <w:r>
        <w:t>.  Most of these streams are alluvial, or sediment carrying.  As the land flattens farther south, surface drainage becomes less distinct, and the rivers and streams are typically slower moving, noneroding, and nonalluvial.</w:t>
      </w:r>
    </w:p>
    <w:p w:rsidR="00485094" w:rsidRDefault="00485094" w:rsidP="007F2D44">
      <w:pPr>
        <w:pStyle w:val="Bodytext"/>
      </w:pPr>
    </w:p>
    <w:p w:rsidR="00485094" w:rsidRDefault="00485094" w:rsidP="007F2D44">
      <w:pPr>
        <w:pStyle w:val="Bodytext"/>
      </w:pPr>
      <w:r>
        <w:t xml:space="preserve">Many of </w:t>
      </w:r>
      <w:smartTag w:uri="urn:schemas-microsoft-com:office:smarttags" w:element="State">
        <w:smartTag w:uri="urn:schemas-microsoft-com:office:smarttags" w:element="place">
          <w:r>
            <w:t>Florida</w:t>
          </w:r>
        </w:smartTag>
      </w:smartTag>
      <w:r>
        <w:t xml:space="preserve">’s rivers have their headwaters in wetlands.  In its natural setting, the Green Swamp in central Florida is the headwater for five major river systems:  Withlacoochee (South), Ocklawaha, Peace, Kissimmee, and Hillsborough.  In north </w:t>
      </w:r>
      <w:smartTag w:uri="urn:schemas-microsoft-com:office:smarttags" w:element="State">
        <w:r>
          <w:t>Florida</w:t>
        </w:r>
      </w:smartTag>
      <w:r>
        <w:t xml:space="preserve">, the Suwannee and St. Marys Rivers originate in the </w:t>
      </w:r>
      <w:smartTag w:uri="urn:schemas-microsoft-com:office:smarttags" w:element="place">
        <w:r>
          <w:t>Okefenokee Swamp</w:t>
        </w:r>
      </w:smartTag>
      <w:r>
        <w:t>.  Throughout the state, smaller streams often disappear into wetlands and later re-emerge as channeled flows.</w:t>
      </w:r>
    </w:p>
    <w:p w:rsidR="00485094" w:rsidRDefault="00485094">
      <w:pPr>
        <w:rPr>
          <w:rFonts w:ascii="Arial" w:hAnsi="Arial"/>
          <w:b/>
          <w:i/>
          <w:sz w:val="20"/>
          <w:szCs w:val="20"/>
        </w:rPr>
      </w:pPr>
    </w:p>
    <w:p w:rsidR="00485094" w:rsidRDefault="00485094" w:rsidP="00AD1530">
      <w:pPr>
        <w:pStyle w:val="Caption"/>
      </w:pPr>
      <w:bookmarkStart w:id="90" w:name="_Toc271280140"/>
      <w:r>
        <w:t>Figure 2.3.  Springs of Florida</w:t>
      </w:r>
      <w:bookmarkEnd w:id="87"/>
      <w:bookmarkEnd w:id="90"/>
    </w:p>
    <w:p w:rsidR="008A1744" w:rsidRPr="008A1744" w:rsidRDefault="008A1744" w:rsidP="008A1744">
      <w:pPr>
        <w:rPr>
          <w:rFonts w:ascii="Arial" w:hAnsi="Arial" w:cs="Arial"/>
          <w:sz w:val="16"/>
          <w:szCs w:val="16"/>
        </w:rPr>
      </w:pPr>
    </w:p>
    <w:p w:rsidR="00485094" w:rsidRDefault="00485094" w:rsidP="007F2D44">
      <w:pPr>
        <w:pStyle w:val="Bodytextreduced"/>
      </w:pPr>
    </w:p>
    <w:p w:rsidR="00485094" w:rsidRDefault="001717CD" w:rsidP="007F2D44">
      <w:pPr>
        <w:pStyle w:val="Bodytextreduced"/>
      </w:pPr>
      <w:r>
        <w:rPr>
          <w:noProof/>
        </w:rPr>
        <w:drawing>
          <wp:anchor distT="0" distB="0" distL="114300" distR="114300" simplePos="0" relativeHeight="251642368" behindDoc="0" locked="0" layoutInCell="0" allowOverlap="1">
            <wp:simplePos x="0" y="0"/>
            <wp:positionH relativeFrom="column">
              <wp:posOffset>0</wp:posOffset>
            </wp:positionH>
            <wp:positionV relativeFrom="paragraph">
              <wp:posOffset>8890</wp:posOffset>
            </wp:positionV>
            <wp:extent cx="5882640" cy="3550920"/>
            <wp:effectExtent l="19050" t="19050" r="22860" b="11430"/>
            <wp:wrapTopAndBottom/>
            <wp:docPr id="51" name="Picture 51" descr="Figure 2.3.  Springs of Flor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Figure 2.3.  Springs of Florida"/>
                    <pic:cNvPicPr>
                      <a:picLocks noChangeAspect="1" noChangeArrowheads="1"/>
                    </pic:cNvPicPr>
                  </pic:nvPicPr>
                  <pic:blipFill>
                    <a:blip r:embed="rId22"/>
                    <a:srcRect/>
                    <a:stretch>
                      <a:fillRect/>
                    </a:stretch>
                  </pic:blipFill>
                  <pic:spPr bwMode="auto">
                    <a:xfrm>
                      <a:off x="0" y="0"/>
                      <a:ext cx="5882640" cy="3550920"/>
                    </a:xfrm>
                    <a:prstGeom prst="rect">
                      <a:avLst/>
                    </a:prstGeom>
                    <a:noFill/>
                    <a:ln w="6350">
                      <a:solidFill>
                        <a:srgbClr val="000000"/>
                      </a:solidFill>
                      <a:miter lim="800000"/>
                      <a:headEnd/>
                      <a:tailEnd/>
                    </a:ln>
                  </pic:spPr>
                </pic:pic>
              </a:graphicData>
            </a:graphic>
          </wp:anchor>
        </w:drawing>
      </w:r>
      <w:bookmarkEnd w:id="86"/>
    </w:p>
    <w:p w:rsidR="00485094" w:rsidRDefault="00485094" w:rsidP="008423A9">
      <w:pPr>
        <w:pStyle w:val="Heading3"/>
      </w:pPr>
      <w:bookmarkStart w:id="91" w:name="_Toc74537776"/>
      <w:bookmarkStart w:id="92" w:name="_Toc74537932"/>
      <w:bookmarkStart w:id="93" w:name="_Toc78886304"/>
      <w:bookmarkStart w:id="94" w:name="_Toc255822496"/>
      <w:bookmarkStart w:id="95" w:name="_Toc271794308"/>
      <w:r w:rsidRPr="00545526">
        <w:t>Ground Water</w:t>
      </w:r>
      <w:bookmarkEnd w:id="91"/>
      <w:bookmarkEnd w:id="92"/>
      <w:bookmarkEnd w:id="93"/>
      <w:bookmarkEnd w:id="94"/>
      <w:bookmarkEnd w:id="95"/>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is in the Coastal Plain physiographic province, which is blanketed by surficial sands and underlain by a thick sequence of bedded limestone and dolomite.  Together the surficial sands, limestone, and dolomites form an enormous ground water reservoir that provides proportionally larger quantities of ground water than in any other state.</w:t>
      </w:r>
    </w:p>
    <w:p w:rsidR="00485094" w:rsidRDefault="00485094" w:rsidP="00D34410">
      <w:pPr>
        <w:pStyle w:val="Bodytext"/>
      </w:pPr>
    </w:p>
    <w:p w:rsidR="00485094" w:rsidRDefault="00485094" w:rsidP="00D34410">
      <w:pPr>
        <w:pStyle w:val="Bodytext"/>
      </w:pPr>
      <w:r w:rsidRPr="00C4487F">
        <w:t xml:space="preserve">These sources of high-quality, potable ground water underlying virtually all of </w:t>
      </w:r>
      <w:smartTag w:uri="urn:schemas-microsoft-com:office:smarttags" w:element="State">
        <w:smartTag w:uri="urn:schemas-microsoft-com:office:smarttags" w:element="place">
          <w:r w:rsidRPr="00C4487F">
            <w:t>Florida</w:t>
          </w:r>
        </w:smartTag>
      </w:smartTag>
      <w:r w:rsidRPr="00C4487F">
        <w:t xml:space="preserve"> supported average withdrawals of more than </w:t>
      </w:r>
      <w:r w:rsidRPr="00FA232C">
        <w:t>6</w:t>
      </w:r>
      <w:r>
        <w:t>,873</w:t>
      </w:r>
      <w:r w:rsidRPr="00C4487F">
        <w:t xml:space="preserve"> </w:t>
      </w:r>
      <w:r>
        <w:t>MGD</w:t>
      </w:r>
      <w:r w:rsidRPr="00C4487F">
        <w:t xml:space="preserve"> in 200</w:t>
      </w:r>
      <w:r>
        <w:t>5 (</w:t>
      </w:r>
      <w:proofErr w:type="spellStart"/>
      <w:r>
        <w:t>Marella</w:t>
      </w:r>
      <w:proofErr w:type="spellEnd"/>
      <w:r>
        <w:t>, 2009)</w:t>
      </w:r>
      <w:r w:rsidRPr="00C4487F">
        <w:t>.  This re</w:t>
      </w:r>
      <w:smartTag w:uri="urn:schemas-microsoft-com:office:smarttags" w:element="PersonName">
        <w:r w:rsidRPr="00C4487F">
          <w:t>mark</w:t>
        </w:r>
      </w:smartTag>
      <w:r w:rsidRPr="00C4487F">
        <w:t>able resource supplies more</w:t>
      </w:r>
      <w:r>
        <w:t xml:space="preserve"> than 90% of the drinking water for more than 18 million residents.  In addition, ground water resources supply over 50% of all water needs, including agricultural, industrial, mining, and electric power generation.</w:t>
      </w:r>
    </w:p>
    <w:p w:rsidR="00485094" w:rsidRDefault="00485094" w:rsidP="00D34410">
      <w:pPr>
        <w:pStyle w:val="Bodytext"/>
      </w:pPr>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 primarily relies on the following four aquifer systems as drinking water sources:</w:t>
      </w:r>
    </w:p>
    <w:p w:rsidR="00485094" w:rsidRDefault="00485094" w:rsidP="00D34410">
      <w:pPr>
        <w:pStyle w:val="Bodytext"/>
      </w:pPr>
    </w:p>
    <w:p w:rsidR="00485094" w:rsidRPr="00BF2AF9" w:rsidRDefault="00485094" w:rsidP="00D34410">
      <w:pPr>
        <w:pStyle w:val="ListBullet"/>
        <w:rPr>
          <w:szCs w:val="22"/>
        </w:rPr>
      </w:pPr>
      <w:r w:rsidRPr="00BF2AF9">
        <w:rPr>
          <w:szCs w:val="22"/>
        </w:rPr>
        <w:t>The Floridan aquifer system, one of the most productive sources of ground water in the United States, extends across all of Florida, southern Georgia, and adjoining parts of Alabama and South Carolina.  Many public water systems—</w:t>
      </w:r>
      <w:r w:rsidRPr="00BF2AF9">
        <w:rPr>
          <w:szCs w:val="22"/>
        </w:rPr>
        <w:lastRenderedPageBreak/>
        <w:t xml:space="preserve">including </w:t>
      </w:r>
      <w:smartTag w:uri="urn:schemas-microsoft-com:office:smarttags" w:element="City">
        <w:r w:rsidRPr="00BF2AF9">
          <w:rPr>
            <w:szCs w:val="22"/>
          </w:rPr>
          <w:t>Jacksonville</w:t>
        </w:r>
      </w:smartTag>
      <w:r w:rsidRPr="00BF2AF9">
        <w:rPr>
          <w:szCs w:val="22"/>
        </w:rPr>
        <w:t xml:space="preserve">, </w:t>
      </w:r>
      <w:smartTag w:uri="urn:schemas-microsoft-com:office:smarttags" w:element="City">
        <w:r w:rsidRPr="00BF2AF9">
          <w:rPr>
            <w:szCs w:val="22"/>
          </w:rPr>
          <w:t>Orlando</w:t>
        </w:r>
      </w:smartTag>
      <w:r w:rsidRPr="00BF2AF9">
        <w:rPr>
          <w:szCs w:val="22"/>
        </w:rPr>
        <w:t xml:space="preserve">, </w:t>
      </w:r>
      <w:smartTag w:uri="urn:schemas-microsoft-com:office:smarttags" w:element="City">
        <w:r w:rsidRPr="00BF2AF9">
          <w:rPr>
            <w:szCs w:val="22"/>
          </w:rPr>
          <w:t>Clearwater</w:t>
        </w:r>
      </w:smartTag>
      <w:r w:rsidRPr="00BF2AF9">
        <w:rPr>
          <w:szCs w:val="22"/>
        </w:rPr>
        <w:t xml:space="preserve">, </w:t>
      </w:r>
      <w:smartTag w:uri="urn:schemas-microsoft-com:office:smarttags" w:element="City">
        <w:r w:rsidRPr="00BF2AF9">
          <w:rPr>
            <w:szCs w:val="22"/>
          </w:rPr>
          <w:t>St. Petersburg</w:t>
        </w:r>
      </w:smartTag>
      <w:r w:rsidRPr="00BF2AF9">
        <w:rPr>
          <w:szCs w:val="22"/>
        </w:rPr>
        <w:t xml:space="preserve">, and </w:t>
      </w:r>
      <w:smartTag w:uri="urn:schemas-microsoft-com:office:smarttags" w:element="City">
        <w:smartTag w:uri="urn:schemas-microsoft-com:office:smarttags" w:element="place">
          <w:r w:rsidRPr="00BF2AF9">
            <w:rPr>
              <w:szCs w:val="22"/>
            </w:rPr>
            <w:t>Tallahassee</w:t>
          </w:r>
        </w:smartTag>
      </w:smartTag>
      <w:r w:rsidRPr="00BF2AF9">
        <w:rPr>
          <w:szCs w:val="22"/>
        </w:rPr>
        <w:t>—tap into the Floridan.  It is also a major supplier of water for industrial, irrigation, and rural use.  This aquifer provides 60% (</w:t>
      </w:r>
      <w:r>
        <w:rPr>
          <w:szCs w:val="22"/>
        </w:rPr>
        <w:t>4,124</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w:t>
      </w:r>
    </w:p>
    <w:p w:rsidR="00485094" w:rsidRPr="00BF2AF9" w:rsidRDefault="00485094" w:rsidP="00D34410">
      <w:pPr>
        <w:pStyle w:val="ListBullet"/>
        <w:rPr>
          <w:szCs w:val="22"/>
        </w:rPr>
      </w:pPr>
      <w:r w:rsidRPr="00BF2AF9">
        <w:rPr>
          <w:szCs w:val="22"/>
        </w:rPr>
        <w:t>Unnamed surficial and intermediate aquifers, which are present over much of the state, are used when the deeper aquifers contain nonpotable water.  They supply water needs for about 10% of the population, especially in rural locations.  These aquifers provide 20% (</w:t>
      </w:r>
      <w:r>
        <w:rPr>
          <w:szCs w:val="22"/>
        </w:rPr>
        <w:t>1,375</w:t>
      </w:r>
      <w:r w:rsidRPr="00BF2AF9">
        <w:rPr>
          <w:szCs w:val="22"/>
        </w:rPr>
        <w:t xml:space="preserve"> </w:t>
      </w:r>
      <w:r>
        <w:rPr>
          <w:szCs w:val="22"/>
        </w:rPr>
        <w:t>MGD</w:t>
      </w:r>
      <w:r w:rsidRPr="00BF2AF9">
        <w:rPr>
          <w:szCs w:val="22"/>
        </w:rPr>
        <w:t>) of the state’s potable water supplies.</w:t>
      </w:r>
    </w:p>
    <w:p w:rsidR="00485094" w:rsidRPr="00BF2AF9" w:rsidRDefault="00485094" w:rsidP="00D34410">
      <w:pPr>
        <w:pStyle w:val="ListBullet"/>
        <w:rPr>
          <w:szCs w:val="22"/>
        </w:rPr>
      </w:pPr>
      <w:r w:rsidRPr="00BF2AF9">
        <w:rPr>
          <w:szCs w:val="22"/>
        </w:rPr>
        <w:t xml:space="preserve">In southeast </w:t>
      </w:r>
      <w:smartTag w:uri="urn:schemas-microsoft-com:office:smarttags" w:element="State">
        <w:r w:rsidRPr="00BF2AF9">
          <w:rPr>
            <w:szCs w:val="22"/>
          </w:rPr>
          <w:t>Florida</w:t>
        </w:r>
      </w:smartTag>
      <w:r w:rsidRPr="00BF2AF9">
        <w:rPr>
          <w:szCs w:val="22"/>
        </w:rPr>
        <w:t xml:space="preserve">, the Biscayne aquifer supplies virtually all the water needs for over 4 million residents in densely populated Dade, Broward, </w:t>
      </w:r>
      <w:smartTag w:uri="urn:schemas-microsoft-com:office:smarttags" w:element="City">
        <w:r w:rsidRPr="00BF2AF9">
          <w:rPr>
            <w:szCs w:val="22"/>
          </w:rPr>
          <w:t>Palm Beach</w:t>
        </w:r>
      </w:smartTag>
      <w:r w:rsidRPr="00BF2AF9">
        <w:rPr>
          <w:szCs w:val="22"/>
        </w:rPr>
        <w:t xml:space="preserve"> and </w:t>
      </w:r>
      <w:smartTag w:uri="urn:schemas-microsoft-com:office:smarttags" w:element="PlaceName">
        <w:smartTag w:uri="urn:schemas-microsoft-com:office:smarttags" w:element="place">
          <w:r w:rsidRPr="00BF2AF9">
            <w:rPr>
              <w:szCs w:val="22"/>
            </w:rPr>
            <w:t>Monroe</w:t>
          </w:r>
        </w:smartTag>
        <w:r w:rsidRPr="00BF2AF9">
          <w:rPr>
            <w:szCs w:val="22"/>
          </w:rPr>
          <w:t xml:space="preserve"> </w:t>
        </w:r>
        <w:smartTag w:uri="urn:schemas-microsoft-com:office:smarttags" w:element="PlaceType">
          <w:r w:rsidRPr="00BF2AF9">
            <w:rPr>
              <w:szCs w:val="22"/>
            </w:rPr>
            <w:t>Counties</w:t>
          </w:r>
        </w:smartTag>
      </w:smartTag>
      <w:r w:rsidRPr="00BF2AF9">
        <w:rPr>
          <w:szCs w:val="22"/>
        </w:rPr>
        <w:t>.  This aquifer provides 18% (</w:t>
      </w:r>
      <w:r>
        <w:rPr>
          <w:szCs w:val="22"/>
        </w:rPr>
        <w:t>1237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’s potable water supplies.  The EPA has designated the Biscayne Aquifer as a sole source drinking water aquifer.</w:t>
      </w:r>
    </w:p>
    <w:p w:rsidR="00485094" w:rsidRPr="00BF2AF9" w:rsidRDefault="00485094" w:rsidP="00D34410">
      <w:pPr>
        <w:pStyle w:val="ListBullet"/>
        <w:rPr>
          <w:szCs w:val="22"/>
        </w:rPr>
      </w:pPr>
      <w:r w:rsidRPr="00BF2AF9">
        <w:rPr>
          <w:szCs w:val="22"/>
        </w:rPr>
        <w:t xml:space="preserve">The sand and gravel aquifer, the major source of water supply in the western part of the </w:t>
      </w:r>
      <w:smartTag w:uri="urn:schemas-microsoft-com:office:smarttags" w:element="State">
        <w:r w:rsidRPr="00BF2AF9">
          <w:rPr>
            <w:szCs w:val="22"/>
          </w:rPr>
          <w:t>Florida</w:t>
        </w:r>
      </w:smartTag>
      <w:r w:rsidRPr="00BF2AF9">
        <w:rPr>
          <w:szCs w:val="22"/>
        </w:rPr>
        <w:t xml:space="preserve"> Panhandle, provides 2% (1</w:t>
      </w:r>
      <w:r>
        <w:rPr>
          <w:szCs w:val="22"/>
        </w:rPr>
        <w:t>37</w:t>
      </w:r>
      <w:r w:rsidRPr="00BF2AF9">
        <w:rPr>
          <w:szCs w:val="22"/>
        </w:rPr>
        <w:t xml:space="preserve"> </w:t>
      </w:r>
      <w:r>
        <w:rPr>
          <w:szCs w:val="22"/>
        </w:rPr>
        <w:t>MGD</w:t>
      </w:r>
      <w:r w:rsidRPr="00BF2AF9">
        <w:rPr>
          <w:szCs w:val="22"/>
        </w:rPr>
        <w:t xml:space="preserve">) of </w:t>
      </w:r>
      <w:smartTag w:uri="urn:schemas-microsoft-com:office:smarttags" w:element="State">
        <w:smartTag w:uri="urn:schemas-microsoft-com:office:smarttags" w:element="place">
          <w:r w:rsidRPr="00BF2AF9">
            <w:rPr>
              <w:szCs w:val="22"/>
            </w:rPr>
            <w:t>Florida</w:t>
          </w:r>
        </w:smartTag>
      </w:smartTag>
      <w:r w:rsidRPr="00BF2AF9">
        <w:rPr>
          <w:szCs w:val="22"/>
        </w:rPr>
        <w:t xml:space="preserve">’s potable water.  </w:t>
      </w:r>
    </w:p>
    <w:p w:rsidR="00485094" w:rsidRDefault="00485094" w:rsidP="004454B8">
      <w:pPr>
        <w:pStyle w:val="Bodytext"/>
      </w:pPr>
    </w:p>
    <w:p w:rsidR="00485094" w:rsidRDefault="00485094" w:rsidP="008423A9">
      <w:pPr>
        <w:pStyle w:val="Heading3"/>
      </w:pPr>
      <w:bookmarkStart w:id="96" w:name="_Toc74537777"/>
      <w:bookmarkStart w:id="97" w:name="_Toc74537933"/>
      <w:bookmarkStart w:id="98" w:name="_Toc78886305"/>
      <w:bookmarkStart w:id="99" w:name="_Toc255822497"/>
      <w:bookmarkStart w:id="100" w:name="_Toc271794309"/>
      <w:r w:rsidRPr="00B21AEC">
        <w:t>Surface Water–Ground Water Interactions</w:t>
      </w:r>
      <w:bookmarkEnd w:id="96"/>
      <w:bookmarkEnd w:id="97"/>
      <w:bookmarkEnd w:id="98"/>
      <w:bookmarkEnd w:id="99"/>
      <w:bookmarkEnd w:id="100"/>
    </w:p>
    <w:p w:rsidR="00485094" w:rsidRDefault="00485094" w:rsidP="00D34410">
      <w:pPr>
        <w:pStyle w:val="Bodytext"/>
      </w:pPr>
      <w:smartTag w:uri="urn:schemas-microsoft-com:office:smarttags" w:element="State">
        <w:smartTag w:uri="urn:schemas-microsoft-com:office:smarttags" w:element="place">
          <w:r>
            <w:t>Florida</w:t>
          </w:r>
        </w:smartTag>
      </w:smartTag>
      <w:r>
        <w:t xml:space="preserve">’s low relief, coupled with its geologic history, has created unique hydrogeologic features.  Large areas are characterized by karst topography, which forms when ground water dissolves limestone.  Landforms in these areas include streams that disappear underground, springs and seeps where ground water rises to the surface, sinkholes, and caves.  Surface water commonly drains underground and later reappears, sometimes in a completely different surface water basin from where it entered the ground.  For example, drainage from a large karst area in </w:t>
      </w:r>
      <w:smartTag w:uri="urn:schemas-microsoft-com:office:smarttags" w:element="PlaceName">
        <w:r>
          <w:t>Marion</w:t>
        </w:r>
      </w:smartTag>
      <w:r>
        <w:t xml:space="preserve"> </w:t>
      </w:r>
      <w:smartTag w:uri="urn:schemas-microsoft-com:office:smarttags" w:element="PlaceName">
        <w:r>
          <w:t>County</w:t>
        </w:r>
      </w:smartTag>
      <w:r>
        <w:t xml:space="preserve"> provides water for Silver Springs, which discharges to the </w:t>
      </w:r>
      <w:smartTag w:uri="urn:schemas-microsoft-com:office:smarttags" w:element="PlaceName">
        <w:r>
          <w:t>Ocklawaha</w:t>
        </w:r>
      </w:smartTag>
      <w:r>
        <w:t xml:space="preserve"> </w:t>
      </w:r>
      <w:smartTag w:uri="urn:schemas-microsoft-com:office:smarttags" w:element="PlaceType">
        <w:r>
          <w:t>River</w:t>
        </w:r>
      </w:smartTag>
      <w:r>
        <w:t xml:space="preserve"> and then to the St. Johns River and the </w:t>
      </w:r>
      <w:smartTag w:uri="urn:schemas-microsoft-com:office:smarttags" w:element="place">
        <w:r>
          <w:t>Atlantic Ocean</w:t>
        </w:r>
      </w:smartTag>
      <w:r>
        <w:t xml:space="preserve">.  Karst areas in western Marion County provide water for Rainbow Springs, which discharges to the </w:t>
      </w:r>
      <w:smartTag w:uri="urn:schemas-microsoft-com:office:smarttags" w:element="PlaceName">
        <w:r>
          <w:t>Withlacoochee</w:t>
        </w:r>
      </w:smartTag>
      <w:r>
        <w:t xml:space="preserve"> </w:t>
      </w:r>
      <w:smartTag w:uri="urn:schemas-microsoft-com:office:smarttags" w:element="PlaceType">
        <w:r>
          <w:t>River</w:t>
        </w:r>
      </w:smartTag>
      <w:r>
        <w:t xml:space="preserve"> and then to the </w:t>
      </w:r>
      <w:smartTag w:uri="urn:schemas-microsoft-com:office:smarttags" w:element="place">
        <w:r>
          <w:t>Gulf of Mexico</w:t>
        </w:r>
      </w:smartTag>
      <w:r>
        <w:t>.</w:t>
      </w:r>
    </w:p>
    <w:p w:rsidR="00485094" w:rsidRDefault="00485094" w:rsidP="00D34410">
      <w:pPr>
        <w:pStyle w:val="Bodytext"/>
      </w:pPr>
    </w:p>
    <w:p w:rsidR="00485094" w:rsidRDefault="00485094" w:rsidP="00D34410">
      <w:pPr>
        <w:pStyle w:val="Bodytext"/>
      </w:pPr>
      <w:r>
        <w:t xml:space="preserve">Florida's sandy soils, high average rainfall, shallow water table, and porous karst terrain promote close and extensive interactions between ground water and surface water.  By the same mechanisms, surface waters recharge underground aquifers.  The fact that </w:t>
      </w:r>
      <w:smartTag w:uri="urn:schemas-microsoft-com:office:smarttags" w:element="State">
        <w:r>
          <w:t>Florida</w:t>
        </w:r>
      </w:smartTag>
      <w:r>
        <w:t xml:space="preserve"> contains more than one-third of the first-magnitude springs in the </w:t>
      </w:r>
      <w:smartTag w:uri="urn:schemas-microsoft-com:office:smarttags" w:element="country-region">
        <w:smartTag w:uri="urn:schemas-microsoft-com:office:smarttags" w:element="place">
          <w:r>
            <w:t>United States</w:t>
          </w:r>
        </w:smartTag>
      </w:smartTag>
      <w:r>
        <w:t xml:space="preserve"> is an indication of significant ground water and surface water interchange.  Most lakes and streams receive some ground water, but in a significant number of watersheds, ground water inflow contributes to the base flow for streams.  In the </w:t>
      </w:r>
      <w:smartTag w:uri="urn:schemas-microsoft-com:office:smarttags" w:element="PlaceType">
        <w:r>
          <w:t>Springs</w:t>
        </w:r>
      </w:smartTag>
      <w:r>
        <w:t xml:space="preserve"> </w:t>
      </w:r>
      <w:smartTag w:uri="urn:schemas-microsoft-com:office:smarttags" w:element="PlaceType">
        <w:r>
          <w:t>Coast</w:t>
        </w:r>
      </w:smartTag>
      <w:r>
        <w:t xml:space="preserve"> region of western </w:t>
      </w:r>
      <w:smartTag w:uri="urn:schemas-microsoft-com:office:smarttags" w:element="State">
        <w:smartTag w:uri="urn:schemas-microsoft-com:office:smarttags" w:element="place">
          <w:r>
            <w:t>Florida</w:t>
          </w:r>
        </w:smartTag>
      </w:smartTag>
      <w:r>
        <w:t>, for example, ground water provides 70% to 80% of the flow in spring runs.</w:t>
      </w:r>
    </w:p>
    <w:p w:rsidR="00485094" w:rsidRDefault="00485094" w:rsidP="00173D87">
      <w:pPr>
        <w:pStyle w:val="Bodytext"/>
      </w:pPr>
    </w:p>
    <w:p w:rsidR="00485094" w:rsidRDefault="00485094" w:rsidP="00173D87">
      <w:pPr>
        <w:pStyle w:val="Bodytext"/>
      </w:pPr>
      <w:r>
        <w:t>A hydrologic divide interrupts the movement of Florida’s ground water and surface water (</w:t>
      </w:r>
      <w:r w:rsidRPr="00035B69">
        <w:rPr>
          <w:b/>
          <w:i/>
        </w:rPr>
        <w:t>Figure 2.4</w:t>
      </w:r>
      <w:r>
        <w:t xml:space="preserve">).  The divide is represented by an approximate line extending from near Cedar Key on the </w:t>
      </w:r>
      <w:smartTag w:uri="urn:schemas-microsoft-com:office:smarttags" w:element="PlaceType">
        <w:r>
          <w:t>Gulf</w:t>
        </w:r>
      </w:smartTag>
      <w:r>
        <w:t xml:space="preserve"> </w:t>
      </w:r>
      <w:smartTag w:uri="urn:schemas-microsoft-com:office:smarttags" w:element="PlaceType">
        <w:r>
          <w:t>Coast</w:t>
        </w:r>
      </w:smartTag>
      <w:r>
        <w:t xml:space="preserve"> to </w:t>
      </w:r>
      <w:smartTag w:uri="urn:schemas-microsoft-com:office:smarttags" w:element="PlaceName">
        <w:r>
          <w:t>New</w:t>
        </w:r>
      </w:smartTag>
      <w:r>
        <w:t xml:space="preserve"> </w:t>
      </w:r>
      <w:smartTag w:uri="urn:schemas-microsoft-com:office:smarttags" w:element="PlaceName">
        <w:r>
          <w:t>Smyrna</w:t>
        </w:r>
      </w:smartTag>
      <w:r>
        <w:t xml:space="preserve"> </w:t>
      </w:r>
      <w:smartTag w:uri="urn:schemas-microsoft-com:office:smarttags" w:element="PlaceType">
        <w:r>
          <w:t>Beach</w:t>
        </w:r>
      </w:smartTag>
      <w:r>
        <w:t xml:space="preserve"> on the </w:t>
      </w:r>
      <w:smartTag w:uri="urn:schemas-microsoft-com:office:smarttags" w:element="PlaceName">
        <w:smartTag w:uri="urn:schemas-microsoft-com:office:smarttags" w:element="place">
          <w:r>
            <w:t>Atlantic</w:t>
          </w:r>
        </w:smartTag>
        <w:r>
          <w:t xml:space="preserve"> </w:t>
        </w:r>
        <w:smartTag w:uri="urn:schemas-microsoft-com:office:smarttags" w:element="PlaceType">
          <w:r>
            <w:t>Coast</w:t>
          </w:r>
        </w:smartTag>
      </w:smartTag>
      <w:r>
        <w:t xml:space="preserve">.  Except for the </w:t>
      </w:r>
      <w:smartTag w:uri="urn:schemas-microsoft-com:office:smarttags" w:element="City">
        <w:r>
          <w:t>St. Johns</w:t>
        </w:r>
      </w:smartTag>
      <w:r>
        <w:t xml:space="preserve">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Rivers</w:t>
          </w:r>
        </w:smartTag>
      </w:smartTag>
      <w:r>
        <w:t xml:space="preserve">, little, if any, surface water or ground water moves across this barrier.  Most major rivers north of the line receive part of their discharges from outside </w:t>
      </w:r>
      <w:smartTag w:uri="urn:schemas-microsoft-com:office:smarttags" w:element="State">
        <w:smartTag w:uri="urn:schemas-microsoft-com:office:smarttags" w:element="place">
          <w:r>
            <w:t>Florida</w:t>
          </w:r>
        </w:smartTag>
      </w:smartTag>
      <w:r>
        <w:t>, in addition to rain.  South of the divide, rain is the sole fresh water source.  Hydrologically, the half of Florida lying south of the divide is isolated.  About 75% of the state’s population lives in this area in peninsular Florida.</w:t>
      </w:r>
    </w:p>
    <w:p w:rsidR="00485094" w:rsidRDefault="00485094" w:rsidP="00173D87">
      <w:pPr>
        <w:autoSpaceDE w:val="0"/>
        <w:autoSpaceDN w:val="0"/>
        <w:adjustRightInd w:val="0"/>
        <w:rPr>
          <w:rFonts w:ascii="Arial" w:hAnsi="Arial" w:cs="Arial"/>
          <w:bCs/>
          <w:sz w:val="22"/>
          <w:szCs w:val="22"/>
        </w:rPr>
      </w:pPr>
    </w:p>
    <w:p w:rsidR="00485094" w:rsidRDefault="00485094">
      <w:pPr>
        <w:rPr>
          <w:rFonts w:ascii="Arial" w:hAnsi="Arial"/>
          <w:b/>
          <w:i/>
          <w:sz w:val="20"/>
          <w:szCs w:val="20"/>
        </w:rPr>
      </w:pPr>
      <w:r>
        <w:br w:type="page"/>
      </w:r>
    </w:p>
    <w:p w:rsidR="00485094" w:rsidRDefault="00485094" w:rsidP="00173D87">
      <w:pPr>
        <w:pStyle w:val="Caption"/>
      </w:pPr>
      <w:bookmarkStart w:id="101" w:name="_Toc271280141"/>
      <w:r>
        <w:lastRenderedPageBreak/>
        <w:t>Figure 2.4.  Florida’s Hydrologic Divide</w:t>
      </w:r>
      <w:bookmarkEnd w:id="101"/>
    </w:p>
    <w:p w:rsidR="00485094" w:rsidRDefault="00485094" w:rsidP="00C16590">
      <w:pPr>
        <w:pStyle w:val="Bodytextreduced"/>
      </w:pPr>
    </w:p>
    <w:p w:rsidR="00485094" w:rsidRDefault="00B2471C" w:rsidP="00D34410">
      <w:pPr>
        <w:pStyle w:val="Bodytext"/>
      </w:pPr>
      <w:r>
        <w:rPr>
          <w:noProof/>
        </w:rPr>
        <w:pict>
          <v:rect id="_x0000_s1037" style="position:absolute;margin-left:4.1pt;margin-top:4.2pt;width:414.7pt;height:332.05pt;z-index:-251648512" o:regroupid="6">
            <o:lock v:ext="edit" aspectratio="t"/>
          </v:rect>
        </w:pict>
      </w:r>
      <w:r>
        <w:pict>
          <v:group id="_x0000_s1038" alt="Figure 2.4.  Florida’s Hydrologic Divide" style="width:422.45pt;height:294.35pt;mso-position-horizontal-relative:char;mso-position-vertical-relative:line" coordorigin="8936,1724" coordsize="5342,3934" o:regroupid="6">
            <o:lock v:ext="edit" aspectratio="t"/>
            <v:rect id="_x0000_s1039" style="position:absolute;left:10611;top:1724;width:3667;height:3348" filled="f" fillcolor="#396" stroked="f">
              <v:fill opacity=".5"/>
              <o:lock v:ext="edit" aspectratio="t"/>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0" type="#_x0000_t75" style="position:absolute;left:9322;top:2133;width:3661;height:3344;mso-wrap-edited:f" wrapcoords="460 -631 -77 0 -77 21521 21677 21521 21753 21521 22213 20891 22213 -631 460 -631" fillcolor="window" strokecolor="#333">
              <v:imagedata r:id="rId23" o:title="" gain="79922f"/>
              <v:shadow on="t" color="white" offset="6pt,-6pt"/>
            </v:shape>
            <v:shape id="_x0000_s1041" type="#_x0000_t202" style="position:absolute;left:8936;top:3259;width:2261;height:2399" filled="f" stroked="f">
              <o:lock v:ext="edit" aspectratio="t"/>
              <v:textbox style="mso-next-textbox:#_x0000_s1041">
                <w:txbxContent>
                  <w:p w:rsidR="00366909" w:rsidRPr="00C935F8" w:rsidRDefault="00366909" w:rsidP="00173D87">
                    <w:pPr>
                      <w:jc w:val="center"/>
                    </w:pPr>
                  </w:p>
                </w:txbxContent>
              </v:textbox>
            </v:shape>
            <w10:wrap type="none"/>
            <w10:anchorlock/>
          </v:group>
        </w:pict>
      </w:r>
    </w:p>
    <w:p w:rsidR="00485094" w:rsidRDefault="00485094" w:rsidP="00D34410">
      <w:pPr>
        <w:pStyle w:val="Bodytext"/>
      </w:pPr>
    </w:p>
    <w:p w:rsidR="00485094" w:rsidRDefault="00485094" w:rsidP="00D34410">
      <w:pPr>
        <w:pStyle w:val="Bodytext"/>
      </w:pPr>
    </w:p>
    <w:p w:rsidR="00485094" w:rsidRDefault="00485094" w:rsidP="00D34410">
      <w:pPr>
        <w:pStyle w:val="Bodytext"/>
      </w:pPr>
    </w:p>
    <w:p w:rsidR="00485094" w:rsidRDefault="00485094" w:rsidP="00D34410">
      <w:pPr>
        <w:pStyle w:val="Bodytext"/>
      </w:pPr>
    </w:p>
    <w:p w:rsidR="00485094" w:rsidRDefault="00485094" w:rsidP="00C16590">
      <w:pPr>
        <w:pStyle w:val="Bodytextreduced"/>
      </w:pPr>
    </w:p>
    <w:p w:rsidR="00485094" w:rsidRDefault="00485094" w:rsidP="00C16590">
      <w:pPr>
        <w:pStyle w:val="Bodytextreduced"/>
      </w:pPr>
      <w:r w:rsidRPr="00C16590">
        <w:rPr>
          <w:b/>
        </w:rPr>
        <w:t>Source:</w:t>
      </w:r>
      <w:r>
        <w:t xml:space="preserve">  Fernald and Purdum, 1998</w:t>
      </w:r>
    </w:p>
    <w:p w:rsidR="00485094" w:rsidRDefault="00485094" w:rsidP="00D34410">
      <w:pPr>
        <w:pStyle w:val="Bodytext"/>
      </w:pPr>
    </w:p>
    <w:p w:rsidR="00485094" w:rsidRDefault="00485094">
      <w:pPr>
        <w:rPr>
          <w:rFonts w:ascii="Arial" w:hAnsi="Arial"/>
          <w:sz w:val="16"/>
          <w:szCs w:val="20"/>
        </w:rPr>
      </w:pPr>
      <w:bookmarkStart w:id="102" w:name="_Chapter_3:_"/>
      <w:bookmarkStart w:id="103" w:name="_Toc255822498"/>
      <w:bookmarkEnd w:id="102"/>
      <w:r>
        <w:br w:type="page"/>
      </w:r>
    </w:p>
    <w:p w:rsidR="00FC6EE0" w:rsidRDefault="00FC6EE0" w:rsidP="00FC6EE0">
      <w:pPr>
        <w:pStyle w:val="Bodytextreduced"/>
      </w:pPr>
      <w:bookmarkStart w:id="104" w:name="_Toc255822504"/>
      <w:bookmarkEnd w:id="103"/>
    </w:p>
    <w:p w:rsidR="00485094" w:rsidRDefault="00485094">
      <w:pPr>
        <w:pStyle w:val="Heading1"/>
      </w:pPr>
      <w:bookmarkStart w:id="105" w:name="_Toc271794310"/>
      <w:r>
        <w:t>Chapter 3:  Public Health Issues and Emerging STATE Concerns and Initiatives</w:t>
      </w:r>
      <w:bookmarkEnd w:id="104"/>
      <w:bookmarkEnd w:id="105"/>
    </w:p>
    <w:p w:rsidR="00485094" w:rsidRDefault="00485094" w:rsidP="00C32BB7">
      <w:pPr>
        <w:pStyle w:val="Bodytext"/>
      </w:pPr>
    </w:p>
    <w:p w:rsidR="00485094" w:rsidRPr="00C32BB7" w:rsidRDefault="00485094" w:rsidP="00C32BB7">
      <w:pPr>
        <w:pStyle w:val="Bodytext"/>
      </w:pPr>
      <w:r w:rsidRPr="00C32BB7">
        <w:t>This chapter describes the major water quality-related public health issues and emerging concer</w:t>
      </w:r>
      <w:r>
        <w:t xml:space="preserve">ns facing the </w:t>
      </w:r>
      <w:r w:rsidR="00B97320">
        <w:t>state</w:t>
      </w:r>
      <w:r>
        <w:t xml:space="preserve">. </w:t>
      </w:r>
      <w:r w:rsidRPr="00C32BB7">
        <w:t xml:space="preserve"> </w:t>
      </w:r>
      <w:r>
        <w:t>It</w:t>
      </w:r>
      <w:r w:rsidRPr="00C32BB7">
        <w:t xml:space="preserve"> is important to note that Florida has </w:t>
      </w:r>
      <w:r w:rsidR="00B97320" w:rsidRPr="00C32BB7">
        <w:t>well</w:t>
      </w:r>
      <w:r w:rsidR="00B97320">
        <w:t>-</w:t>
      </w:r>
      <w:r w:rsidRPr="00C32BB7">
        <w:t xml:space="preserve">established programs, including the permitting and Total Maximum Daily Load (TMDL) programs, that address these issues, and that Florida has made great progress in reducing pollutant discharges to </w:t>
      </w:r>
      <w:r w:rsidR="00B97320">
        <w:t>s</w:t>
      </w:r>
      <w:r w:rsidR="00B97320" w:rsidRPr="00C32BB7">
        <w:t xml:space="preserve">tate </w:t>
      </w:r>
      <w:r w:rsidRPr="00C32BB7">
        <w:t>waters and restoring impaired waters.</w:t>
      </w:r>
      <w:r>
        <w:t xml:space="preserve"> </w:t>
      </w:r>
      <w:r w:rsidRPr="00C32BB7">
        <w:t xml:space="preserve"> </w:t>
      </w:r>
      <w:hyperlink w:anchor="_Chapter_11:_" w:history="1">
        <w:r w:rsidR="00A03A97" w:rsidRPr="00512DF2">
          <w:rPr>
            <w:rStyle w:val="Hyperlink"/>
            <w:snapToGrid w:val="0"/>
          </w:rPr>
          <w:t>Chapter 11</w:t>
        </w:r>
      </w:hyperlink>
      <w:r w:rsidR="00A03A97">
        <w:t xml:space="preserve"> describes t</w:t>
      </w:r>
      <w:r w:rsidRPr="00C32BB7">
        <w:t>hese programs in detail</w:t>
      </w:r>
      <w:r w:rsidR="00A03A97">
        <w:t>, as well as</w:t>
      </w:r>
      <w:r w:rsidRPr="00C32BB7">
        <w:t xml:space="preserve"> specific initiatives designed to address emerging concerns</w:t>
      </w:r>
      <w:r>
        <w:t xml:space="preserve">. </w:t>
      </w:r>
      <w:r w:rsidRPr="00C32BB7">
        <w:t xml:space="preserve"> Specifi</w:t>
      </w:r>
      <w:r>
        <w:t>c examples of the progress that</w:t>
      </w:r>
      <w:r w:rsidRPr="00C32BB7">
        <w:t xml:space="preserve"> Florida has made towards reducing nutrient pollution in the Indian River Lagoon, Lake Apopka, Sarasota Bay, and Tampa Bay are </w:t>
      </w:r>
      <w:r w:rsidR="00B97320">
        <w:t>available</w:t>
      </w:r>
      <w:r w:rsidR="00B97320" w:rsidRPr="00C32BB7">
        <w:t xml:space="preserve"> </w:t>
      </w:r>
      <w:r w:rsidRPr="00C32BB7">
        <w:t xml:space="preserve">on </w:t>
      </w:r>
      <w:r w:rsidR="00B97320">
        <w:t xml:space="preserve">the </w:t>
      </w:r>
      <w:hyperlink r:id="rId24" w:history="1">
        <w:r w:rsidRPr="00B97320">
          <w:rPr>
            <w:rStyle w:val="Hyperlink"/>
          </w:rPr>
          <w:t xml:space="preserve">EPA </w:t>
        </w:r>
        <w:r w:rsidR="00B97320">
          <w:rPr>
            <w:rStyle w:val="Hyperlink"/>
          </w:rPr>
          <w:t xml:space="preserve">Watershed Improvement Summaries </w:t>
        </w:r>
        <w:r w:rsidRPr="00B97320">
          <w:rPr>
            <w:rStyle w:val="Hyperlink"/>
          </w:rPr>
          <w:t>website</w:t>
        </w:r>
      </w:hyperlink>
      <w:r w:rsidR="00B97320">
        <w:t>.</w:t>
      </w:r>
      <w:r w:rsidRPr="00C32BB7">
        <w:t xml:space="preserve"> </w:t>
      </w:r>
    </w:p>
    <w:p w:rsidR="00485094" w:rsidRPr="00C32BB7" w:rsidRDefault="00485094" w:rsidP="00C32BB7">
      <w:pPr>
        <w:pStyle w:val="Bodytext"/>
      </w:pPr>
    </w:p>
    <w:p w:rsidR="00485094" w:rsidRDefault="00485094">
      <w:pPr>
        <w:pStyle w:val="Heading2"/>
        <w:rPr>
          <w:snapToGrid w:val="0"/>
        </w:rPr>
      </w:pPr>
      <w:bookmarkStart w:id="106" w:name="_Toc271794311"/>
      <w:r>
        <w:rPr>
          <w:snapToGrid w:val="0"/>
        </w:rPr>
        <w:t>Public Health Issues</w:t>
      </w:r>
      <w:bookmarkEnd w:id="106"/>
    </w:p>
    <w:p w:rsidR="00485094" w:rsidRPr="006F7EFE" w:rsidRDefault="00865445" w:rsidP="006F7EFE">
      <w:pPr>
        <w:pStyle w:val="Heading3"/>
      </w:pPr>
      <w:bookmarkStart w:id="107" w:name="_Toc271794312"/>
      <w:r w:rsidRPr="00865445">
        <w:t>Drinking Water</w:t>
      </w:r>
      <w:bookmarkEnd w:id="107"/>
      <w:r w:rsidRPr="00865445">
        <w:t xml:space="preserve"> </w:t>
      </w:r>
    </w:p>
    <w:p w:rsidR="00485094" w:rsidRDefault="00485094" w:rsidP="00E10C9E">
      <w:pPr>
        <w:pStyle w:val="Bodytext"/>
      </w:pPr>
      <w:r>
        <w:t>FDEP</w:t>
      </w:r>
      <w:r w:rsidRPr="00697898">
        <w:t xml:space="preserve"> has the primary role of regulating public water systems in Florida</w:t>
      </w:r>
      <w:r>
        <w:t xml:space="preserve">, under </w:t>
      </w:r>
      <w:r w:rsidRPr="00697898">
        <w:t>Chapter 403, Part IV, F</w:t>
      </w:r>
      <w:r>
        <w:t>.S.,</w:t>
      </w:r>
      <w:r w:rsidRPr="00697898">
        <w:t xml:space="preserve"> and by delegation of the federal program from the </w:t>
      </w:r>
      <w:r>
        <w:t>EPA</w:t>
      </w:r>
      <w:r w:rsidRPr="00697898">
        <w:t xml:space="preserve">. </w:t>
      </w:r>
      <w:r>
        <w:t xml:space="preserve"> </w:t>
      </w:r>
      <w:r>
        <w:rPr>
          <w:snapToGrid w:val="0"/>
        </w:rPr>
        <w:t xml:space="preserve">The section entitled </w:t>
      </w:r>
      <w:r w:rsidRPr="00712D87">
        <w:rPr>
          <w:snapToGrid w:val="0"/>
        </w:rPr>
        <w:t>Overview of Ground Water Protection Programs</w:t>
      </w:r>
      <w:r>
        <w:rPr>
          <w:snapToGrid w:val="0"/>
        </w:rPr>
        <w:t xml:space="preserve"> in </w:t>
      </w:r>
      <w:hyperlink w:anchor="_Chapter_11:_" w:history="1">
        <w:r w:rsidRPr="00512DF2">
          <w:rPr>
            <w:rStyle w:val="Hyperlink"/>
            <w:snapToGrid w:val="0"/>
          </w:rPr>
          <w:t>Chapter 11</w:t>
        </w:r>
      </w:hyperlink>
      <w:r>
        <w:rPr>
          <w:snapToGrid w:val="0"/>
        </w:rPr>
        <w:t xml:space="preserve"> describes FDEP’s ongoing efforts to protect drinking water supplies.</w:t>
      </w:r>
    </w:p>
    <w:p w:rsidR="00485094" w:rsidRDefault="00485094" w:rsidP="00E10C9E">
      <w:pPr>
        <w:pStyle w:val="Bodytext"/>
      </w:pPr>
    </w:p>
    <w:p w:rsidR="00485094" w:rsidRDefault="00485094" w:rsidP="00E10C9E">
      <w:pPr>
        <w:pStyle w:val="Bodytext"/>
        <w:rPr>
          <w:snapToGrid w:val="0"/>
        </w:rPr>
      </w:pPr>
      <w:r w:rsidRPr="00697898">
        <w:t xml:space="preserve">A public water system is one that provides water to 25 or more people for at least 60 days each year or serves 15 or more service connections. </w:t>
      </w:r>
      <w:r>
        <w:t xml:space="preserve"> </w:t>
      </w:r>
      <w:r w:rsidRPr="00697898">
        <w:t xml:space="preserve">These public water systems may be publicly or privately owned and operated. </w:t>
      </w:r>
      <w:r>
        <w:t xml:space="preserve"> </w:t>
      </w:r>
      <w:r>
        <w:rPr>
          <w:snapToGrid w:val="0"/>
        </w:rPr>
        <w:t xml:space="preserve">Additional information is available on the </w:t>
      </w:r>
      <w:hyperlink r:id="rId25" w:history="1">
        <w:r>
          <w:rPr>
            <w:rStyle w:val="Hyperlink"/>
            <w:snapToGrid w:val="0"/>
          </w:rPr>
          <w:t>FDEP D</w:t>
        </w:r>
        <w:r w:rsidRPr="0032174A">
          <w:rPr>
            <w:rStyle w:val="Hyperlink"/>
            <w:snapToGrid w:val="0"/>
          </w:rPr>
          <w:t>rinking Water Program websi</w:t>
        </w:r>
        <w:r>
          <w:rPr>
            <w:rStyle w:val="Hyperlink"/>
            <w:snapToGrid w:val="0"/>
          </w:rPr>
          <w:t>te</w:t>
        </w:r>
      </w:hyperlink>
      <w:r>
        <w:rPr>
          <w:snapToGrid w:val="0"/>
        </w:rPr>
        <w:t>.</w:t>
      </w:r>
    </w:p>
    <w:p w:rsidR="00485094" w:rsidRDefault="00485094" w:rsidP="00E10C9E">
      <w:pPr>
        <w:pStyle w:val="Bodytext"/>
        <w:rPr>
          <w:snapToGrid w:val="0"/>
        </w:rPr>
      </w:pPr>
    </w:p>
    <w:p w:rsidR="00485094" w:rsidRDefault="00485094" w:rsidP="00E10C9E">
      <w:pPr>
        <w:pStyle w:val="Bodytext"/>
      </w:pPr>
      <w:r>
        <w:t>The Florida Department of Health (FDOH) and the c</w:t>
      </w:r>
      <w:r w:rsidRPr="00697898">
        <w:t>ounty health departments</w:t>
      </w:r>
      <w:r>
        <w:t xml:space="preserve"> regulate v</w:t>
      </w:r>
      <w:r w:rsidRPr="00697898">
        <w:t xml:space="preserve">ery small water systems </w:t>
      </w:r>
      <w:r>
        <w:t>that</w:t>
      </w:r>
      <w:r w:rsidRPr="00697898">
        <w:t xml:space="preserve"> provide water for public consumption, but </w:t>
      </w:r>
      <w:r>
        <w:t>that</w:t>
      </w:r>
      <w:r w:rsidRPr="00697898">
        <w:t xml:space="preserve"> do not fall under the definition</w:t>
      </w:r>
      <w:r>
        <w:t xml:space="preserve"> of public water systems.  Additional information is available on the </w:t>
      </w:r>
      <w:hyperlink r:id="rId26" w:history="1">
        <w:r w:rsidRPr="0032174A">
          <w:rPr>
            <w:rStyle w:val="Hyperlink"/>
          </w:rPr>
          <w:t xml:space="preserve">FDOH </w:t>
        </w:r>
        <w:bookmarkStart w:id="108" w:name="_Hlt255983817"/>
        <w:bookmarkStart w:id="109" w:name="_Hlt255983818"/>
        <w:r>
          <w:rPr>
            <w:rStyle w:val="Hyperlink"/>
          </w:rPr>
          <w:t xml:space="preserve">Bureau of Water Programs </w:t>
        </w:r>
        <w:r w:rsidRPr="0032174A">
          <w:rPr>
            <w:rStyle w:val="Hyperlink"/>
          </w:rPr>
          <w:t>w</w:t>
        </w:r>
        <w:bookmarkEnd w:id="108"/>
        <w:bookmarkEnd w:id="109"/>
        <w:r w:rsidRPr="0032174A">
          <w:rPr>
            <w:rStyle w:val="Hyperlink"/>
          </w:rPr>
          <w:t>ebsite</w:t>
        </w:r>
      </w:hyperlink>
      <w:r>
        <w:t>.  The water management districts regulate the construction</w:t>
      </w:r>
      <w:r w:rsidRPr="00697898">
        <w:t xml:space="preserve"> of water wells, both public and private, and the quantities of water that may be extracted.</w:t>
      </w:r>
    </w:p>
    <w:p w:rsidR="00485094" w:rsidRDefault="00485094" w:rsidP="00E10C9E">
      <w:pPr>
        <w:pStyle w:val="Bodytext"/>
      </w:pPr>
    </w:p>
    <w:p w:rsidR="00485094" w:rsidRDefault="00485094" w:rsidP="006E47A7">
      <w:pPr>
        <w:pStyle w:val="Bodytext"/>
      </w:pPr>
      <w:r w:rsidRPr="00BB6F7B">
        <w:t>Arsenic has been found in potable water wells and monitoring wells in Florida</w:t>
      </w:r>
      <w:r>
        <w:t xml:space="preserve">. </w:t>
      </w:r>
      <w:r w:rsidRPr="00BB6F7B">
        <w:t xml:space="preserve"> </w:t>
      </w:r>
      <w:r>
        <w:t>R</w:t>
      </w:r>
      <w:r w:rsidRPr="00BB6F7B">
        <w:t>egions with high exceedance levels include the Springs Coast, Lower St. Johns, Ocklawaha, Suwannee, Withlacoochee, and Tampa Bay Tributaries Basins.  The source of arsenic in ground water may be naturally occurring, anthropogenic, or released into ground water because of human activities.  Throughout Florida, arsenic is a naturally occurring, stable element associated with pyrite compounds, as well as with powellite compounds in some limestone formations in which ground water occurs.  Potential anthropogenic sources include arsenic-based pesticides applied to cotton fields, citrus groves, golf courses, and cattle-dipping vats (which were used until the 1960s).</w:t>
      </w:r>
      <w:r>
        <w:t xml:space="preserve">  </w:t>
      </w:r>
      <w:r w:rsidR="00B97320">
        <w:rPr>
          <w:rFonts w:cs="Arial"/>
          <w:szCs w:val="22"/>
        </w:rPr>
        <w:t xml:space="preserve">Higher </w:t>
      </w:r>
      <w:r>
        <w:rPr>
          <w:rFonts w:cs="Arial"/>
          <w:szCs w:val="22"/>
        </w:rPr>
        <w:t>numbers of</w:t>
      </w:r>
      <w:r w:rsidRPr="00630C34">
        <w:rPr>
          <w:rFonts w:cs="Arial"/>
          <w:szCs w:val="22"/>
        </w:rPr>
        <w:t xml:space="preserve"> re</w:t>
      </w:r>
      <w:r>
        <w:rPr>
          <w:rFonts w:cs="Arial"/>
          <w:szCs w:val="22"/>
        </w:rPr>
        <w:t xml:space="preserve">ported </w:t>
      </w:r>
      <w:r w:rsidR="00B97320">
        <w:rPr>
          <w:rFonts w:cs="Arial"/>
          <w:szCs w:val="22"/>
        </w:rPr>
        <w:t xml:space="preserve">exceedances </w:t>
      </w:r>
      <w:r>
        <w:rPr>
          <w:rFonts w:cs="Arial"/>
          <w:szCs w:val="22"/>
        </w:rPr>
        <w:t>can</w:t>
      </w:r>
      <w:r w:rsidRPr="00630C34">
        <w:rPr>
          <w:rFonts w:cs="Arial"/>
          <w:szCs w:val="22"/>
        </w:rPr>
        <w:t xml:space="preserve"> be considered an artifact of the change in the EPA arsenic standard for ground</w:t>
      </w:r>
      <w:r w:rsidR="00B97320">
        <w:rPr>
          <w:rFonts w:cs="Arial"/>
          <w:szCs w:val="22"/>
        </w:rPr>
        <w:t xml:space="preserve"> </w:t>
      </w:r>
      <w:r w:rsidRPr="00630C34">
        <w:rPr>
          <w:rFonts w:cs="Arial"/>
          <w:szCs w:val="22"/>
        </w:rPr>
        <w:t>water, which was reduced from 50 to 10</w:t>
      </w:r>
      <w:r w:rsidR="00B97320">
        <w:rPr>
          <w:rFonts w:cs="Arial"/>
          <w:szCs w:val="22"/>
        </w:rPr>
        <w:t xml:space="preserve"> mi</w:t>
      </w:r>
      <w:r w:rsidR="0070466C">
        <w:rPr>
          <w:rFonts w:cs="Arial"/>
          <w:szCs w:val="22"/>
        </w:rPr>
        <w:t>cro</w:t>
      </w:r>
      <w:r w:rsidR="00B97320">
        <w:rPr>
          <w:rFonts w:cs="Arial"/>
          <w:szCs w:val="22"/>
        </w:rPr>
        <w:t xml:space="preserve">grams per liter </w:t>
      </w:r>
      <w:r w:rsidR="0070466C">
        <w:rPr>
          <w:rFonts w:cs="Arial"/>
          <w:szCs w:val="22"/>
        </w:rPr>
        <w:t>(</w:t>
      </w:r>
      <w:r w:rsidR="0070466C">
        <w:rPr>
          <w:rFonts w:ascii="Symbol" w:hAnsi="Symbol" w:cs="Arial"/>
          <w:szCs w:val="22"/>
        </w:rPr>
        <w:t></w:t>
      </w:r>
      <w:r w:rsidR="00B97320">
        <w:rPr>
          <w:rFonts w:cs="Arial"/>
          <w:szCs w:val="22"/>
        </w:rPr>
        <w:t>g</w:t>
      </w:r>
      <w:r w:rsidRPr="00630C34">
        <w:rPr>
          <w:rFonts w:cs="Arial"/>
          <w:szCs w:val="22"/>
        </w:rPr>
        <w:t>/L</w:t>
      </w:r>
      <w:r w:rsidR="00B97320">
        <w:rPr>
          <w:rFonts w:cs="Arial"/>
          <w:szCs w:val="22"/>
        </w:rPr>
        <w:t>)</w:t>
      </w:r>
      <w:r w:rsidRPr="00630C34">
        <w:rPr>
          <w:rFonts w:cs="Arial"/>
          <w:szCs w:val="22"/>
        </w:rPr>
        <w:t xml:space="preserve"> in 2001, and was fully implemented in 2006.  </w:t>
      </w:r>
    </w:p>
    <w:p w:rsidR="00485094" w:rsidRDefault="00485094" w:rsidP="006E47A7"/>
    <w:p w:rsidR="00485094" w:rsidRDefault="00485094" w:rsidP="006E47A7">
      <w:pPr>
        <w:pStyle w:val="Bodytext"/>
      </w:pPr>
      <w:r>
        <w:t>Recent studies indicate that human disturbance that introduces water or oxygen into arsenic-bearing limestone can lead to the release of soluble arsenic from the rock matrix.  Activities such as mining, well drilling, Aquifer Storage and Recovery (ASR) projects, (Arthur et al</w:t>
      </w:r>
      <w:r w:rsidR="00B97320">
        <w:t>.</w:t>
      </w:r>
      <w:r>
        <w:t>, 2002; Price and Pichler, 2006), or overpumping have all been shown to release previously stable arsenic into ground water.  In addition, drought can lower the water table, allowing oxygen to permeate and leach arsenic compounds from sediments.</w:t>
      </w:r>
    </w:p>
    <w:p w:rsidR="00485094" w:rsidRPr="009876F8" w:rsidRDefault="00485094" w:rsidP="00B07E24">
      <w:pPr>
        <w:pStyle w:val="Bodytext"/>
        <w:rPr>
          <w:i/>
        </w:rPr>
      </w:pPr>
    </w:p>
    <w:p w:rsidR="0064329B" w:rsidRDefault="00485094">
      <w:pPr>
        <w:pStyle w:val="Heading3"/>
        <w:rPr>
          <w:snapToGrid w:val="0"/>
        </w:rPr>
      </w:pPr>
      <w:bookmarkStart w:id="110" w:name="_Toc271794313"/>
      <w:r w:rsidRPr="00452B77">
        <w:rPr>
          <w:snapToGrid w:val="0"/>
        </w:rPr>
        <w:t>Healthy Beaches Program</w:t>
      </w:r>
      <w:bookmarkEnd w:id="110"/>
    </w:p>
    <w:p w:rsidR="00485094" w:rsidRDefault="00485094" w:rsidP="009876F8">
      <w:pPr>
        <w:pStyle w:val="Bodytext"/>
      </w:pPr>
      <w:r>
        <w:t xml:space="preserve">As part of Florida’s Healthy Beaches Program, FDOH monitors the state’s coastal beaches for elevated levels of bacteria.  In August 2000, the beach water sampling program was extended to all 34 of Florida's coastal counties through state legislation (Senate Bill </w:t>
      </w:r>
      <w:r w:rsidR="00FD5E79">
        <w:t xml:space="preserve">[SB] </w:t>
      </w:r>
      <w:r>
        <w:t>1412 and House Bill 2145) and funding.  With additional funding from the EPA in 2002, the program was expanded to include weekly sampling for fecal coliform and enterococci bacteria at 304 beach locations throughout Florida.</w:t>
      </w:r>
    </w:p>
    <w:p w:rsidR="00485094" w:rsidRDefault="00485094" w:rsidP="009876F8">
      <w:pPr>
        <w:pStyle w:val="Bodytext"/>
      </w:pPr>
    </w:p>
    <w:p w:rsidR="00485094" w:rsidRDefault="00485094" w:rsidP="009876F8">
      <w:pPr>
        <w:pStyle w:val="Bodytext"/>
      </w:pPr>
      <w:r>
        <w:t xml:space="preserve">In a healthy environment, an array of bacteria is normally found in the soil, on plants, on and in ourselves, our pets and other animals, and in water.  When concentrations of bacteria are too high, they can present problems themselves, or they can be an indicator of other organisms that can cause problems to humans.  The two bacteria types that normally inhabit the intestinal tract of humans and animals and are used as indicators of fecal pollution are fecal coliform and enterococci. </w:t>
      </w:r>
    </w:p>
    <w:p w:rsidR="00485094" w:rsidRDefault="00485094" w:rsidP="009876F8">
      <w:pPr>
        <w:pStyle w:val="Bodytext"/>
      </w:pPr>
    </w:p>
    <w:p w:rsidR="00485094" w:rsidRDefault="00485094" w:rsidP="009876F8">
      <w:pPr>
        <w:pStyle w:val="Bodytext"/>
      </w:pPr>
      <w:r>
        <w:t xml:space="preserve">The presence of elevated levels of these bacteria in water is an indication of possible pollution that may come from stormwater runoff, pets, wildlife, or human sewage.  While not necessarily pathogenic, their presence in high concentrations in recreational waters indicates that pathogens may be present.  If waste pathogens are present and they are ingested while swimming, or if they enter the skin through a cut or sore, the bacteria may cause illness.  The most commonly reported ailments are gastrointestinal distress and skin rashes.  The rationale for selecting these two bacteria for analysis and the implications of the sampling results are described in more detail on the </w:t>
      </w:r>
      <w:hyperlink r:id="rId27" w:history="1">
        <w:r w:rsidRPr="00CA657B">
          <w:rPr>
            <w:rStyle w:val="Hyperlink"/>
          </w:rPr>
          <w:t xml:space="preserve">FDOH </w:t>
        </w:r>
        <w:r>
          <w:rPr>
            <w:rStyle w:val="Hyperlink"/>
          </w:rPr>
          <w:t xml:space="preserve">Florida Healthy Beaches Program </w:t>
        </w:r>
        <w:r w:rsidRPr="00CA657B">
          <w:rPr>
            <w:rStyle w:val="Hyperlink"/>
          </w:rPr>
          <w:t>website</w:t>
        </w:r>
      </w:hyperlink>
      <w:r>
        <w:t xml:space="preserve">. </w:t>
      </w:r>
    </w:p>
    <w:p w:rsidR="00485094" w:rsidRDefault="00485094" w:rsidP="009876F8">
      <w:pPr>
        <w:pStyle w:val="Bodytext"/>
      </w:pPr>
    </w:p>
    <w:p w:rsidR="00485094" w:rsidRDefault="00485094" w:rsidP="009876F8">
      <w:pPr>
        <w:pStyle w:val="Bodytext"/>
      </w:pPr>
      <w:r>
        <w:t>If a sampling event leads to a "poor" bacterial indicator result in a single sample, then the county health department immediately collects a resample or, if a resample cannot be taken, immediately issues an advisory.  If a resample confirms the high result, an advisory is then issued, signs are posted parallel to the sample point, FDOH posts the results on its website, and the news media are notified.</w:t>
      </w:r>
    </w:p>
    <w:p w:rsidR="00485094" w:rsidRDefault="00485094" w:rsidP="009876F8">
      <w:pPr>
        <w:pStyle w:val="Bodytext"/>
      </w:pPr>
    </w:p>
    <w:p w:rsidR="00485094" w:rsidRDefault="00485094" w:rsidP="009876F8">
      <w:pPr>
        <w:pStyle w:val="Bodytext"/>
      </w:pPr>
      <w:r>
        <w:t>If the total number of calendar days in a year that FDOH issues a swimming advisory exceeds 21 days for a given beach, FDEP places the waterbody on its list of potentially impaired waters (the Planning List), so that the bacteriological contamination can be verified and its sources identified and addressed.</w:t>
      </w:r>
    </w:p>
    <w:p w:rsidR="00485094" w:rsidRDefault="00485094" w:rsidP="009876F8">
      <w:pPr>
        <w:pStyle w:val="Bodytext"/>
      </w:pPr>
    </w:p>
    <w:p w:rsidR="00485094" w:rsidRDefault="00485094" w:rsidP="009876F8">
      <w:pPr>
        <w:pStyle w:val="Bodytext"/>
      </w:pPr>
      <w:r>
        <w:t xml:space="preserve">The most recent sampling results and information on beach closures are available on the </w:t>
      </w:r>
      <w:hyperlink r:id="rId28" w:history="1">
        <w:r>
          <w:rPr>
            <w:rStyle w:val="Hyperlink"/>
          </w:rPr>
          <w:t>FDOH F</w:t>
        </w:r>
        <w:r w:rsidRPr="00CA657B">
          <w:rPr>
            <w:rStyle w:val="Hyperlink"/>
          </w:rPr>
          <w:t>lorida Healthy Beaches Program website</w:t>
        </w:r>
      </w:hyperlink>
      <w:r>
        <w:t>.  Also available on the website is a program overview with the sampling history (1998 - 2000) of the original counties included in the program and the counties that were added.</w:t>
      </w:r>
    </w:p>
    <w:p w:rsidR="00485094" w:rsidRDefault="00485094" w:rsidP="009876F8">
      <w:pPr>
        <w:pStyle w:val="BodyText0"/>
        <w:rPr>
          <w:snapToGrid w:val="0"/>
          <w:sz w:val="22"/>
          <w:szCs w:val="22"/>
        </w:rPr>
      </w:pPr>
    </w:p>
    <w:p w:rsidR="00485094" w:rsidRPr="00452B77" w:rsidRDefault="00485094" w:rsidP="006F7EFE">
      <w:pPr>
        <w:pStyle w:val="Heading3"/>
        <w:rPr>
          <w:snapToGrid w:val="0"/>
        </w:rPr>
      </w:pPr>
      <w:bookmarkStart w:id="111" w:name="_Toc271794314"/>
      <w:r w:rsidRPr="00452B77">
        <w:rPr>
          <w:snapToGrid w:val="0"/>
        </w:rPr>
        <w:lastRenderedPageBreak/>
        <w:t>Bacterial and Mercury Contamination</w:t>
      </w:r>
      <w:bookmarkEnd w:id="111"/>
    </w:p>
    <w:p w:rsidR="00485094" w:rsidRDefault="00485094" w:rsidP="00E10C9E">
      <w:pPr>
        <w:pStyle w:val="Bodytext"/>
        <w:rPr>
          <w:snapToGrid w:val="0"/>
        </w:rPr>
      </w:pPr>
      <w:r>
        <w:rPr>
          <w:snapToGrid w:val="0"/>
        </w:rPr>
        <w:t>Assessment results indicate that several human health-related designated uses are not always maintained in Florida’s surface waters.  Specifically, primary contact and recreation use support and shellfish harvesting use support are sometimes limited by the presence of bacteria in the water column, and fish consumption use support is commonly limited by the presence of mercury in fish tissue for a number of species in many waters across the state.</w:t>
      </w:r>
    </w:p>
    <w:p w:rsidR="00485094" w:rsidRDefault="00485094" w:rsidP="00E10C9E">
      <w:pPr>
        <w:pStyle w:val="Bodytext"/>
        <w:rPr>
          <w:snapToGrid w:val="0"/>
        </w:rPr>
      </w:pPr>
    </w:p>
    <w:p w:rsidR="00485094" w:rsidRDefault="00485094" w:rsidP="00E10C9E">
      <w:pPr>
        <w:pStyle w:val="Bodytext"/>
        <w:rPr>
          <w:snapToGrid w:val="0"/>
        </w:rPr>
      </w:pPr>
      <w:r>
        <w:rPr>
          <w:snapToGrid w:val="0"/>
        </w:rPr>
        <w:t xml:space="preserve">It is important to note, however, that these impairments are not based on documented impacts on public health.  Florida has extensive monitoring programs that issue beach advisories, shellfish bed closures, and fish consumption advisories when ambient samples reach predetermined thresholds.  These thresholds are conservatively designed to protect public health against the potential effects of exposure to bacteria (in water and shellfish) and mercury (in fish tissue).  </w:t>
      </w:r>
    </w:p>
    <w:p w:rsidR="00485094" w:rsidRPr="00FE6CEA" w:rsidRDefault="00485094" w:rsidP="00E10C9E">
      <w:pPr>
        <w:pStyle w:val="BodyText0"/>
        <w:rPr>
          <w:sz w:val="22"/>
          <w:szCs w:val="22"/>
        </w:rPr>
      </w:pPr>
    </w:p>
    <w:p w:rsidR="00485094" w:rsidRPr="00E94853" w:rsidRDefault="00485094" w:rsidP="00E10C9E">
      <w:pPr>
        <w:pStyle w:val="BodyText0"/>
        <w:rPr>
          <w:sz w:val="22"/>
          <w:szCs w:val="22"/>
        </w:rPr>
      </w:pPr>
      <w:r>
        <w:rPr>
          <w:sz w:val="22"/>
          <w:szCs w:val="22"/>
        </w:rPr>
        <w:t xml:space="preserve">The </w:t>
      </w:r>
      <w:hyperlink r:id="rId29" w:history="1">
        <w:r w:rsidRPr="0066290A">
          <w:rPr>
            <w:rStyle w:val="Hyperlink"/>
            <w:sz w:val="22"/>
            <w:szCs w:val="22"/>
          </w:rPr>
          <w:t>FDEP South Florida Mercury Science Program website</w:t>
        </w:r>
      </w:hyperlink>
      <w:r>
        <w:rPr>
          <w:sz w:val="22"/>
          <w:szCs w:val="22"/>
        </w:rPr>
        <w:t xml:space="preserve"> provides information on the mercury issue and links t</w:t>
      </w:r>
      <w:r w:rsidRPr="00FE6CEA">
        <w:rPr>
          <w:sz w:val="22"/>
          <w:szCs w:val="22"/>
        </w:rPr>
        <w:t xml:space="preserve">o other useful </w:t>
      </w:r>
      <w:r>
        <w:rPr>
          <w:sz w:val="22"/>
          <w:szCs w:val="22"/>
        </w:rPr>
        <w:t xml:space="preserve">websites dealing with mercury.  Information on the latest fish consumption advisories is available on the </w:t>
      </w:r>
      <w:hyperlink r:id="rId30" w:history="1">
        <w:r w:rsidRPr="0032174A">
          <w:rPr>
            <w:rStyle w:val="Hyperlink"/>
            <w:sz w:val="22"/>
            <w:szCs w:val="22"/>
          </w:rPr>
          <w:t xml:space="preserve">FDOH </w:t>
        </w:r>
        <w:bookmarkStart w:id="112" w:name="_Hlt255983727"/>
        <w:bookmarkStart w:id="113" w:name="_Hlt255983728"/>
        <w:r>
          <w:rPr>
            <w:rStyle w:val="Hyperlink"/>
            <w:sz w:val="22"/>
            <w:szCs w:val="22"/>
          </w:rPr>
          <w:t>Fish Consum</w:t>
        </w:r>
        <w:bookmarkStart w:id="114" w:name="_Hlt255994521"/>
        <w:bookmarkStart w:id="115" w:name="_Hlt255994522"/>
        <w:r>
          <w:rPr>
            <w:rStyle w:val="Hyperlink"/>
            <w:sz w:val="22"/>
            <w:szCs w:val="22"/>
          </w:rPr>
          <w:t>p</w:t>
        </w:r>
        <w:bookmarkEnd w:id="114"/>
        <w:bookmarkEnd w:id="115"/>
        <w:r>
          <w:rPr>
            <w:rStyle w:val="Hyperlink"/>
            <w:sz w:val="22"/>
            <w:szCs w:val="22"/>
          </w:rPr>
          <w:t xml:space="preserve">tion Advisory </w:t>
        </w:r>
        <w:r w:rsidRPr="0032174A">
          <w:rPr>
            <w:rStyle w:val="Hyperlink"/>
            <w:sz w:val="22"/>
            <w:szCs w:val="22"/>
          </w:rPr>
          <w:t>w</w:t>
        </w:r>
        <w:bookmarkEnd w:id="112"/>
        <w:bookmarkEnd w:id="113"/>
        <w:r w:rsidRPr="0032174A">
          <w:rPr>
            <w:rStyle w:val="Hyperlink"/>
            <w:sz w:val="22"/>
            <w:szCs w:val="22"/>
          </w:rPr>
          <w:t>ebsite</w:t>
        </w:r>
      </w:hyperlink>
      <w:r w:rsidRPr="002A4619">
        <w:rPr>
          <w:sz w:val="22"/>
          <w:szCs w:val="22"/>
        </w:rPr>
        <w:t xml:space="preserve">.  </w:t>
      </w:r>
      <w:r>
        <w:rPr>
          <w:sz w:val="22"/>
          <w:szCs w:val="22"/>
        </w:rPr>
        <w:t xml:space="preserve">Information on shellfish bed closures is available on the </w:t>
      </w:r>
      <w:hyperlink r:id="rId31" w:history="1">
        <w:r>
          <w:rPr>
            <w:rStyle w:val="Hyperlink"/>
            <w:sz w:val="22"/>
            <w:szCs w:val="22"/>
          </w:rPr>
          <w:t>FDACS Shellfish Harvesting</w:t>
        </w:r>
        <w:r w:rsidRPr="0032174A">
          <w:rPr>
            <w:rStyle w:val="Hyperlink"/>
            <w:sz w:val="22"/>
            <w:szCs w:val="22"/>
          </w:rPr>
          <w:t xml:space="preserve"> website</w:t>
        </w:r>
      </w:hyperlink>
      <w:r>
        <w:rPr>
          <w:sz w:val="22"/>
          <w:szCs w:val="22"/>
        </w:rPr>
        <w:t xml:space="preserve">.  </w:t>
      </w:r>
      <w:r w:rsidRPr="00F729AC">
        <w:rPr>
          <w:sz w:val="22"/>
          <w:szCs w:val="22"/>
        </w:rPr>
        <w:t xml:space="preserve">Recent sampling results and information on beach closures are available on the </w:t>
      </w:r>
      <w:hyperlink r:id="rId32" w:history="1">
        <w:r w:rsidRPr="00F729AC">
          <w:rPr>
            <w:rStyle w:val="Hyperlink"/>
            <w:sz w:val="22"/>
            <w:szCs w:val="22"/>
          </w:rPr>
          <w:t>FDOH Florida Healthy Beaches Program website</w:t>
        </w:r>
      </w:hyperlink>
      <w:r w:rsidRPr="00F729AC">
        <w:rPr>
          <w:sz w:val="22"/>
          <w:szCs w:val="22"/>
        </w:rPr>
        <w:t xml:space="preserve">.  </w:t>
      </w:r>
    </w:p>
    <w:p w:rsidR="00485094" w:rsidRPr="00E94853" w:rsidRDefault="00485094" w:rsidP="00E10C9E">
      <w:pPr>
        <w:pStyle w:val="BodyText0"/>
        <w:rPr>
          <w:sz w:val="22"/>
          <w:szCs w:val="22"/>
        </w:rPr>
      </w:pPr>
    </w:p>
    <w:p w:rsidR="00485094" w:rsidRPr="008746F6" w:rsidRDefault="00485094" w:rsidP="00086868">
      <w:pPr>
        <w:pStyle w:val="Heading3"/>
      </w:pPr>
      <w:bookmarkStart w:id="116" w:name="_Toc271794315"/>
      <w:r w:rsidRPr="008746F6">
        <w:t>Harmful Algal Blooms</w:t>
      </w:r>
      <w:bookmarkEnd w:id="116"/>
    </w:p>
    <w:p w:rsidR="00485094" w:rsidRDefault="00485094" w:rsidP="004A3C3B">
      <w:pPr>
        <w:pStyle w:val="Bodytext"/>
        <w:rPr>
          <w:snapToGrid w:val="0"/>
        </w:rPr>
      </w:pPr>
      <w:r>
        <w:rPr>
          <w:snapToGrid w:val="0"/>
        </w:rPr>
        <w:t xml:space="preserve">Because of their potential public health threat, Florida closely tracks harmful algal blooms (HABs) in fresh waters as well as estuarine and marine waters.  Typically caused by excess nutrients, these blooms may produce toxins that can harm humans through exposure to contaminated shellfish, fish, dermal contact, and even the inhalation of aerosols.  They can also affect plant and animal communities.  Additional information on HABs is available on the </w:t>
      </w:r>
      <w:hyperlink r:id="rId33" w:history="1">
        <w:r w:rsidRPr="005B766F">
          <w:rPr>
            <w:rStyle w:val="Hyperlink"/>
            <w:snapToGrid w:val="0"/>
          </w:rPr>
          <w:t xml:space="preserve">FDOH </w:t>
        </w:r>
        <w:bookmarkStart w:id="117" w:name="_Hlt256589907"/>
        <w:r w:rsidRPr="005B766F">
          <w:rPr>
            <w:rStyle w:val="Hyperlink"/>
            <w:snapToGrid w:val="0"/>
          </w:rPr>
          <w:t>A</w:t>
        </w:r>
        <w:bookmarkEnd w:id="117"/>
        <w:r w:rsidRPr="005B766F">
          <w:rPr>
            <w:rStyle w:val="Hyperlink"/>
            <w:snapToGrid w:val="0"/>
          </w:rPr>
          <w:t xml:space="preserve">quatic Toxins </w:t>
        </w:r>
        <w:r>
          <w:rPr>
            <w:rStyle w:val="Hyperlink"/>
            <w:snapToGrid w:val="0"/>
          </w:rPr>
          <w:t xml:space="preserve">Program </w:t>
        </w:r>
        <w:r w:rsidRPr="005B766F">
          <w:rPr>
            <w:rStyle w:val="Hyperlink"/>
            <w:snapToGrid w:val="0"/>
          </w:rPr>
          <w:t>website</w:t>
        </w:r>
      </w:hyperlink>
      <w:r>
        <w:rPr>
          <w:snapToGrid w:val="0"/>
        </w:rPr>
        <w:t xml:space="preserve">.  Any illnesses caused by exposure to harmful algae can be reported to FDOH’s </w:t>
      </w:r>
      <w:r w:rsidRPr="004A3C3B">
        <w:rPr>
          <w:snapToGrid w:val="0"/>
        </w:rPr>
        <w:t>toll-free Aquatic Toxins Hotline</w:t>
      </w:r>
      <w:r>
        <w:rPr>
          <w:snapToGrid w:val="0"/>
        </w:rPr>
        <w:t xml:space="preserve"> (</w:t>
      </w:r>
      <w:r w:rsidRPr="004A3C3B">
        <w:rPr>
          <w:snapToGrid w:val="0"/>
        </w:rPr>
        <w:t>1-888-232-8635</w:t>
      </w:r>
      <w:r>
        <w:rPr>
          <w:snapToGrid w:val="0"/>
        </w:rPr>
        <w:t>).</w:t>
      </w:r>
    </w:p>
    <w:p w:rsidR="00485094" w:rsidRDefault="00485094" w:rsidP="00E10C9E">
      <w:pPr>
        <w:pStyle w:val="Bodytext"/>
      </w:pPr>
    </w:p>
    <w:p w:rsidR="00485094" w:rsidRPr="009A402D" w:rsidRDefault="00485094" w:rsidP="00086868">
      <w:pPr>
        <w:pStyle w:val="Heading4"/>
      </w:pPr>
      <w:r w:rsidRPr="009A402D">
        <w:t>Freshwater HABs</w:t>
      </w:r>
    </w:p>
    <w:p w:rsidR="00485094" w:rsidRDefault="00485094" w:rsidP="00E10C9E">
      <w:pPr>
        <w:pStyle w:val="Bodytext"/>
      </w:pPr>
      <w:r>
        <w:t>T</w:t>
      </w:r>
      <w:r w:rsidRPr="00662DA3">
        <w:t xml:space="preserve">he occurrence of cyanobacteria </w:t>
      </w:r>
      <w:r>
        <w:t xml:space="preserve">(or blue-green algae) </w:t>
      </w:r>
      <w:r w:rsidRPr="00662DA3">
        <w:t xml:space="preserve">blooms </w:t>
      </w:r>
      <w:r>
        <w:t>has received increased attention in recent years because of</w:t>
      </w:r>
      <w:r w:rsidRPr="00662DA3">
        <w:t xml:space="preserve"> their potential to produce toxins that can harm humans, livestock, domestic animals, fish, and wildlife.  Blooms of cyanobacteria are frequently associated with elevated nutrient concentrations, slow-moving water, and warm temperatures</w:t>
      </w:r>
      <w:r>
        <w:t>;</w:t>
      </w:r>
      <w:r w:rsidRPr="00662DA3">
        <w:t xml:space="preserve"> </w:t>
      </w:r>
      <w:r>
        <w:t xml:space="preserve">however, </w:t>
      </w:r>
      <w:r w:rsidRPr="00662DA3">
        <w:t>significant blooms can occur</w:t>
      </w:r>
      <w:r>
        <w:t xml:space="preserve"> almost any time of year due to </w:t>
      </w:r>
      <w:r w:rsidR="009744BC">
        <w:t xml:space="preserve">Florida’s </w:t>
      </w:r>
      <w:r>
        <w:t>subtropical climate.</w:t>
      </w:r>
    </w:p>
    <w:p w:rsidR="00485094" w:rsidRPr="00662DA3" w:rsidRDefault="00485094" w:rsidP="00E10C9E">
      <w:pPr>
        <w:pStyle w:val="Bodytext"/>
      </w:pPr>
    </w:p>
    <w:p w:rsidR="00485094" w:rsidRPr="00D157C2" w:rsidRDefault="00485094" w:rsidP="00E10C9E">
      <w:pPr>
        <w:pStyle w:val="Bodytext"/>
      </w:pPr>
      <w:r w:rsidRPr="00381E7D">
        <w:t>Cyanotoxins are chemicals naturally produced by some species of cyanobacteria that can damage the liver (hepatotoxins), nervous system (neurotoxins), and skin (dermatotoxins) of humans and other animals.  Several cyanotoxins, namely microcystins and the lyngbyatoxins, are potent</w:t>
      </w:r>
      <w:r>
        <w:t>ial</w:t>
      </w:r>
      <w:r w:rsidRPr="00381E7D">
        <w:t xml:space="preserve"> tumor promoters.  Three classes of cyanotoxins (</w:t>
      </w:r>
      <w:r w:rsidRPr="00381E7D">
        <w:rPr>
          <w:color w:val="000000"/>
        </w:rPr>
        <w:t xml:space="preserve">anatoxin-a, microcystin-LR, and cylindrospermopsin) </w:t>
      </w:r>
      <w:r w:rsidRPr="00381E7D">
        <w:t xml:space="preserve">are on the 2009 </w:t>
      </w:r>
      <w:hyperlink r:id="rId34" w:anchor="chemical" w:history="1">
        <w:r>
          <w:rPr>
            <w:rStyle w:val="Hyperlink"/>
          </w:rPr>
          <w:t>EPA C</w:t>
        </w:r>
        <w:r w:rsidRPr="00B77587">
          <w:rPr>
            <w:rStyle w:val="Hyperlink"/>
          </w:rPr>
          <w:t>ontaminant Candidat</w:t>
        </w:r>
        <w:bookmarkStart w:id="118" w:name="_Hlt255994562"/>
        <w:bookmarkStart w:id="119" w:name="_Hlt255994563"/>
        <w:r w:rsidRPr="00B77587">
          <w:rPr>
            <w:rStyle w:val="Hyperlink"/>
          </w:rPr>
          <w:t>e</w:t>
        </w:r>
        <w:bookmarkEnd w:id="118"/>
        <w:bookmarkEnd w:id="119"/>
        <w:r w:rsidRPr="00B77587">
          <w:rPr>
            <w:rStyle w:val="Hyperlink"/>
          </w:rPr>
          <w:t xml:space="preserve"> </w:t>
        </w:r>
        <w:r>
          <w:rPr>
            <w:rStyle w:val="Hyperlink"/>
          </w:rPr>
          <w:t xml:space="preserve">3 </w:t>
        </w:r>
        <w:r w:rsidRPr="00B77587">
          <w:rPr>
            <w:rStyle w:val="Hyperlink"/>
          </w:rPr>
          <w:t>List</w:t>
        </w:r>
      </w:hyperlink>
      <w:r>
        <w:t xml:space="preserve">.  </w:t>
      </w:r>
      <w:r w:rsidRPr="00381E7D">
        <w:rPr>
          <w:color w:val="000000"/>
        </w:rPr>
        <w:t xml:space="preserve">The </w:t>
      </w:r>
      <w:r w:rsidRPr="00381E7D">
        <w:t xml:space="preserve">EPA uses this list to prioritize research and criteria </w:t>
      </w:r>
      <w:r w:rsidRPr="00D157C2">
        <w:t xml:space="preserve">development.  </w:t>
      </w:r>
    </w:p>
    <w:p w:rsidR="00485094" w:rsidRDefault="00485094" w:rsidP="00E10C9E">
      <w:pPr>
        <w:pStyle w:val="Bodytext"/>
      </w:pPr>
    </w:p>
    <w:p w:rsidR="00485094" w:rsidRPr="00381E7D" w:rsidRDefault="00485094" w:rsidP="00E10C9E">
      <w:pPr>
        <w:pStyle w:val="Bodytext"/>
      </w:pPr>
      <w:r w:rsidRPr="00381E7D">
        <w:t xml:space="preserve">Potentially toxigenic cyanobacteria have </w:t>
      </w:r>
      <w:r>
        <w:t xml:space="preserve">at times </w:t>
      </w:r>
      <w:r w:rsidRPr="00381E7D">
        <w:t>been found statewide in river and stream systems</w:t>
      </w:r>
      <w:r>
        <w:t xml:space="preserve">, as well as lakes and estuaries. </w:t>
      </w:r>
      <w:r w:rsidRPr="00381E7D">
        <w:t xml:space="preserve"> The results of the Cyanobacteria Survey Project (1999–2001), managed by the </w:t>
      </w:r>
      <w:hyperlink r:id="rId35" w:history="1">
        <w:r w:rsidRPr="00BE6A99">
          <w:rPr>
            <w:rStyle w:val="Hyperlink"/>
          </w:rPr>
          <w:t>Harmful Algal Blo</w:t>
        </w:r>
        <w:bookmarkStart w:id="120" w:name="_Hlt256592267"/>
        <w:bookmarkStart w:id="121" w:name="_Hlt256592268"/>
        <w:r w:rsidRPr="00BE6A99">
          <w:rPr>
            <w:rStyle w:val="Hyperlink"/>
          </w:rPr>
          <w:t>o</w:t>
        </w:r>
        <w:bookmarkEnd w:id="120"/>
        <w:bookmarkEnd w:id="121"/>
        <w:r w:rsidRPr="00BE6A99">
          <w:rPr>
            <w:rStyle w:val="Hyperlink"/>
          </w:rPr>
          <w:t>m Task Force</w:t>
        </w:r>
      </w:hyperlink>
      <w:r w:rsidRPr="00381E7D">
        <w:t xml:space="preserve"> at the FWC</w:t>
      </w:r>
      <w:r>
        <w:t>’s</w:t>
      </w:r>
      <w:r w:rsidRPr="00381E7D">
        <w:t xml:space="preserve"> Fish and Wildlife Research Institute</w:t>
      </w:r>
      <w:r w:rsidR="00533252">
        <w:t xml:space="preserve"> (FWRI)</w:t>
      </w:r>
      <w:r w:rsidRPr="00381E7D">
        <w:t xml:space="preserve">, indicated that the taxa </w:t>
      </w:r>
      <w:r w:rsidRPr="00381E7D">
        <w:rPr>
          <w:i/>
        </w:rPr>
        <w:t>Microcystis</w:t>
      </w:r>
      <w:r>
        <w:rPr>
          <w:i/>
        </w:rPr>
        <w:t xml:space="preserve"> aeruginosa</w:t>
      </w:r>
      <w:r w:rsidRPr="00381E7D">
        <w:rPr>
          <w:i/>
        </w:rPr>
        <w:t>, Anabaena</w:t>
      </w:r>
      <w:r>
        <w:rPr>
          <w:i/>
        </w:rPr>
        <w:t xml:space="preserve"> spp.</w:t>
      </w:r>
      <w:r w:rsidRPr="00381E7D">
        <w:rPr>
          <w:i/>
        </w:rPr>
        <w:t>,</w:t>
      </w:r>
      <w:r w:rsidRPr="00381E7D">
        <w:t xml:space="preserve"> and </w:t>
      </w:r>
      <w:r w:rsidRPr="00381E7D">
        <w:rPr>
          <w:i/>
        </w:rPr>
        <w:lastRenderedPageBreak/>
        <w:t xml:space="preserve">Cylindrospermopsis raciborskii </w:t>
      </w:r>
      <w:r w:rsidRPr="00381E7D">
        <w:t xml:space="preserve">were </w:t>
      </w:r>
      <w:r>
        <w:t xml:space="preserve">the </w:t>
      </w:r>
      <w:r w:rsidRPr="00381E7D">
        <w:t>dominant</w:t>
      </w:r>
      <w:r>
        <w:t xml:space="preserve"> species</w:t>
      </w:r>
      <w:r w:rsidRPr="00381E7D">
        <w:t xml:space="preserve">, while </w:t>
      </w:r>
      <w:r>
        <w:t xml:space="preserve">species with the genera </w:t>
      </w:r>
      <w:r w:rsidRPr="00381E7D">
        <w:rPr>
          <w:i/>
        </w:rPr>
        <w:t>Aphanizomenon, Planktothrix, Oscillatoria,</w:t>
      </w:r>
      <w:r w:rsidRPr="00381E7D">
        <w:t xml:space="preserve"> and </w:t>
      </w:r>
      <w:r w:rsidRPr="00381E7D">
        <w:rPr>
          <w:i/>
        </w:rPr>
        <w:t>Lyngbya</w:t>
      </w:r>
      <w:r w:rsidRPr="00381E7D">
        <w:t xml:space="preserve"> were also observed statewide but not as frequently.  Cyanotoxins (microcystins, </w:t>
      </w:r>
      <w:r>
        <w:t xml:space="preserve">saxitoxin, </w:t>
      </w:r>
      <w:r w:rsidRPr="00381E7D">
        <w:t xml:space="preserve">cylindrospermopsins, and anatoxin) were also found statewide.  </w:t>
      </w:r>
    </w:p>
    <w:p w:rsidR="00485094" w:rsidRDefault="00485094" w:rsidP="00E10C9E">
      <w:pPr>
        <w:pStyle w:val="Bodytext"/>
      </w:pPr>
    </w:p>
    <w:p w:rsidR="00485094" w:rsidRPr="00381E7D" w:rsidRDefault="00485094" w:rsidP="00E10C9E">
      <w:pPr>
        <w:pStyle w:val="Bodytext"/>
      </w:pPr>
      <w:r w:rsidRPr="00381E7D">
        <w:t xml:space="preserve">Measured concentrations of microcystins have been reported in some post-processed finished water from drinking water facilities in Florida.  Over a period of about 9 months, the 2000 Cyanobacteria Survey Project focused on water treatment plants that produced drinking water from surface waters.  On 6 occasions, microcystin levels (hepatotoxins) in finished samples were above the World Health Organization’s (WHO) suggested guideline level of 1 to 10 </w:t>
      </w:r>
      <w:r>
        <w:rPr>
          <w:rFonts w:ascii="Symbol" w:hAnsi="Symbol"/>
        </w:rPr>
        <w:t></w:t>
      </w:r>
      <w:r w:rsidRPr="00381E7D">
        <w:t xml:space="preserve">g/L for drinking water.  However, this level has a safety factor of 1,000 and is based on </w:t>
      </w:r>
      <w:r w:rsidR="009744BC" w:rsidRPr="00381E7D">
        <w:t>l</w:t>
      </w:r>
      <w:r w:rsidR="009744BC">
        <w:t>ong-</w:t>
      </w:r>
      <w:r>
        <w:t>term</w:t>
      </w:r>
      <w:r w:rsidRPr="00381E7D">
        <w:t xml:space="preserve"> exposure.  Further, the sample deviation at these low concentrations raised the issue of quality assurance, particularly considering the use of new analytical procedures and the lack of laboratory certification.  The results of a 2007 study by the FDEP Bureau of Laboratories indicated that there is as much as an order of magnitude difference in reported values between laboratories using different analytical methods.  </w:t>
      </w:r>
    </w:p>
    <w:p w:rsidR="00485094" w:rsidRDefault="00485094" w:rsidP="00E10C9E">
      <w:pPr>
        <w:pStyle w:val="Bodytext"/>
      </w:pPr>
    </w:p>
    <w:p w:rsidR="00485094" w:rsidRPr="00381E7D" w:rsidRDefault="00485094" w:rsidP="00E10C9E">
      <w:pPr>
        <w:pStyle w:val="Bodytext"/>
      </w:pPr>
      <w:r w:rsidRPr="00381E7D">
        <w:t xml:space="preserve">Florida has not established any water quality standards for cyanotoxins.  The WHO’s threshold is used as an indicator of potential adverse effects in </w:t>
      </w:r>
      <w:r>
        <w:t xml:space="preserve">potable </w:t>
      </w:r>
      <w:r w:rsidRPr="00381E7D">
        <w:t xml:space="preserve">drinking water.  There are no </w:t>
      </w:r>
      <w:r>
        <w:t xml:space="preserve">established </w:t>
      </w:r>
      <w:r w:rsidRPr="00381E7D">
        <w:t xml:space="preserve">limits </w:t>
      </w:r>
      <w:r w:rsidR="009744BC">
        <w:t>for</w:t>
      </w:r>
      <w:r w:rsidR="009744BC" w:rsidRPr="00381E7D">
        <w:t xml:space="preserve"> </w:t>
      </w:r>
      <w:r w:rsidRPr="00381E7D">
        <w:t xml:space="preserve">fish tissue concentrations or recreational exposure.  The FWC does not discourage people from eating fish from cyanobacteria bloom waters so long as the fish are active and appear healthy on the fishing line.  FDOH recommends that people do not drink, recreate, or irrigate with water that is experiencing a cyanobacteria bloom.  </w:t>
      </w:r>
    </w:p>
    <w:p w:rsidR="00485094" w:rsidRDefault="00485094" w:rsidP="00E10C9E">
      <w:pPr>
        <w:pStyle w:val="Bodytext"/>
      </w:pPr>
    </w:p>
    <w:p w:rsidR="00485094" w:rsidRPr="00381E7D" w:rsidRDefault="00485094" w:rsidP="00E10C9E">
      <w:pPr>
        <w:pStyle w:val="Bodytext"/>
      </w:pPr>
      <w:r w:rsidRPr="00381E7D">
        <w:t xml:space="preserve">Research by the FDEP Bureau of Laboratories on </w:t>
      </w:r>
      <w:r w:rsidRPr="00381E7D">
        <w:rPr>
          <w:i/>
        </w:rPr>
        <w:t>Microcystis aeruginosa</w:t>
      </w:r>
      <w:r w:rsidRPr="00381E7D">
        <w:t xml:space="preserve"> bloom samples from Lake Munson in Leon County, Florida, indicates that even nontoxin-producing blooms can contain strains of </w:t>
      </w:r>
      <w:r w:rsidRPr="00381E7D">
        <w:rPr>
          <w:i/>
        </w:rPr>
        <w:t>M. aeruginosa</w:t>
      </w:r>
      <w:r w:rsidRPr="00381E7D">
        <w:t xml:space="preserve"> that possess the gene for toxin production.  This suggests that, for reasons yet unknown, nontoxin-producing blooms can become toxin-producing blooms under the right environmental conditions.  This </w:t>
      </w:r>
      <w:r w:rsidR="009744BC">
        <w:t xml:space="preserve">finding </w:t>
      </w:r>
      <w:r w:rsidRPr="00381E7D">
        <w:t xml:space="preserve">supports the FDOH guidance to stay out of bloom waters regardless of </w:t>
      </w:r>
      <w:r w:rsidR="009744BC">
        <w:t xml:space="preserve">the </w:t>
      </w:r>
      <w:r w:rsidRPr="00381E7D">
        <w:t xml:space="preserve">toxin concentrations </w:t>
      </w:r>
      <w:r w:rsidR="009744BC">
        <w:t xml:space="preserve">that </w:t>
      </w:r>
      <w:r w:rsidRPr="00381E7D">
        <w:t>may have been reported, as conditions and toxin concentrations can change rapidly.</w:t>
      </w:r>
    </w:p>
    <w:p w:rsidR="00485094" w:rsidRDefault="00485094" w:rsidP="00E10C9E">
      <w:pPr>
        <w:pStyle w:val="Bodytext"/>
      </w:pPr>
    </w:p>
    <w:p w:rsidR="00485094" w:rsidRPr="00381E7D" w:rsidRDefault="00485094" w:rsidP="00E10C9E">
      <w:pPr>
        <w:pStyle w:val="Bodytext"/>
      </w:pPr>
      <w:r w:rsidRPr="00381E7D">
        <w:t>Several drinking water facilities in Florida monitor for cyanotoxins.  Reports from the WHO and other researchers around the world indicate that conventional treatment processes are effective at eliminating the algae and the toxin, so long as treatment media (e.g., activated carbon) in the systems are maintained.  The taste, odor, and color associated with the bloom provide a clear indication of its presence and initiate the use of additional treatment.  While these treatment techniques are used to control the taste, odor, and color of the water, they are also very effective at removing or degrading the toxins.</w:t>
      </w:r>
    </w:p>
    <w:p w:rsidR="00485094" w:rsidRDefault="00485094" w:rsidP="00E10C9E">
      <w:pPr>
        <w:pStyle w:val="Bodytext"/>
      </w:pPr>
    </w:p>
    <w:p w:rsidR="00485094" w:rsidRDefault="00485094" w:rsidP="00E10C9E">
      <w:pPr>
        <w:pStyle w:val="Bodytext"/>
      </w:pPr>
      <w:r w:rsidRPr="00381E7D">
        <w:t xml:space="preserve">FDOH and FDEP have collaborated to create a new Cyanobacteria Bloom Module in the FDOH Foodborne, Waterborne, and Vectorborne Disease Surveillance System (FWVSS) </w:t>
      </w:r>
      <w:r w:rsidR="00EE4CFE">
        <w:t>d</w:t>
      </w:r>
      <w:r w:rsidR="00EE4CFE" w:rsidRPr="00381E7D">
        <w:t>atabase</w:t>
      </w:r>
      <w:r w:rsidRPr="00381E7D">
        <w:t>.  The module allows each potential responding agency (e.g., FDOH and local county health units, FDEP, FWC, the water management districts, and FDACS) to enter a new case identification number for a cyanobacteria bloom.  This system can send email notifications to the cyanobacteria bloom contacts in each agency whenever a new bloom is reported or a significant update is made to an existing case.  The use of the new tool should help improve state agencies’ response to cyanobacteria blooms.</w:t>
      </w:r>
    </w:p>
    <w:p w:rsidR="00485094" w:rsidRPr="00381E7D" w:rsidRDefault="00485094" w:rsidP="00E10C9E">
      <w:pPr>
        <w:pStyle w:val="Bodytext"/>
      </w:pPr>
    </w:p>
    <w:p w:rsidR="00485094" w:rsidRDefault="00485094" w:rsidP="008746F6">
      <w:pPr>
        <w:pStyle w:val="Heading4"/>
      </w:pPr>
      <w:r w:rsidRPr="008746F6">
        <w:lastRenderedPageBreak/>
        <w:t>Estuarine and Marine HABS</w:t>
      </w:r>
      <w:r w:rsidRPr="00712BDF">
        <w:rPr>
          <w:rStyle w:val="FootnoteReference"/>
          <w:szCs w:val="22"/>
        </w:rPr>
        <w:footnoteReference w:id="1"/>
      </w:r>
    </w:p>
    <w:p w:rsidR="00485094" w:rsidRDefault="00485094" w:rsidP="00E10C9E">
      <w:pPr>
        <w:pStyle w:val="Bodytext"/>
      </w:pPr>
      <w:r w:rsidRPr="00381E7D">
        <w:t>With more than 50 marine and estuarine HAB species present, the</w:t>
      </w:r>
      <w:r>
        <w:t>se species</w:t>
      </w:r>
      <w:r w:rsidRPr="00381E7D">
        <w:t xml:space="preserve"> have the potential to affect public health, cause economic losses, affect living resources, disturb ecosystems, and generate water quality problems.  Any highly concentrated bloom can reduce water quality, because decomposing and respiring cells contribute to the reduction (hypoxia) or absence of oxygen (anoxia), the production of nitrogenous byproducts, or the formation of toxic sulfides.  Declining water quality can lead to animal mortality or chronic diseases, species avoidance of an area, and reduced feeding.  Such </w:t>
      </w:r>
      <w:proofErr w:type="spellStart"/>
      <w:r w:rsidRPr="00381E7D">
        <w:t>sublethal</w:t>
      </w:r>
      <w:proofErr w:type="spellEnd"/>
      <w:r w:rsidRPr="00381E7D">
        <w:t>, chronic effects on habitats can have far-reaching impacts on animal and plant communities.</w:t>
      </w:r>
    </w:p>
    <w:p w:rsidR="00485094" w:rsidRDefault="00485094" w:rsidP="00E10C9E">
      <w:pPr>
        <w:pStyle w:val="Bodytext"/>
      </w:pPr>
    </w:p>
    <w:p w:rsidR="00485094" w:rsidRDefault="00485094" w:rsidP="00156E85">
      <w:pPr>
        <w:pStyle w:val="Bodytext"/>
      </w:pPr>
      <w:r>
        <w:t xml:space="preserve">Within the Gulf of Mexico, the National Oceanic and Atmospheric Administration (NOAA) </w:t>
      </w:r>
      <w:hyperlink r:id="rId36" w:history="1">
        <w:r w:rsidRPr="002B5A03">
          <w:rPr>
            <w:rStyle w:val="Hyperlink"/>
          </w:rPr>
          <w:t>Harmful Algal Bloom Operational Forecast Syste</w:t>
        </w:r>
        <w:r>
          <w:rPr>
            <w:rStyle w:val="Hyperlink"/>
          </w:rPr>
          <w:t>m website</w:t>
        </w:r>
      </w:hyperlink>
      <w:r>
        <w:t xml:space="preserve"> provides information on the location, extent, and potential for </w:t>
      </w:r>
      <w:r w:rsidR="009744BC">
        <w:t xml:space="preserve">the </w:t>
      </w:r>
      <w:r>
        <w:t>development or movement of HABs.  T</w:t>
      </w:r>
      <w:r w:rsidRPr="00156E85">
        <w:t xml:space="preserve">he </w:t>
      </w:r>
      <w:hyperlink r:id="rId37" w:history="1">
        <w:r w:rsidRPr="00156E85">
          <w:rPr>
            <w:rStyle w:val="Hyperlink"/>
          </w:rPr>
          <w:t>Gulf of Mexic</w:t>
        </w:r>
        <w:bookmarkStart w:id="122" w:name="_Hlt256592077"/>
        <w:bookmarkStart w:id="123" w:name="_Hlt256592078"/>
        <w:r w:rsidRPr="00156E85">
          <w:rPr>
            <w:rStyle w:val="Hyperlink"/>
          </w:rPr>
          <w:t>o</w:t>
        </w:r>
        <w:bookmarkEnd w:id="122"/>
        <w:bookmarkEnd w:id="123"/>
        <w:r w:rsidRPr="00156E85">
          <w:rPr>
            <w:rStyle w:val="Hyperlink"/>
          </w:rPr>
          <w:t xml:space="preserve"> Alliance</w:t>
        </w:r>
      </w:hyperlink>
      <w:r>
        <w:t>,</w:t>
      </w:r>
      <w:r w:rsidRPr="00156E85">
        <w:t xml:space="preserve"> a partnership </w:t>
      </w:r>
      <w:r w:rsidR="009744BC">
        <w:t>between</w:t>
      </w:r>
      <w:r w:rsidRPr="00156E85">
        <w:t xml:space="preserve"> Alabama, Florida, Louisiana, Mississippi, and Texas, </w:t>
      </w:r>
      <w:r>
        <w:t>is working to increase</w:t>
      </w:r>
      <w:r w:rsidRPr="00156E85">
        <w:t xml:space="preserve"> regional collaboration to enhance the </w:t>
      </w:r>
      <w:r>
        <w:t xml:space="preserve">Gulf’s </w:t>
      </w:r>
      <w:r w:rsidRPr="00156E85">
        <w:t>ecological and economic health.</w:t>
      </w:r>
      <w:r>
        <w:t xml:space="preserve">  </w:t>
      </w:r>
      <w:r w:rsidRPr="00156E85">
        <w:t>Reduc</w:t>
      </w:r>
      <w:r>
        <w:t>ing</w:t>
      </w:r>
      <w:r w:rsidRPr="00156E85">
        <w:t xml:space="preserve"> the effects of HABs </w:t>
      </w:r>
      <w:r>
        <w:t xml:space="preserve">is one of its water quality priorities.  </w:t>
      </w:r>
    </w:p>
    <w:p w:rsidR="00485094" w:rsidRDefault="00485094" w:rsidP="00156E85">
      <w:pPr>
        <w:pStyle w:val="Bodytext"/>
      </w:pPr>
    </w:p>
    <w:p w:rsidR="0064329B" w:rsidRDefault="00485094" w:rsidP="009A402D">
      <w:pPr>
        <w:pStyle w:val="Heading5"/>
      </w:pPr>
      <w:r w:rsidRPr="00E10C9E">
        <w:t>Red Tide</w:t>
      </w:r>
    </w:p>
    <w:p w:rsidR="00485094" w:rsidRDefault="00485094" w:rsidP="0014309D">
      <w:pPr>
        <w:pStyle w:val="Bodytext"/>
      </w:pPr>
      <w:r w:rsidRPr="00381E7D">
        <w:t xml:space="preserve">While most blooms of the dinoflagellate </w:t>
      </w:r>
      <w:r w:rsidRPr="00381E7D">
        <w:rPr>
          <w:i/>
        </w:rPr>
        <w:t>Karenia brevis</w:t>
      </w:r>
      <w:r w:rsidRPr="00381E7D">
        <w:t xml:space="preserve"> occur on the west coast of Florida, red tides occasionally are entrained by the Gulf Stream and move to the east coast.  Florida’s red tides have contributed to significant economic losses, causing declines in economically valued fisheries resources and impacting businesses that depend on local tourism.</w:t>
      </w:r>
      <w:r>
        <w:t xml:space="preserve">  </w:t>
      </w:r>
      <w:r w:rsidRPr="00381E7D">
        <w:t xml:space="preserve">Historically, </w:t>
      </w:r>
      <w:r w:rsidRPr="00381E7D">
        <w:rPr>
          <w:i/>
          <w:iCs/>
        </w:rPr>
        <w:t>K.</w:t>
      </w:r>
      <w:r w:rsidRPr="00381E7D">
        <w:t xml:space="preserve"> </w:t>
      </w:r>
      <w:r w:rsidRPr="00381E7D">
        <w:rPr>
          <w:i/>
          <w:iCs/>
        </w:rPr>
        <w:t xml:space="preserve">brevis </w:t>
      </w:r>
      <w:r w:rsidRPr="00381E7D">
        <w:t xml:space="preserve">red tides producing brevetoxins, which disrupt normal neurological processes, have caused the most significant problems.  They have led to threats to the public from Neurotoxic Shellfish Poisoning (NSP) or from aerosolized toxins, annually caused the deaths of thousands of fish, and severely impacted endangered marine mammals, turtles, and birds.  Fish kills caused by </w:t>
      </w:r>
      <w:r w:rsidRPr="00381E7D">
        <w:rPr>
          <w:i/>
        </w:rPr>
        <w:t xml:space="preserve">K. brevis </w:t>
      </w:r>
      <w:r w:rsidRPr="00381E7D">
        <w:t xml:space="preserve">were first documented in 1844, but the cause was not identified until the 1946–47 red tide outbreak.  </w:t>
      </w:r>
    </w:p>
    <w:p w:rsidR="00485094" w:rsidRDefault="00485094" w:rsidP="0014309D">
      <w:pPr>
        <w:pStyle w:val="Bodytext"/>
      </w:pPr>
    </w:p>
    <w:p w:rsidR="00485094" w:rsidRPr="00381E7D" w:rsidRDefault="00485094" w:rsidP="0014309D">
      <w:pPr>
        <w:pStyle w:val="Bodytext"/>
      </w:pPr>
      <w:r w:rsidRPr="00381E7D">
        <w:t xml:space="preserve">Although human shellfish poisonings have been known in Florida since the 1880s, the connection with filter-feeding shellfish, toxicity, and </w:t>
      </w:r>
      <w:r w:rsidRPr="00381E7D">
        <w:rPr>
          <w:i/>
        </w:rPr>
        <w:t xml:space="preserve">K. brevis </w:t>
      </w:r>
      <w:r w:rsidRPr="00381E7D">
        <w:t xml:space="preserve">red tides was not identified until the 1960s.  </w:t>
      </w:r>
      <w:r w:rsidRPr="00381E7D">
        <w:rPr>
          <w:color w:val="000000"/>
        </w:rPr>
        <w:t>Over the past 40 years, human cases of NSP in Florida have only occurred when shellﬁsh were harvested illegally from state-regulated closed shellﬁsh beds or unapproved areas.</w:t>
      </w:r>
      <w:r w:rsidRPr="00381E7D">
        <w:t xml:space="preserve"> </w:t>
      </w:r>
      <w:r>
        <w:t xml:space="preserve"> </w:t>
      </w:r>
      <w:r w:rsidRPr="00381E7D">
        <w:t xml:space="preserve">There have been no human fatalities.  People can suffer respiratory irritation and other pulmonary effects when brevetoxins become aerosolized through the disruption of </w:t>
      </w:r>
      <w:r w:rsidRPr="00381E7D">
        <w:rPr>
          <w:i/>
        </w:rPr>
        <w:t>K</w:t>
      </w:r>
      <w:r w:rsidRPr="00381E7D">
        <w:t xml:space="preserve">. </w:t>
      </w:r>
      <w:r w:rsidRPr="00381E7D">
        <w:rPr>
          <w:i/>
        </w:rPr>
        <w:t>brevis</w:t>
      </w:r>
      <w:r w:rsidRPr="00381E7D">
        <w:t xml:space="preserve"> cells by breaking waves, surf, or onshore winds.  </w:t>
      </w:r>
    </w:p>
    <w:p w:rsidR="00485094" w:rsidRDefault="00485094" w:rsidP="0014309D">
      <w:pPr>
        <w:pStyle w:val="BodyText0"/>
      </w:pPr>
    </w:p>
    <w:p w:rsidR="00485094" w:rsidRPr="000B3DE6" w:rsidRDefault="00485094" w:rsidP="0014309D">
      <w:pPr>
        <w:pStyle w:val="Bodytext"/>
      </w:pPr>
      <w:r w:rsidRPr="00381E7D">
        <w:t xml:space="preserve">Although red tide blooms are natural events that start offshore, </w:t>
      </w:r>
      <w:r>
        <w:t>there is an ongoing scientific debate</w:t>
      </w:r>
      <w:r w:rsidRPr="00381E7D">
        <w:t xml:space="preserve"> </w:t>
      </w:r>
      <w:r w:rsidR="009744BC">
        <w:t>on</w:t>
      </w:r>
      <w:r w:rsidR="009744BC" w:rsidRPr="00381E7D">
        <w:t xml:space="preserve"> </w:t>
      </w:r>
      <w:r w:rsidRPr="00381E7D">
        <w:t xml:space="preserve">whether land-based human influences </w:t>
      </w:r>
      <w:r w:rsidR="009744BC">
        <w:t>affect</w:t>
      </w:r>
      <w:r w:rsidRPr="00381E7D">
        <w:t xml:space="preserve"> the longevity and persistence of red tides once they come close to shore</w:t>
      </w:r>
      <w:r>
        <w:t>.</w:t>
      </w:r>
    </w:p>
    <w:p w:rsidR="00485094" w:rsidRDefault="00485094" w:rsidP="0014309D">
      <w:pPr>
        <w:pStyle w:val="Bodytext"/>
      </w:pPr>
    </w:p>
    <w:p w:rsidR="00485094" w:rsidRDefault="00485094" w:rsidP="0014309D">
      <w:pPr>
        <w:pStyle w:val="Bodytext"/>
      </w:pPr>
      <w:r>
        <w:t xml:space="preserve">The existing red tide database suffers from a number of inconsistencies, including the presence of data collected for different purposes (experiments vs. monitoring), different sampling efforts over the years, and differences in collection and analysis techniques.  </w:t>
      </w:r>
      <w:r w:rsidRPr="000B3DE6">
        <w:t>Because of the</w:t>
      </w:r>
      <w:r>
        <w:t>se</w:t>
      </w:r>
      <w:r w:rsidRPr="000B3DE6">
        <w:t xml:space="preserve"> issues</w:t>
      </w:r>
      <w:r>
        <w:t xml:space="preserve">, the FWC </w:t>
      </w:r>
      <w:r w:rsidRPr="000B3DE6">
        <w:t>contracted wi</w:t>
      </w:r>
      <w:r>
        <w:t>th biostatisticians at the University</w:t>
      </w:r>
      <w:r w:rsidRPr="000B3DE6">
        <w:t xml:space="preserve"> of Florida </w:t>
      </w:r>
      <w:r>
        <w:t xml:space="preserve">(UF) </w:t>
      </w:r>
      <w:r w:rsidRPr="000B3DE6">
        <w:t xml:space="preserve">to analyze </w:t>
      </w:r>
      <w:r>
        <w:t xml:space="preserve">the red tide data </w:t>
      </w:r>
      <w:r w:rsidRPr="000B3DE6">
        <w:t xml:space="preserve">for long-term trends </w:t>
      </w:r>
      <w:r>
        <w:t xml:space="preserve">to determine what valid statistical conclusions could be drawn.  UF </w:t>
      </w:r>
      <w:r w:rsidRPr="000B3DE6">
        <w:t>concluded that the nature of the data</w:t>
      </w:r>
      <w:r>
        <w:t xml:space="preserve"> </w:t>
      </w:r>
      <w:r w:rsidRPr="000B3DE6">
        <w:t xml:space="preserve">prevented any valid statistical interpretation </w:t>
      </w:r>
      <w:r>
        <w:t xml:space="preserve">concerning </w:t>
      </w:r>
      <w:r>
        <w:lastRenderedPageBreak/>
        <w:t xml:space="preserve">trends and human influences on </w:t>
      </w:r>
      <w:r w:rsidRPr="00452B77">
        <w:rPr>
          <w:i/>
        </w:rPr>
        <w:t>K. brevis</w:t>
      </w:r>
      <w:r>
        <w:t xml:space="preserve"> blooms.  A summary of the UF analysis is available on the </w:t>
      </w:r>
      <w:hyperlink r:id="rId38" w:history="1">
        <w:r w:rsidRPr="00293A9E">
          <w:rPr>
            <w:rStyle w:val="Hyperlink"/>
          </w:rPr>
          <w:t>F</w:t>
        </w:r>
        <w:r>
          <w:rPr>
            <w:rStyle w:val="Hyperlink"/>
          </w:rPr>
          <w:t>WC-F</w:t>
        </w:r>
        <w:r w:rsidRPr="00293A9E">
          <w:rPr>
            <w:rStyle w:val="Hyperlink"/>
          </w:rPr>
          <w:t>WRI website</w:t>
        </w:r>
      </w:hyperlink>
      <w:r>
        <w:t>.</w:t>
      </w:r>
    </w:p>
    <w:p w:rsidR="00485094" w:rsidRDefault="00485094" w:rsidP="0014309D">
      <w:pPr>
        <w:pStyle w:val="Bodytext"/>
      </w:pPr>
    </w:p>
    <w:p w:rsidR="00485094" w:rsidRPr="00381E7D" w:rsidRDefault="00485094" w:rsidP="0014309D">
      <w:pPr>
        <w:pStyle w:val="Bodytext"/>
      </w:pPr>
      <w:r w:rsidRPr="000B3DE6">
        <w:t xml:space="preserve">Current available data from the past 10 years suggest that </w:t>
      </w:r>
      <w:r w:rsidRPr="006C1047">
        <w:rPr>
          <w:i/>
        </w:rPr>
        <w:t>K. brevis</w:t>
      </w:r>
      <w:r w:rsidRPr="000B3DE6">
        <w:t xml:space="preserve"> blooms </w:t>
      </w:r>
      <w:r>
        <w:t>may utilize</w:t>
      </w:r>
      <w:r w:rsidRPr="000B3DE6">
        <w:t xml:space="preserve"> a multi</w:t>
      </w:r>
      <w:r>
        <w:t>t</w:t>
      </w:r>
      <w:r w:rsidRPr="000B3DE6">
        <w:t xml:space="preserve">ude of nutrient sources, which vary in significance depending on </w:t>
      </w:r>
      <w:r w:rsidR="009744BC">
        <w:t>a</w:t>
      </w:r>
      <w:r w:rsidR="009744BC" w:rsidRPr="000B3DE6">
        <w:t>long</w:t>
      </w:r>
      <w:r w:rsidR="009744BC">
        <w:t>-</w:t>
      </w:r>
      <w:r w:rsidRPr="000B3DE6">
        <w:t xml:space="preserve">shore and offshore locations (Vargo et al., 2008).  </w:t>
      </w:r>
      <w:r>
        <w:t>The data suggest that</w:t>
      </w:r>
      <w:r w:rsidRPr="000B3DE6">
        <w:t xml:space="preserve"> no single nutrient source (</w:t>
      </w:r>
      <w:r>
        <w:t>including</w:t>
      </w:r>
      <w:r w:rsidRPr="000B3DE6">
        <w:t xml:space="preserve"> terrestrially derived nutrients) is sufficient to support thes</w:t>
      </w:r>
      <w:r>
        <w:t xml:space="preserve">e blooms, and that while </w:t>
      </w:r>
      <w:r w:rsidRPr="006C1047">
        <w:rPr>
          <w:i/>
        </w:rPr>
        <w:t>K. brevis</w:t>
      </w:r>
      <w:r w:rsidRPr="000B3DE6">
        <w:t xml:space="preserve"> can utilize these </w:t>
      </w:r>
      <w:proofErr w:type="spellStart"/>
      <w:r w:rsidRPr="000B3DE6">
        <w:t>nearshore</w:t>
      </w:r>
      <w:proofErr w:type="spellEnd"/>
      <w:r w:rsidRPr="000B3DE6">
        <w:t xml:space="preserve"> so</w:t>
      </w:r>
      <w:r>
        <w:t xml:space="preserve">urces, the salinity restriction on </w:t>
      </w:r>
      <w:r w:rsidRPr="006C1047">
        <w:rPr>
          <w:i/>
        </w:rPr>
        <w:t>K. brevis</w:t>
      </w:r>
      <w:r w:rsidRPr="000B3DE6">
        <w:t xml:space="preserve"> </w:t>
      </w:r>
      <w:r>
        <w:t xml:space="preserve">survival, which </w:t>
      </w:r>
      <w:r w:rsidRPr="000B3DE6">
        <w:t xml:space="preserve">does not occur at salinity </w:t>
      </w:r>
      <w:r w:rsidR="009744BC">
        <w:t xml:space="preserve">levels less than </w:t>
      </w:r>
      <w:r w:rsidRPr="000B3DE6">
        <w:t>24</w:t>
      </w:r>
      <w:r>
        <w:t xml:space="preserve"> </w:t>
      </w:r>
      <w:r w:rsidR="009744BC">
        <w:t>parts per thousand (</w:t>
      </w:r>
      <w:r w:rsidRPr="000B3DE6">
        <w:t>ppt</w:t>
      </w:r>
      <w:r w:rsidR="009744BC">
        <w:t>)</w:t>
      </w:r>
      <w:r>
        <w:t>,</w:t>
      </w:r>
      <w:r w:rsidRPr="000B3DE6">
        <w:t xml:space="preserve"> argues against a direct quantifiable link</w:t>
      </w:r>
      <w:r>
        <w:t xml:space="preserve"> to land</w:t>
      </w:r>
      <w:r w:rsidR="009744BC">
        <w:t>-</w:t>
      </w:r>
      <w:r>
        <w:t>based sources of nutrients</w:t>
      </w:r>
      <w:r w:rsidRPr="000B3DE6">
        <w:t xml:space="preserve">. </w:t>
      </w:r>
      <w:r>
        <w:t xml:space="preserve"> While </w:t>
      </w:r>
      <w:r w:rsidRPr="000B3DE6">
        <w:t xml:space="preserve">data linking nutrient loading with </w:t>
      </w:r>
      <w:r w:rsidRPr="006C1047">
        <w:rPr>
          <w:i/>
        </w:rPr>
        <w:t>K. brevis</w:t>
      </w:r>
      <w:r w:rsidRPr="000B3DE6">
        <w:t xml:space="preserve"> occurrence do</w:t>
      </w:r>
      <w:r w:rsidR="009744BC">
        <w:t xml:space="preserve"> not</w:t>
      </w:r>
      <w:r w:rsidRPr="000B3DE6">
        <w:t xml:space="preserve"> </w:t>
      </w:r>
      <w:r>
        <w:t xml:space="preserve">currently </w:t>
      </w:r>
      <w:r w:rsidRPr="000B3DE6">
        <w:t>exist</w:t>
      </w:r>
      <w:r>
        <w:t>, t</w:t>
      </w:r>
      <w:r w:rsidRPr="00B219F9">
        <w:t xml:space="preserve">he </w:t>
      </w:r>
      <w:r>
        <w:t xml:space="preserve">FWC’s </w:t>
      </w:r>
      <w:r w:rsidRPr="00381E7D">
        <w:rPr>
          <w:color w:val="000000"/>
          <w:szCs w:val="22"/>
        </w:rPr>
        <w:t xml:space="preserve">FWRI </w:t>
      </w:r>
      <w:r w:rsidRPr="00B219F9">
        <w:t>is currently conducting</w:t>
      </w:r>
      <w:r>
        <w:t xml:space="preserve"> research on this issue.</w:t>
      </w:r>
    </w:p>
    <w:p w:rsidR="00485094" w:rsidRDefault="00485094" w:rsidP="00E10C9E">
      <w:pPr>
        <w:pStyle w:val="Bodytext"/>
        <w:rPr>
          <w:color w:val="000000"/>
          <w:szCs w:val="22"/>
        </w:rPr>
      </w:pPr>
    </w:p>
    <w:p w:rsidR="00485094" w:rsidRPr="00381E7D" w:rsidRDefault="00485094" w:rsidP="00E10C9E">
      <w:pPr>
        <w:pStyle w:val="Bodytext"/>
        <w:rPr>
          <w:color w:val="000000"/>
          <w:szCs w:val="22"/>
        </w:rPr>
      </w:pPr>
      <w:r w:rsidRPr="00381E7D">
        <w:rPr>
          <w:color w:val="000000"/>
          <w:szCs w:val="22"/>
        </w:rPr>
        <w:t>FWC–FWRI</w:t>
      </w:r>
      <w:r>
        <w:rPr>
          <w:color w:val="000000"/>
          <w:szCs w:val="22"/>
        </w:rPr>
        <w:t xml:space="preserve"> also</w:t>
      </w:r>
      <w:r w:rsidRPr="00381E7D">
        <w:rPr>
          <w:color w:val="000000"/>
          <w:szCs w:val="22"/>
        </w:rPr>
        <w:t xml:space="preserve"> monitors state waters for </w:t>
      </w:r>
      <w:r w:rsidRPr="006C1047">
        <w:rPr>
          <w:i/>
          <w:color w:val="000000"/>
          <w:szCs w:val="22"/>
        </w:rPr>
        <w:t>K. brevis</w:t>
      </w:r>
      <w:r w:rsidRPr="00381E7D">
        <w:rPr>
          <w:color w:val="000000"/>
          <w:szCs w:val="22"/>
        </w:rPr>
        <w:t xml:space="preserve"> red tides in cooperation with other state regulatory agencies, such as</w:t>
      </w:r>
      <w:r w:rsidRPr="00381E7D">
        <w:rPr>
          <w:iCs/>
          <w:color w:val="000000"/>
          <w:szCs w:val="22"/>
        </w:rPr>
        <w:t xml:space="preserve"> </w:t>
      </w:r>
      <w:r w:rsidRPr="00381E7D">
        <w:rPr>
          <w:color w:val="000000"/>
          <w:szCs w:val="22"/>
        </w:rPr>
        <w:t>FDACS, FDOH, and FDEP; a volunteer network of boaters, charter boat captains, ﬁshermen, citizens; and Mote Marine Laboratory</w:t>
      </w:r>
      <w:r w:rsidR="00FD5E79">
        <w:rPr>
          <w:color w:val="000000"/>
          <w:szCs w:val="22"/>
        </w:rPr>
        <w:t xml:space="preserve"> (MML)</w:t>
      </w:r>
      <w:r w:rsidRPr="00381E7D">
        <w:rPr>
          <w:color w:val="000000"/>
          <w:szCs w:val="22"/>
        </w:rPr>
        <w:t xml:space="preserve">.  All analyses involve </w:t>
      </w:r>
      <w:r w:rsidRPr="00381E7D">
        <w:rPr>
          <w:iCs/>
          <w:color w:val="000000"/>
          <w:szCs w:val="22"/>
        </w:rPr>
        <w:t>on-site</w:t>
      </w:r>
      <w:r w:rsidRPr="00381E7D">
        <w:rPr>
          <w:i/>
          <w:iCs/>
          <w:color w:val="000000"/>
          <w:szCs w:val="22"/>
        </w:rPr>
        <w:t xml:space="preserve"> </w:t>
      </w:r>
      <w:r w:rsidRPr="00381E7D">
        <w:rPr>
          <w:color w:val="000000"/>
          <w:szCs w:val="22"/>
        </w:rPr>
        <w:t xml:space="preserve">testing, onboard testing, or onshore laboratory testing. </w:t>
      </w:r>
      <w:r>
        <w:rPr>
          <w:color w:val="000000"/>
        </w:rPr>
        <w:t xml:space="preserve"> </w:t>
      </w:r>
      <w:r>
        <w:rPr>
          <w:color w:val="000000"/>
          <w:szCs w:val="22"/>
        </w:rPr>
        <w:t>Re</w:t>
      </w:r>
      <w:r w:rsidRPr="00381E7D">
        <w:rPr>
          <w:color w:val="000000"/>
          <w:szCs w:val="22"/>
        </w:rPr>
        <w:t xml:space="preserve">sults are posted weekly on the </w:t>
      </w:r>
      <w:hyperlink r:id="rId39" w:history="1">
        <w:r w:rsidRPr="00B5140F">
          <w:rPr>
            <w:rStyle w:val="Hyperlink"/>
            <w:szCs w:val="22"/>
          </w:rPr>
          <w:t>FWC–FWRI website</w:t>
        </w:r>
      </w:hyperlink>
      <w:r w:rsidRPr="00662DA3">
        <w:rPr>
          <w:color w:val="002060"/>
          <w:szCs w:val="22"/>
        </w:rPr>
        <w:t>,</w:t>
      </w:r>
      <w:r w:rsidRPr="00662DA3">
        <w:rPr>
          <w:szCs w:val="22"/>
        </w:rPr>
        <w:t xml:space="preserve"> </w:t>
      </w:r>
      <w:r w:rsidRPr="00381E7D">
        <w:rPr>
          <w:color w:val="000000"/>
          <w:szCs w:val="22"/>
        </w:rPr>
        <w:t>and include data from a variety of sources.  A toll-free number</w:t>
      </w:r>
      <w:r>
        <w:rPr>
          <w:color w:val="000000"/>
          <w:szCs w:val="22"/>
        </w:rPr>
        <w:t xml:space="preserve"> (</w:t>
      </w:r>
      <w:r w:rsidRPr="00381E7D">
        <w:rPr>
          <w:color w:val="000000"/>
          <w:szCs w:val="22"/>
        </w:rPr>
        <w:t>1-866-300-9399</w:t>
      </w:r>
      <w:r>
        <w:rPr>
          <w:color w:val="000000"/>
          <w:szCs w:val="22"/>
        </w:rPr>
        <w:t>)</w:t>
      </w:r>
      <w:r w:rsidRPr="00381E7D">
        <w:rPr>
          <w:color w:val="000000"/>
          <w:szCs w:val="22"/>
        </w:rPr>
        <w:t xml:space="preserve"> is also available to access current Florida red tide monitoring information. </w:t>
      </w:r>
    </w:p>
    <w:p w:rsidR="00485094" w:rsidRDefault="00485094" w:rsidP="00E10C9E">
      <w:pPr>
        <w:pStyle w:val="Bodytext"/>
        <w:rPr>
          <w:rFonts w:cs="Arial"/>
          <w:color w:val="000000"/>
          <w:szCs w:val="22"/>
        </w:rPr>
      </w:pPr>
    </w:p>
    <w:p w:rsidR="00485094" w:rsidRDefault="00485094" w:rsidP="00E10C9E">
      <w:pPr>
        <w:pStyle w:val="Bodytext"/>
        <w:rPr>
          <w:rFonts w:cs="Arial"/>
          <w:color w:val="000000"/>
          <w:szCs w:val="22"/>
        </w:rPr>
      </w:pPr>
      <w:r w:rsidRPr="00381E7D">
        <w:rPr>
          <w:rFonts w:cs="Arial"/>
          <w:color w:val="000000"/>
          <w:szCs w:val="22"/>
        </w:rPr>
        <w:t xml:space="preserve">To protect public health during bloom events, FDACS’ Division of Aquaculture closes shellﬁsh areas to harvesting when </w:t>
      </w:r>
      <w:r w:rsidRPr="00381E7D">
        <w:rPr>
          <w:rFonts w:cs="Arial"/>
          <w:i/>
          <w:iCs/>
          <w:color w:val="000000"/>
          <w:szCs w:val="22"/>
        </w:rPr>
        <w:t xml:space="preserve">K. brevis </w:t>
      </w:r>
      <w:r w:rsidRPr="00381E7D">
        <w:rPr>
          <w:rFonts w:cs="Arial"/>
          <w:color w:val="000000"/>
          <w:szCs w:val="22"/>
        </w:rPr>
        <w:t xml:space="preserve">cell counts are above 5,000 cells per liter.  They are reopened when test results provided by FWC–FWRI are acceptable.  </w:t>
      </w:r>
      <w:r>
        <w:rPr>
          <w:rFonts w:cs="Arial"/>
          <w:color w:val="000000"/>
          <w:szCs w:val="22"/>
        </w:rPr>
        <w:t xml:space="preserve">The </w:t>
      </w:r>
      <w:hyperlink r:id="rId40" w:history="1">
        <w:r w:rsidRPr="00B77587">
          <w:rPr>
            <w:rStyle w:val="Hyperlink"/>
            <w:rFonts w:cs="Arial"/>
            <w:szCs w:val="22"/>
          </w:rPr>
          <w:t xml:space="preserve">FDACS </w:t>
        </w:r>
        <w:r>
          <w:rPr>
            <w:rStyle w:val="Hyperlink"/>
            <w:rFonts w:cs="Arial"/>
            <w:szCs w:val="22"/>
          </w:rPr>
          <w:t>Shellfish Harvesting w</w:t>
        </w:r>
        <w:r w:rsidRPr="00B77587">
          <w:rPr>
            <w:rStyle w:val="Hyperlink"/>
            <w:rFonts w:cs="Arial"/>
            <w:szCs w:val="22"/>
          </w:rPr>
          <w:t>ebsite</w:t>
        </w:r>
      </w:hyperlink>
      <w:r>
        <w:rPr>
          <w:rFonts w:cs="Arial"/>
          <w:color w:val="000000"/>
          <w:szCs w:val="22"/>
        </w:rPr>
        <w:t xml:space="preserve"> lists current </w:t>
      </w:r>
      <w:r w:rsidRPr="00381E7D">
        <w:rPr>
          <w:rFonts w:cs="Arial"/>
          <w:color w:val="000000"/>
          <w:szCs w:val="22"/>
        </w:rPr>
        <w:t xml:space="preserve">shellﬁsh area closures.  This protocol is in compliance with Florida’s Marine Biotoxin Control Plan (FDACS, 2007).  </w:t>
      </w:r>
    </w:p>
    <w:p w:rsidR="00485094" w:rsidRDefault="00485094" w:rsidP="00E10C9E">
      <w:pPr>
        <w:pStyle w:val="Bodytext"/>
      </w:pPr>
    </w:p>
    <w:p w:rsidR="00485094" w:rsidRDefault="00485094" w:rsidP="00E10C9E">
      <w:pPr>
        <w:pStyle w:val="Bodytext"/>
        <w:rPr>
          <w:rFonts w:cs="Arial"/>
          <w:color w:val="000000"/>
          <w:szCs w:val="22"/>
        </w:rPr>
      </w:pPr>
      <w:r>
        <w:t xml:space="preserve">The </w:t>
      </w:r>
      <w:hyperlink r:id="rId41" w:history="1">
        <w:r w:rsidRPr="002B5A03">
          <w:rPr>
            <w:rStyle w:val="Hyperlink"/>
          </w:rPr>
          <w:t>Harmful Algal Blooms Observing System (HABSOS) website</w:t>
        </w:r>
      </w:hyperlink>
      <w:r>
        <w:t xml:space="preserve"> is a web-based tool developed by a regional coalition of U.S. and Mexican federal and state agencies, as well as international researchers, to collect and disseminate information on </w:t>
      </w:r>
      <w:r w:rsidRPr="002B5A03">
        <w:rPr>
          <w:i/>
        </w:rPr>
        <w:t>K</w:t>
      </w:r>
      <w:r>
        <w:rPr>
          <w:i/>
        </w:rPr>
        <w:t>. brevis.</w:t>
      </w:r>
    </w:p>
    <w:p w:rsidR="00485094" w:rsidRDefault="00485094" w:rsidP="00E10C9E">
      <w:pPr>
        <w:pStyle w:val="Bodytext"/>
        <w:rPr>
          <w:b/>
        </w:rPr>
      </w:pPr>
    </w:p>
    <w:p w:rsidR="0064329B" w:rsidRDefault="00485094" w:rsidP="009A402D">
      <w:pPr>
        <w:pStyle w:val="Heading5"/>
      </w:pPr>
      <w:r>
        <w:t>Other</w:t>
      </w:r>
      <w:r w:rsidRPr="00E10C9E">
        <w:t xml:space="preserve"> HAB Species</w:t>
      </w:r>
    </w:p>
    <w:p w:rsidR="00A75953" w:rsidRDefault="00485094" w:rsidP="00376229">
      <w:pPr>
        <w:rPr>
          <w:rFonts w:ascii="Arial" w:hAnsi="Arial" w:cs="Arial"/>
          <w:color w:val="000000"/>
          <w:sz w:val="22"/>
          <w:szCs w:val="22"/>
        </w:rPr>
      </w:pPr>
      <w:r w:rsidRPr="000025CA">
        <w:rPr>
          <w:rFonts w:ascii="Arial" w:hAnsi="Arial" w:cs="Arial"/>
          <w:color w:val="000000"/>
          <w:sz w:val="22"/>
          <w:szCs w:val="22"/>
        </w:rPr>
        <w:t xml:space="preserve">One of the most important HAB species in Florida other than </w:t>
      </w:r>
      <w:r w:rsidR="00865445" w:rsidRPr="00865445">
        <w:rPr>
          <w:rFonts w:ascii="Arial" w:hAnsi="Arial" w:cs="Arial"/>
          <w:i/>
          <w:color w:val="000000"/>
          <w:sz w:val="22"/>
          <w:szCs w:val="22"/>
        </w:rPr>
        <w:t>K. brevis</w:t>
      </w:r>
      <w:r w:rsidRPr="000025CA">
        <w:rPr>
          <w:rFonts w:ascii="Arial" w:hAnsi="Arial" w:cs="Arial"/>
          <w:color w:val="000000"/>
          <w:sz w:val="22"/>
          <w:szCs w:val="22"/>
        </w:rPr>
        <w:t xml:space="preserve"> is the saxitoxin-  producing dinoflagellate </w:t>
      </w:r>
      <w:r w:rsidR="00865445" w:rsidRPr="00865445">
        <w:rPr>
          <w:rFonts w:ascii="Arial" w:hAnsi="Arial" w:cs="Arial"/>
          <w:i/>
          <w:color w:val="000000"/>
          <w:sz w:val="22"/>
          <w:szCs w:val="22"/>
        </w:rPr>
        <w:t>Pyrodinium bahamense</w:t>
      </w:r>
      <w:r w:rsidRPr="000025CA">
        <w:rPr>
          <w:rFonts w:ascii="Arial" w:hAnsi="Arial" w:cs="Arial"/>
          <w:color w:val="000000"/>
          <w:sz w:val="22"/>
          <w:szCs w:val="22"/>
        </w:rPr>
        <w:t xml:space="preserve"> var. bahamense.  As a tropical species, it has seldom been observed at bloom levels north of Tampa Bay on the west coast and the Indian River Lagoon on the east coast, where the blooms are generally limited to May through October (Phlips et al.</w:t>
      </w:r>
      <w:r w:rsidR="009744BC">
        <w:rPr>
          <w:rFonts w:ascii="Arial" w:hAnsi="Arial" w:cs="Arial"/>
          <w:color w:val="000000"/>
          <w:sz w:val="22"/>
          <w:szCs w:val="22"/>
        </w:rPr>
        <w:t>,</w:t>
      </w:r>
      <w:r w:rsidRPr="000025CA">
        <w:rPr>
          <w:rFonts w:ascii="Arial" w:hAnsi="Arial" w:cs="Arial"/>
          <w:color w:val="000000"/>
          <w:sz w:val="22"/>
          <w:szCs w:val="22"/>
        </w:rPr>
        <w:t xml:space="preserve"> 2006).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w:t>
      </w:r>
      <w:r w:rsidR="00A75953">
        <w:rPr>
          <w:rFonts w:ascii="Arial" w:hAnsi="Arial" w:cs="Arial"/>
          <w:color w:val="000000"/>
          <w:sz w:val="22"/>
          <w:szCs w:val="22"/>
        </w:rPr>
        <w:t>can form</w:t>
      </w:r>
      <w:r w:rsidRPr="000025CA">
        <w:rPr>
          <w:rFonts w:ascii="Arial" w:hAnsi="Arial" w:cs="Arial"/>
          <w:color w:val="000000"/>
          <w:sz w:val="22"/>
          <w:szCs w:val="22"/>
        </w:rPr>
        <w:t xml:space="preserve"> intense blooms, which have been linked to the bioaccumulation of the neurotoxin in shellfish and fish (Landsberg et al.</w:t>
      </w:r>
      <w:r w:rsidR="009744BC">
        <w:rPr>
          <w:rFonts w:ascii="Arial" w:hAnsi="Arial" w:cs="Arial"/>
          <w:color w:val="000000"/>
          <w:sz w:val="22"/>
          <w:szCs w:val="22"/>
        </w:rPr>
        <w:t>,</w:t>
      </w:r>
      <w:r w:rsidRPr="000025CA">
        <w:rPr>
          <w:rFonts w:ascii="Arial" w:hAnsi="Arial" w:cs="Arial"/>
          <w:color w:val="000000"/>
          <w:sz w:val="22"/>
          <w:szCs w:val="22"/>
        </w:rPr>
        <w:t xml:space="preserve"> 2006)</w:t>
      </w:r>
      <w:r w:rsidR="00A75953">
        <w:rPr>
          <w:rFonts w:ascii="Arial" w:hAnsi="Arial" w:cs="Arial"/>
          <w:color w:val="000000"/>
          <w:sz w:val="22"/>
          <w:szCs w:val="22"/>
        </w:rPr>
        <w:t>.  While these blooms</w:t>
      </w:r>
      <w:r w:rsidRPr="000025CA">
        <w:rPr>
          <w:rFonts w:ascii="Arial" w:hAnsi="Arial" w:cs="Arial"/>
          <w:color w:val="000000"/>
          <w:sz w:val="22"/>
          <w:szCs w:val="22"/>
        </w:rPr>
        <w:t xml:space="preserve"> rais</w:t>
      </w:r>
      <w:r w:rsidR="00A75953">
        <w:rPr>
          <w:rFonts w:ascii="Arial" w:hAnsi="Arial" w:cs="Arial"/>
          <w:color w:val="000000"/>
          <w:sz w:val="22"/>
          <w:szCs w:val="22"/>
        </w:rPr>
        <w:t>e</w:t>
      </w:r>
      <w:r w:rsidRPr="000025CA">
        <w:rPr>
          <w:rFonts w:ascii="Arial" w:hAnsi="Arial" w:cs="Arial"/>
          <w:color w:val="000000"/>
          <w:sz w:val="22"/>
          <w:szCs w:val="22"/>
        </w:rPr>
        <w:t xml:space="preserve"> serious concerns about impact</w:t>
      </w:r>
      <w:r w:rsidR="00A75953">
        <w:rPr>
          <w:rFonts w:ascii="Arial" w:hAnsi="Arial" w:cs="Arial"/>
          <w:color w:val="000000"/>
          <w:sz w:val="22"/>
          <w:szCs w:val="22"/>
        </w:rPr>
        <w:t>s</w:t>
      </w:r>
      <w:r w:rsidRPr="000025CA">
        <w:rPr>
          <w:rFonts w:ascii="Arial" w:hAnsi="Arial" w:cs="Arial"/>
          <w:color w:val="000000"/>
          <w:sz w:val="22"/>
          <w:szCs w:val="22"/>
        </w:rPr>
        <w:t xml:space="preserve"> on the ecology of effected ecosystems and human health</w:t>
      </w:r>
      <w:r w:rsidR="00A75953">
        <w:rPr>
          <w:rFonts w:ascii="Arial" w:hAnsi="Arial" w:cs="Arial"/>
          <w:color w:val="000000"/>
          <w:sz w:val="22"/>
          <w:szCs w:val="22"/>
        </w:rPr>
        <w:t xml:space="preserve">, the blooms have been occurring naturally at levels toxic to </w:t>
      </w:r>
      <w:proofErr w:type="spellStart"/>
      <w:r w:rsidR="00A75953">
        <w:rPr>
          <w:rFonts w:ascii="Arial" w:hAnsi="Arial" w:cs="Arial"/>
          <w:color w:val="000000"/>
          <w:sz w:val="22"/>
          <w:szCs w:val="22"/>
        </w:rPr>
        <w:t>nearshore</w:t>
      </w:r>
      <w:proofErr w:type="spellEnd"/>
      <w:r w:rsidR="00A75953">
        <w:rPr>
          <w:rFonts w:ascii="Arial" w:hAnsi="Arial" w:cs="Arial"/>
          <w:color w:val="000000"/>
          <w:sz w:val="22"/>
          <w:szCs w:val="22"/>
        </w:rPr>
        <w:t xml:space="preserve"> Florida fishes and seabirds for 25 million years (</w:t>
      </w:r>
      <w:proofErr w:type="spellStart"/>
      <w:r w:rsidR="00A75953">
        <w:rPr>
          <w:rFonts w:ascii="Arial" w:hAnsi="Arial" w:cs="Arial"/>
          <w:color w:val="000000"/>
          <w:sz w:val="22"/>
          <w:szCs w:val="22"/>
        </w:rPr>
        <w:t>Emslie</w:t>
      </w:r>
      <w:proofErr w:type="spellEnd"/>
      <w:r w:rsidR="00A75953">
        <w:rPr>
          <w:rFonts w:ascii="Arial" w:hAnsi="Arial" w:cs="Arial"/>
          <w:color w:val="000000"/>
          <w:sz w:val="22"/>
          <w:szCs w:val="22"/>
        </w:rPr>
        <w:t xml:space="preserve"> et al., 1996)</w:t>
      </w:r>
      <w:r w:rsidRPr="000025CA">
        <w:rPr>
          <w:rFonts w:ascii="Arial" w:hAnsi="Arial" w:cs="Arial"/>
          <w:color w:val="000000"/>
          <w:sz w:val="22"/>
          <w:szCs w:val="22"/>
        </w:rPr>
        <w:t xml:space="preserve">.  </w:t>
      </w:r>
    </w:p>
    <w:p w:rsidR="006F7EFE" w:rsidRDefault="006F7EFE"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 xml:space="preserve">In Florida,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is most prevalent in flow</w:t>
      </w:r>
      <w:r w:rsidR="009744BC">
        <w:rPr>
          <w:rFonts w:ascii="Arial" w:hAnsi="Arial" w:cs="Arial"/>
          <w:color w:val="000000"/>
          <w:sz w:val="22"/>
          <w:szCs w:val="22"/>
        </w:rPr>
        <w:t>-</w:t>
      </w:r>
      <w:r w:rsidRPr="000025CA">
        <w:rPr>
          <w:rFonts w:ascii="Arial" w:hAnsi="Arial" w:cs="Arial"/>
          <w:color w:val="000000"/>
          <w:sz w:val="22"/>
          <w:szCs w:val="22"/>
        </w:rPr>
        <w:t xml:space="preserve">restricted lagoons and bays with long water residence times and salinities between 10 and 30 </w:t>
      </w:r>
      <w:r w:rsidR="009744BC">
        <w:rPr>
          <w:rFonts w:ascii="Arial" w:hAnsi="Arial" w:cs="Arial"/>
          <w:color w:val="000000"/>
          <w:sz w:val="22"/>
          <w:szCs w:val="22"/>
        </w:rPr>
        <w:t>practical salinity units (</w:t>
      </w:r>
      <w:proofErr w:type="spellStart"/>
      <w:r w:rsidRPr="000025CA">
        <w:rPr>
          <w:rFonts w:ascii="Arial" w:hAnsi="Arial" w:cs="Arial"/>
          <w:color w:val="000000"/>
          <w:sz w:val="22"/>
          <w:szCs w:val="22"/>
        </w:rPr>
        <w:t>psu</w:t>
      </w:r>
      <w:proofErr w:type="spellEnd"/>
      <w:r w:rsidR="009744BC">
        <w:rPr>
          <w:rFonts w:ascii="Arial" w:hAnsi="Arial" w:cs="Arial"/>
          <w:color w:val="000000"/>
          <w:sz w:val="22"/>
          <w:szCs w:val="22"/>
        </w:rPr>
        <w:t>)</w:t>
      </w:r>
      <w:r w:rsidRPr="000025CA">
        <w:rPr>
          <w:rFonts w:ascii="Arial" w:hAnsi="Arial" w:cs="Arial"/>
          <w:color w:val="000000"/>
          <w:sz w:val="22"/>
          <w:szCs w:val="22"/>
        </w:rPr>
        <w:t xml:space="preserve">.  The latter conditions competitively favor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because of its slow growth rates and </w:t>
      </w:r>
      <w:proofErr w:type="spellStart"/>
      <w:r w:rsidRPr="000025CA">
        <w:rPr>
          <w:rFonts w:ascii="Arial" w:hAnsi="Arial" w:cs="Arial"/>
          <w:color w:val="000000"/>
          <w:sz w:val="22"/>
          <w:szCs w:val="22"/>
        </w:rPr>
        <w:t>euryhaline</w:t>
      </w:r>
      <w:proofErr w:type="spellEnd"/>
      <w:r w:rsidRPr="000025CA">
        <w:rPr>
          <w:rFonts w:ascii="Arial" w:hAnsi="Arial" w:cs="Arial"/>
          <w:color w:val="000000"/>
          <w:sz w:val="22"/>
          <w:szCs w:val="22"/>
        </w:rPr>
        <w:t xml:space="preserve"> character (Phlips et al.</w:t>
      </w:r>
      <w:r w:rsidR="008B720C">
        <w:rPr>
          <w:rFonts w:ascii="Arial" w:hAnsi="Arial" w:cs="Arial"/>
          <w:color w:val="000000"/>
          <w:sz w:val="22"/>
          <w:szCs w:val="22"/>
        </w:rPr>
        <w:t>,</w:t>
      </w:r>
      <w:r w:rsidRPr="000025CA">
        <w:rPr>
          <w:rFonts w:ascii="Arial" w:hAnsi="Arial" w:cs="Arial"/>
          <w:color w:val="000000"/>
          <w:sz w:val="22"/>
          <w:szCs w:val="22"/>
        </w:rPr>
        <w:t xml:space="preserve"> 2006).  Blooms also appear to be accentuated during periods of elevated rainfall and nutrient loads to lagoons (Phlips et al.</w:t>
      </w:r>
      <w:r w:rsidR="008B720C">
        <w:rPr>
          <w:rFonts w:ascii="Arial" w:hAnsi="Arial" w:cs="Arial"/>
          <w:color w:val="000000"/>
          <w:sz w:val="22"/>
          <w:szCs w:val="22"/>
        </w:rPr>
        <w:t>,</w:t>
      </w:r>
      <w:r w:rsidRPr="000025CA">
        <w:rPr>
          <w:rFonts w:ascii="Arial" w:hAnsi="Arial" w:cs="Arial"/>
          <w:color w:val="000000"/>
          <w:sz w:val="22"/>
          <w:szCs w:val="22"/>
        </w:rPr>
        <w:t xml:space="preserve"> 2010a), suggesting a link between coastal eutrophication and the in</w:t>
      </w:r>
      <w:r>
        <w:rPr>
          <w:rFonts w:ascii="Arial" w:hAnsi="Arial" w:cs="Arial"/>
          <w:color w:val="000000"/>
          <w:sz w:val="22"/>
          <w:szCs w:val="22"/>
        </w:rPr>
        <w:t>tensity and frequency of blooms</w:t>
      </w:r>
      <w:r w:rsidRPr="000025CA">
        <w:rPr>
          <w:rFonts w:ascii="Arial" w:hAnsi="Arial" w:cs="Arial"/>
          <w:color w:val="000000"/>
          <w:sz w:val="22"/>
          <w:szCs w:val="22"/>
        </w:rPr>
        <w:t xml:space="preserve">.  </w:t>
      </w:r>
      <w:r w:rsidR="00A75953">
        <w:rPr>
          <w:rFonts w:ascii="Arial" w:hAnsi="Arial" w:cs="Arial"/>
          <w:color w:val="000000"/>
          <w:sz w:val="22"/>
          <w:szCs w:val="22"/>
        </w:rPr>
        <w:t xml:space="preserve">However, discharges of naturally tannic waters from wetlands during high rainfall events can also produce favorable </w:t>
      </w:r>
      <w:r w:rsidR="00A75953">
        <w:rPr>
          <w:rFonts w:ascii="Arial" w:hAnsi="Arial" w:cs="Arial"/>
          <w:color w:val="000000"/>
          <w:sz w:val="22"/>
          <w:szCs w:val="22"/>
        </w:rPr>
        <w:lastRenderedPageBreak/>
        <w:t xml:space="preserve">conditions for this organism.  </w:t>
      </w:r>
      <w:r w:rsidRPr="000025CA">
        <w:rPr>
          <w:rFonts w:ascii="Arial" w:hAnsi="Arial" w:cs="Arial"/>
          <w:color w:val="000000"/>
          <w:sz w:val="22"/>
          <w:szCs w:val="22"/>
        </w:rPr>
        <w:t>These observations also point to the potential role of future climate trends in defining the dynamics of HAB species in Florida (Phlips et al.</w:t>
      </w:r>
      <w:r w:rsidR="006F7EFE">
        <w:rPr>
          <w:rFonts w:ascii="Arial" w:hAnsi="Arial" w:cs="Arial"/>
          <w:color w:val="000000"/>
          <w:sz w:val="22"/>
          <w:szCs w:val="22"/>
        </w:rPr>
        <w:t>,</w:t>
      </w:r>
      <w:r w:rsidRPr="000025CA">
        <w:rPr>
          <w:rFonts w:ascii="Arial" w:hAnsi="Arial" w:cs="Arial"/>
          <w:color w:val="000000"/>
          <w:sz w:val="22"/>
          <w:szCs w:val="22"/>
        </w:rPr>
        <w:t xml:space="preserve"> 2010a).</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A number of other bloom-forming marine species have potentially harmful impacts in Florida</w:t>
      </w:r>
      <w:r w:rsidR="006F7EFE">
        <w:rPr>
          <w:rFonts w:ascii="Arial" w:hAnsi="Arial" w:cs="Arial"/>
          <w:color w:val="000000"/>
          <w:sz w:val="22"/>
          <w:szCs w:val="22"/>
        </w:rPr>
        <w:t>; these</w:t>
      </w:r>
      <w:r w:rsidRPr="000025CA">
        <w:rPr>
          <w:rFonts w:ascii="Arial" w:hAnsi="Arial" w:cs="Arial"/>
          <w:color w:val="000000"/>
          <w:sz w:val="22"/>
          <w:szCs w:val="22"/>
        </w:rPr>
        <w:t xml:space="preserve"> can be roughly subdivided into two categories</w:t>
      </w:r>
      <w:r w:rsidR="008B720C">
        <w:rPr>
          <w:rFonts w:ascii="Arial" w:hAnsi="Arial" w:cs="Arial"/>
          <w:color w:val="000000"/>
          <w:sz w:val="22"/>
          <w:szCs w:val="22"/>
        </w:rPr>
        <w:t xml:space="preserve">:  </w:t>
      </w:r>
      <w:r w:rsidRPr="000025CA">
        <w:rPr>
          <w:rFonts w:ascii="Arial" w:hAnsi="Arial" w:cs="Arial"/>
          <w:color w:val="000000"/>
          <w:sz w:val="22"/>
          <w:szCs w:val="22"/>
        </w:rPr>
        <w:t xml:space="preserve">toxin-producing species and taxa that form blooms associated with other important problems, such as low oxygen concentrations, physical damage to organisms, or general loss of habitat.  Potential toxin-producing </w:t>
      </w:r>
      <w:proofErr w:type="spellStart"/>
      <w:r w:rsidRPr="000025CA">
        <w:rPr>
          <w:rFonts w:ascii="Arial" w:hAnsi="Arial" w:cs="Arial"/>
          <w:color w:val="000000"/>
          <w:sz w:val="22"/>
          <w:szCs w:val="22"/>
        </w:rPr>
        <w:t>planktonic</w:t>
      </w:r>
      <w:proofErr w:type="spellEnd"/>
      <w:r w:rsidRPr="000025CA">
        <w:rPr>
          <w:rFonts w:ascii="Arial" w:hAnsi="Arial" w:cs="Arial"/>
          <w:color w:val="000000"/>
          <w:sz w:val="22"/>
          <w:szCs w:val="22"/>
        </w:rPr>
        <w:t xml:space="preserve"> marine HAB species include the diatom group </w:t>
      </w:r>
      <w:r w:rsidR="00865445" w:rsidRPr="00865445">
        <w:rPr>
          <w:rFonts w:ascii="Arial" w:hAnsi="Arial" w:cs="Arial"/>
          <w:i/>
          <w:color w:val="000000"/>
          <w:sz w:val="22"/>
          <w:szCs w:val="22"/>
        </w:rPr>
        <w:t>Pseudo-</w:t>
      </w:r>
      <w:proofErr w:type="spellStart"/>
      <w:r w:rsidR="00865445" w:rsidRPr="00865445">
        <w:rPr>
          <w:rFonts w:ascii="Arial" w:hAnsi="Arial" w:cs="Arial"/>
          <w:i/>
          <w:color w:val="000000"/>
          <w:sz w:val="22"/>
          <w:szCs w:val="22"/>
        </w:rPr>
        <w:t>nitzschia</w:t>
      </w:r>
      <w:proofErr w:type="spellEnd"/>
      <w:r w:rsidRPr="000025CA">
        <w:rPr>
          <w:rFonts w:ascii="Arial" w:hAnsi="Arial" w:cs="Arial"/>
          <w:color w:val="000000"/>
          <w:sz w:val="22"/>
          <w:szCs w:val="22"/>
        </w:rPr>
        <w:t xml:space="preserve"> spp., the </w:t>
      </w:r>
      <w:proofErr w:type="spellStart"/>
      <w:r w:rsidRPr="000025CA">
        <w:rPr>
          <w:rFonts w:ascii="Arial" w:hAnsi="Arial" w:cs="Arial"/>
          <w:color w:val="000000"/>
          <w:sz w:val="22"/>
          <w:szCs w:val="22"/>
        </w:rPr>
        <w:t>dinoflagellates</w:t>
      </w:r>
      <w:proofErr w:type="spellEnd"/>
      <w:r w:rsidRPr="000025CA">
        <w:rPr>
          <w:rFonts w:ascii="Arial" w:hAnsi="Arial" w:cs="Arial"/>
          <w:color w:val="000000"/>
          <w:sz w:val="22"/>
          <w:szCs w:val="22"/>
        </w:rPr>
        <w:t xml:space="preserve"> </w:t>
      </w:r>
      <w:r w:rsidR="00865445" w:rsidRPr="00865445">
        <w:rPr>
          <w:rFonts w:ascii="Arial" w:hAnsi="Arial" w:cs="Arial"/>
          <w:i/>
          <w:color w:val="000000"/>
          <w:sz w:val="22"/>
          <w:szCs w:val="22"/>
        </w:rPr>
        <w:t xml:space="preserve">Alexandrium monilatum, Takayama pulchella, Karenia mikimotoi, K. </w:t>
      </w:r>
      <w:proofErr w:type="spellStart"/>
      <w:r w:rsidR="00865445" w:rsidRPr="00865445">
        <w:rPr>
          <w:rFonts w:ascii="Arial" w:hAnsi="Arial" w:cs="Arial"/>
          <w:i/>
          <w:color w:val="000000"/>
          <w:sz w:val="22"/>
          <w:szCs w:val="22"/>
        </w:rPr>
        <w:t>selliformis</w:t>
      </w:r>
      <w:proofErr w:type="spellEnd"/>
      <w:r w:rsidR="00865445" w:rsidRPr="00865445">
        <w:rPr>
          <w:rFonts w:ascii="Arial" w:hAnsi="Arial" w:cs="Arial"/>
          <w:i/>
          <w:color w:val="000000"/>
          <w:sz w:val="22"/>
          <w:szCs w:val="22"/>
        </w:rPr>
        <w:t xml:space="preserve">, Karlodinium veneﬁcum, </w:t>
      </w:r>
      <w:proofErr w:type="spellStart"/>
      <w:r w:rsidR="00865445" w:rsidRPr="00865445">
        <w:rPr>
          <w:rFonts w:ascii="Arial" w:hAnsi="Arial" w:cs="Arial"/>
          <w:i/>
          <w:color w:val="000000"/>
          <w:sz w:val="22"/>
          <w:szCs w:val="22"/>
        </w:rPr>
        <w:t>Prorocentrum</w:t>
      </w:r>
      <w:proofErr w:type="spellEnd"/>
      <w:r w:rsidR="00865445" w:rsidRPr="00865445">
        <w:rPr>
          <w:rFonts w:ascii="Arial" w:hAnsi="Arial" w:cs="Arial"/>
          <w:i/>
          <w:color w:val="000000"/>
          <w:sz w:val="22"/>
          <w:szCs w:val="22"/>
        </w:rPr>
        <w:t xml:space="preserve"> minimum, P</w:t>
      </w:r>
      <w:r w:rsidR="006F7EFE">
        <w:rPr>
          <w:rFonts w:ascii="Arial" w:hAnsi="Arial" w:cs="Arial"/>
          <w:i/>
          <w:color w:val="000000"/>
          <w:sz w:val="22"/>
          <w:szCs w:val="22"/>
        </w:rPr>
        <w:t>.</w:t>
      </w:r>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rhathymum</w:t>
      </w:r>
      <w:proofErr w:type="spellEnd"/>
      <w:r w:rsidR="00865445" w:rsidRPr="00865445">
        <w:rPr>
          <w:rFonts w:ascii="Arial" w:hAnsi="Arial" w:cs="Arial"/>
          <w:i/>
          <w:color w:val="000000"/>
          <w:sz w:val="22"/>
          <w:szCs w:val="22"/>
        </w:rPr>
        <w:t xml:space="preserve">, </w:t>
      </w:r>
      <w:r w:rsidR="00865445" w:rsidRPr="00865445">
        <w:rPr>
          <w:rFonts w:ascii="Arial" w:hAnsi="Arial" w:cs="Arial"/>
          <w:color w:val="000000"/>
          <w:sz w:val="22"/>
          <w:szCs w:val="22"/>
        </w:rPr>
        <w:t>and</w:t>
      </w:r>
      <w:r w:rsidR="006F7EFE">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Cochliodinium</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polykrikoides</w:t>
      </w:r>
      <w:proofErr w:type="spellEnd"/>
      <w:r w:rsidR="00865445" w:rsidRPr="00865445">
        <w:rPr>
          <w:rFonts w:ascii="Arial" w:hAnsi="Arial" w:cs="Arial"/>
          <w:i/>
          <w:color w:val="000000"/>
          <w:sz w:val="22"/>
          <w:szCs w:val="22"/>
        </w:rPr>
        <w:t>,</w:t>
      </w:r>
      <w:r w:rsidRPr="000025CA">
        <w:rPr>
          <w:rFonts w:ascii="Arial" w:hAnsi="Arial" w:cs="Arial"/>
          <w:color w:val="000000"/>
          <w:sz w:val="22"/>
          <w:szCs w:val="22"/>
        </w:rPr>
        <w:t xml:space="preserve"> and the </w:t>
      </w:r>
      <w:proofErr w:type="spellStart"/>
      <w:r w:rsidRPr="000025CA">
        <w:rPr>
          <w:rFonts w:ascii="Arial" w:hAnsi="Arial" w:cs="Arial"/>
          <w:color w:val="000000"/>
          <w:sz w:val="22"/>
          <w:szCs w:val="22"/>
        </w:rPr>
        <w:t>microflagellates</w:t>
      </w:r>
      <w:proofErr w:type="spellEnd"/>
      <w:r w:rsidRPr="000025CA">
        <w:rPr>
          <w:rFonts w:ascii="Arial" w:hAnsi="Arial" w:cs="Arial"/>
          <w:color w:val="000000"/>
          <w:sz w:val="22"/>
          <w:szCs w:val="22"/>
        </w:rPr>
        <w:t xml:space="preserve"> </w:t>
      </w:r>
      <w:r w:rsidR="00865445" w:rsidRPr="00865445">
        <w:rPr>
          <w:rFonts w:ascii="Arial" w:hAnsi="Arial" w:cs="Arial"/>
          <w:i/>
          <w:color w:val="000000"/>
          <w:sz w:val="22"/>
          <w:szCs w:val="22"/>
        </w:rPr>
        <w:t xml:space="preserve">Prymnesium </w:t>
      </w:r>
      <w:r w:rsidRPr="009744BC">
        <w:rPr>
          <w:rFonts w:ascii="Arial" w:hAnsi="Arial" w:cs="Arial"/>
          <w:color w:val="000000"/>
          <w:sz w:val="22"/>
          <w:szCs w:val="22"/>
        </w:rPr>
        <w:t>spp</w:t>
      </w:r>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Chrysochromulina</w:t>
      </w:r>
      <w:proofErr w:type="spellEnd"/>
      <w:r w:rsidR="00865445" w:rsidRPr="00865445">
        <w:rPr>
          <w:rFonts w:ascii="Arial" w:hAnsi="Arial" w:cs="Arial"/>
          <w:i/>
          <w:color w:val="000000"/>
          <w:sz w:val="22"/>
          <w:szCs w:val="22"/>
        </w:rPr>
        <w:t xml:space="preserve"> </w:t>
      </w:r>
      <w:r w:rsidRPr="009744BC">
        <w:rPr>
          <w:rFonts w:ascii="Arial" w:hAnsi="Arial" w:cs="Arial"/>
          <w:color w:val="000000"/>
          <w:sz w:val="22"/>
          <w:szCs w:val="22"/>
        </w:rPr>
        <w:t>spp</w:t>
      </w:r>
      <w:r w:rsidR="00865445" w:rsidRPr="00865445">
        <w:rPr>
          <w:rFonts w:ascii="Arial" w:hAnsi="Arial" w:cs="Arial"/>
          <w:i/>
          <w:color w:val="000000"/>
          <w:sz w:val="22"/>
          <w:szCs w:val="22"/>
        </w:rPr>
        <w:t>.</w:t>
      </w:r>
      <w:r w:rsidR="006F7EFE">
        <w:rPr>
          <w:rFonts w:ascii="Arial" w:hAnsi="Arial" w:cs="Arial"/>
          <w:i/>
          <w:color w:val="000000"/>
          <w:sz w:val="22"/>
          <w:szCs w:val="22"/>
        </w:rPr>
        <w:t>,</w:t>
      </w:r>
      <w:r w:rsidRPr="000025CA">
        <w:rPr>
          <w:rFonts w:ascii="Arial" w:hAnsi="Arial" w:cs="Arial"/>
          <w:color w:val="000000"/>
          <w:sz w:val="22"/>
          <w:szCs w:val="22"/>
        </w:rPr>
        <w:t xml:space="preserve"> and </w:t>
      </w:r>
      <w:r w:rsidR="00865445" w:rsidRPr="00865445">
        <w:rPr>
          <w:rFonts w:ascii="Arial" w:hAnsi="Arial" w:cs="Arial"/>
          <w:i/>
          <w:color w:val="000000"/>
          <w:sz w:val="22"/>
          <w:szCs w:val="22"/>
        </w:rPr>
        <w:t>Chattonella</w:t>
      </w:r>
      <w:r w:rsidRPr="000025CA">
        <w:rPr>
          <w:rFonts w:ascii="Arial" w:hAnsi="Arial" w:cs="Arial"/>
          <w:color w:val="000000"/>
          <w:sz w:val="22"/>
          <w:szCs w:val="22"/>
        </w:rPr>
        <w:t xml:space="preserve"> sp. (Landsberg</w:t>
      </w:r>
      <w:r w:rsidR="009744BC">
        <w:rPr>
          <w:rFonts w:ascii="Arial" w:hAnsi="Arial" w:cs="Arial"/>
          <w:color w:val="000000"/>
          <w:sz w:val="22"/>
          <w:szCs w:val="22"/>
        </w:rPr>
        <w:t>,</w:t>
      </w:r>
      <w:r w:rsidRPr="000025CA">
        <w:rPr>
          <w:rFonts w:ascii="Arial" w:hAnsi="Arial" w:cs="Arial"/>
          <w:color w:val="000000"/>
          <w:sz w:val="22"/>
          <w:szCs w:val="22"/>
        </w:rPr>
        <w:t xml:space="preserve"> 2002).  Many of these species </w:t>
      </w:r>
      <w:r w:rsidR="009744BC">
        <w:rPr>
          <w:rFonts w:ascii="Arial" w:hAnsi="Arial" w:cs="Arial"/>
          <w:color w:val="000000"/>
          <w:sz w:val="22"/>
          <w:szCs w:val="22"/>
        </w:rPr>
        <w:t>are</w:t>
      </w:r>
      <w:r w:rsidRPr="000025CA">
        <w:rPr>
          <w:rFonts w:ascii="Arial" w:hAnsi="Arial" w:cs="Arial"/>
          <w:color w:val="000000"/>
          <w:sz w:val="22"/>
          <w:szCs w:val="22"/>
        </w:rPr>
        <w:t xml:space="preserve"> associated with fish or shellfish kills in various ecosystems around the world (Landsberg</w:t>
      </w:r>
      <w:r w:rsidR="009744BC">
        <w:rPr>
          <w:rFonts w:ascii="Arial" w:hAnsi="Arial" w:cs="Arial"/>
          <w:color w:val="000000"/>
          <w:sz w:val="22"/>
          <w:szCs w:val="22"/>
        </w:rPr>
        <w:t>,</w:t>
      </w:r>
      <w:r w:rsidRPr="000025CA">
        <w:rPr>
          <w:rFonts w:ascii="Arial" w:hAnsi="Arial" w:cs="Arial"/>
          <w:color w:val="000000"/>
          <w:sz w:val="22"/>
          <w:szCs w:val="22"/>
        </w:rPr>
        <w:t xml:space="preserve"> 2002). </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Although all of these species have been observed at bloom levels in Florida (Phlips et al.</w:t>
      </w:r>
      <w:r w:rsidR="006F7EFE">
        <w:rPr>
          <w:rFonts w:ascii="Arial" w:hAnsi="Arial" w:cs="Arial"/>
          <w:color w:val="000000"/>
          <w:sz w:val="22"/>
          <w:szCs w:val="22"/>
        </w:rPr>
        <w:t>,</w:t>
      </w:r>
      <w:r w:rsidRPr="000025CA">
        <w:rPr>
          <w:rFonts w:ascii="Arial" w:hAnsi="Arial" w:cs="Arial"/>
          <w:color w:val="000000"/>
          <w:sz w:val="22"/>
          <w:szCs w:val="22"/>
        </w:rPr>
        <w:t xml:space="preserve"> 2010b), considerable uncertainty remains over the relative toxicity of the specific strains encountered in Florida.  Certain species of benthic algae also produce toxins that can impact human health, such as the </w:t>
      </w:r>
      <w:proofErr w:type="spellStart"/>
      <w:r w:rsidRPr="000025CA">
        <w:rPr>
          <w:rFonts w:ascii="Arial" w:hAnsi="Arial" w:cs="Arial"/>
          <w:color w:val="000000"/>
          <w:sz w:val="22"/>
          <w:szCs w:val="22"/>
        </w:rPr>
        <w:t>ciguatoxin</w:t>
      </w:r>
      <w:proofErr w:type="spellEnd"/>
      <w:r w:rsidRPr="000025CA">
        <w:rPr>
          <w:rFonts w:ascii="Arial" w:hAnsi="Arial" w:cs="Arial"/>
          <w:color w:val="000000"/>
          <w:sz w:val="22"/>
          <w:szCs w:val="22"/>
        </w:rPr>
        <w:t xml:space="preserve">-producing dinoflagellate </w:t>
      </w:r>
      <w:proofErr w:type="spellStart"/>
      <w:r w:rsidR="00865445" w:rsidRPr="00865445">
        <w:rPr>
          <w:rFonts w:ascii="Arial" w:hAnsi="Arial" w:cs="Arial"/>
          <w:i/>
          <w:color w:val="000000"/>
          <w:sz w:val="22"/>
          <w:szCs w:val="22"/>
        </w:rPr>
        <w:t>Gamberdiscus</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toxicus</w:t>
      </w:r>
      <w:proofErr w:type="spellEnd"/>
      <w:r w:rsidR="00865445" w:rsidRPr="00865445">
        <w:rPr>
          <w:rFonts w:ascii="Arial" w:hAnsi="Arial" w:cs="Arial"/>
          <w:i/>
          <w:color w:val="000000"/>
          <w:sz w:val="22"/>
          <w:szCs w:val="22"/>
        </w:rPr>
        <w:t>,</w:t>
      </w:r>
      <w:r w:rsidRPr="000025CA">
        <w:rPr>
          <w:rFonts w:ascii="Arial" w:hAnsi="Arial" w:cs="Arial"/>
          <w:color w:val="000000"/>
          <w:sz w:val="22"/>
          <w:szCs w:val="22"/>
        </w:rPr>
        <w:t xml:space="preserve"> implicated in ciguatera incidents in south Florida (Landsberg</w:t>
      </w:r>
      <w:r w:rsidR="006F7EFE">
        <w:rPr>
          <w:rFonts w:ascii="Arial" w:hAnsi="Arial" w:cs="Arial"/>
          <w:color w:val="000000"/>
          <w:sz w:val="22"/>
          <w:szCs w:val="22"/>
        </w:rPr>
        <w:t>,</w:t>
      </w:r>
      <w:r w:rsidRPr="000025CA">
        <w:rPr>
          <w:rFonts w:ascii="Arial" w:hAnsi="Arial" w:cs="Arial"/>
          <w:color w:val="000000"/>
          <w:sz w:val="22"/>
          <w:szCs w:val="22"/>
        </w:rPr>
        <w:t xml:space="preserve"> 2002).  </w:t>
      </w:r>
    </w:p>
    <w:p w:rsidR="00485094" w:rsidRDefault="00485094" w:rsidP="00376229">
      <w:pPr>
        <w:rPr>
          <w:rFonts w:ascii="Arial" w:hAnsi="Arial" w:cs="Arial"/>
          <w:color w:val="000000"/>
          <w:sz w:val="22"/>
          <w:szCs w:val="22"/>
        </w:rPr>
      </w:pP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The list of HAB species linked to hypoxia or other density-related issues (e.g.</w:t>
      </w:r>
      <w:r w:rsidR="00550C22">
        <w:rPr>
          <w:rFonts w:ascii="Arial" w:hAnsi="Arial" w:cs="Arial"/>
          <w:color w:val="000000"/>
          <w:sz w:val="22"/>
          <w:szCs w:val="22"/>
        </w:rPr>
        <w:t>,</w:t>
      </w:r>
      <w:r w:rsidRPr="000025CA">
        <w:rPr>
          <w:rFonts w:ascii="Arial" w:hAnsi="Arial" w:cs="Arial"/>
          <w:color w:val="000000"/>
          <w:sz w:val="22"/>
          <w:szCs w:val="22"/>
        </w:rPr>
        <w:t xml:space="preserve"> </w:t>
      </w:r>
      <w:proofErr w:type="spellStart"/>
      <w:r w:rsidRPr="000025CA">
        <w:rPr>
          <w:rFonts w:ascii="Arial" w:hAnsi="Arial" w:cs="Arial"/>
          <w:color w:val="000000"/>
          <w:sz w:val="22"/>
          <w:szCs w:val="22"/>
        </w:rPr>
        <w:t>allelopathy</w:t>
      </w:r>
      <w:proofErr w:type="spellEnd"/>
      <w:r w:rsidRPr="000025CA">
        <w:rPr>
          <w:rFonts w:ascii="Arial" w:hAnsi="Arial" w:cs="Arial"/>
          <w:color w:val="000000"/>
          <w:sz w:val="22"/>
          <w:szCs w:val="22"/>
        </w:rPr>
        <w:t xml:space="preserve">, physical damage to gills of fish) is very long, including almost any species that reaches exceptionally high biomass.  Examples include the widespread bloom-forming </w:t>
      </w:r>
      <w:proofErr w:type="spellStart"/>
      <w:r w:rsidRPr="000025CA">
        <w:rPr>
          <w:rFonts w:ascii="Arial" w:hAnsi="Arial" w:cs="Arial"/>
          <w:color w:val="000000"/>
          <w:sz w:val="22"/>
          <w:szCs w:val="22"/>
        </w:rPr>
        <w:t>planktonic</w:t>
      </w:r>
      <w:proofErr w:type="spellEnd"/>
      <w:r w:rsidRPr="000025CA">
        <w:rPr>
          <w:rFonts w:ascii="Arial" w:hAnsi="Arial" w:cs="Arial"/>
          <w:color w:val="000000"/>
          <w:sz w:val="22"/>
          <w:szCs w:val="22"/>
        </w:rPr>
        <w:t xml:space="preserve"> dinoflagellate </w:t>
      </w:r>
      <w:proofErr w:type="spellStart"/>
      <w:r w:rsidR="00865445" w:rsidRPr="00865445">
        <w:rPr>
          <w:rFonts w:ascii="Arial" w:hAnsi="Arial" w:cs="Arial"/>
          <w:i/>
          <w:color w:val="000000"/>
          <w:sz w:val="22"/>
          <w:szCs w:val="22"/>
        </w:rPr>
        <w:t>Akashiwo</w:t>
      </w:r>
      <w:proofErr w:type="spellEnd"/>
      <w:r w:rsidR="00865445" w:rsidRPr="00865445">
        <w:rPr>
          <w:rFonts w:ascii="Arial" w:hAnsi="Arial" w:cs="Arial"/>
          <w:i/>
          <w:color w:val="000000"/>
          <w:sz w:val="22"/>
          <w:szCs w:val="22"/>
        </w:rPr>
        <w:t xml:space="preserve"> </w:t>
      </w:r>
      <w:proofErr w:type="spellStart"/>
      <w:r w:rsidR="00865445" w:rsidRPr="00865445">
        <w:rPr>
          <w:rFonts w:ascii="Arial" w:hAnsi="Arial" w:cs="Arial"/>
          <w:i/>
          <w:color w:val="000000"/>
          <w:sz w:val="22"/>
          <w:szCs w:val="22"/>
        </w:rPr>
        <w:t>sanguinea</w:t>
      </w:r>
      <w:proofErr w:type="spellEnd"/>
      <w:r w:rsidRPr="000025CA">
        <w:rPr>
          <w:rFonts w:ascii="Arial" w:hAnsi="Arial" w:cs="Arial"/>
          <w:color w:val="000000"/>
          <w:sz w:val="22"/>
          <w:szCs w:val="22"/>
        </w:rPr>
        <w:t>, in the Indian River Lagoon and the St. Lucie Estuary</w:t>
      </w:r>
      <w:r w:rsidR="006F7EFE">
        <w:rPr>
          <w:rFonts w:ascii="Arial" w:hAnsi="Arial" w:cs="Arial"/>
          <w:color w:val="000000"/>
          <w:sz w:val="22"/>
          <w:szCs w:val="22"/>
        </w:rPr>
        <w:t>,</w:t>
      </w:r>
      <w:r w:rsidRPr="000025CA">
        <w:rPr>
          <w:rFonts w:ascii="Arial" w:hAnsi="Arial" w:cs="Arial"/>
          <w:color w:val="000000"/>
          <w:sz w:val="22"/>
          <w:szCs w:val="22"/>
        </w:rPr>
        <w:t xml:space="preserve"> and the </w:t>
      </w:r>
      <w:proofErr w:type="spellStart"/>
      <w:r w:rsidRPr="000025CA">
        <w:rPr>
          <w:rFonts w:ascii="Arial" w:hAnsi="Arial" w:cs="Arial"/>
          <w:color w:val="000000"/>
          <w:sz w:val="22"/>
          <w:szCs w:val="22"/>
        </w:rPr>
        <w:t>cyanobacterium</w:t>
      </w:r>
      <w:proofErr w:type="spellEnd"/>
      <w:r w:rsidRPr="000025CA">
        <w:rPr>
          <w:rFonts w:ascii="Arial" w:hAnsi="Arial" w:cs="Arial"/>
          <w:color w:val="000000"/>
          <w:sz w:val="22"/>
          <w:szCs w:val="22"/>
        </w:rPr>
        <w:t xml:space="preserve"> </w:t>
      </w:r>
      <w:proofErr w:type="spellStart"/>
      <w:r w:rsidR="00865445" w:rsidRPr="00865445">
        <w:rPr>
          <w:rFonts w:ascii="Arial" w:hAnsi="Arial" w:cs="Arial"/>
          <w:i/>
          <w:color w:val="000000"/>
          <w:sz w:val="22"/>
          <w:szCs w:val="22"/>
        </w:rPr>
        <w:t>Synechococcus</w:t>
      </w:r>
      <w:proofErr w:type="spellEnd"/>
      <w:r w:rsidRPr="000025CA">
        <w:rPr>
          <w:rFonts w:ascii="Arial" w:hAnsi="Arial" w:cs="Arial"/>
          <w:color w:val="000000"/>
          <w:sz w:val="22"/>
          <w:szCs w:val="22"/>
        </w:rPr>
        <w:t xml:space="preserve"> in Florida Bay (Phlips et al.</w:t>
      </w:r>
      <w:r w:rsidR="006F7EFE">
        <w:rPr>
          <w:rFonts w:ascii="Arial" w:hAnsi="Arial" w:cs="Arial"/>
          <w:color w:val="000000"/>
          <w:sz w:val="22"/>
          <w:szCs w:val="22"/>
        </w:rPr>
        <w:t>,</w:t>
      </w:r>
      <w:r w:rsidRPr="000025CA">
        <w:rPr>
          <w:rFonts w:ascii="Arial" w:hAnsi="Arial" w:cs="Arial"/>
          <w:color w:val="000000"/>
          <w:sz w:val="22"/>
          <w:szCs w:val="22"/>
        </w:rPr>
        <w:t xml:space="preserve"> 1999</w:t>
      </w:r>
      <w:r w:rsidR="006F7EFE">
        <w:rPr>
          <w:rFonts w:ascii="Arial" w:hAnsi="Arial" w:cs="Arial"/>
          <w:color w:val="000000"/>
          <w:sz w:val="22"/>
          <w:szCs w:val="22"/>
        </w:rPr>
        <w:t>;</w:t>
      </w:r>
      <w:r w:rsidRPr="000025CA">
        <w:rPr>
          <w:rFonts w:ascii="Arial" w:hAnsi="Arial" w:cs="Arial"/>
          <w:color w:val="000000"/>
          <w:sz w:val="22"/>
          <w:szCs w:val="22"/>
        </w:rPr>
        <w:t xml:space="preserve"> Phlips et al.</w:t>
      </w:r>
      <w:r w:rsidR="006F7EFE">
        <w:rPr>
          <w:rFonts w:ascii="Arial" w:hAnsi="Arial" w:cs="Arial"/>
          <w:color w:val="000000"/>
          <w:sz w:val="22"/>
          <w:szCs w:val="22"/>
        </w:rPr>
        <w:t>,</w:t>
      </w:r>
      <w:r w:rsidRPr="000025CA">
        <w:rPr>
          <w:rFonts w:ascii="Arial" w:hAnsi="Arial" w:cs="Arial"/>
          <w:color w:val="000000"/>
          <w:sz w:val="22"/>
          <w:szCs w:val="22"/>
        </w:rPr>
        <w:t xml:space="preserve"> 2010b).  Many ﬁsh kills, particularly those occurring in the early morning hours, are due to low DO levels in the water associated with algal blooms and are not necessarily the result of toxins.  </w:t>
      </w:r>
      <w:r>
        <w:rPr>
          <w:rFonts w:ascii="Arial" w:hAnsi="Arial" w:cs="Arial"/>
          <w:color w:val="000000"/>
          <w:sz w:val="22"/>
          <w:szCs w:val="22"/>
        </w:rPr>
        <w:t>D</w:t>
      </w:r>
      <w:r w:rsidRPr="000025CA">
        <w:rPr>
          <w:rFonts w:ascii="Arial" w:hAnsi="Arial" w:cs="Arial"/>
          <w:color w:val="000000"/>
          <w:sz w:val="22"/>
          <w:szCs w:val="22"/>
        </w:rPr>
        <w:t>uring the day, the photosynthetic activity of phytoplankton and other aquatic plants produces oxygen.  At night, plants use oxygen</w:t>
      </w:r>
      <w:r w:rsidR="006F7EFE">
        <w:rPr>
          <w:rFonts w:ascii="Arial" w:hAnsi="Arial" w:cs="Arial"/>
          <w:color w:val="000000"/>
          <w:sz w:val="22"/>
          <w:szCs w:val="22"/>
        </w:rPr>
        <w:t>,</w:t>
      </w:r>
      <w:r w:rsidRPr="000025CA">
        <w:rPr>
          <w:rFonts w:ascii="Arial" w:hAnsi="Arial" w:cs="Arial"/>
          <w:color w:val="000000"/>
          <w:sz w:val="22"/>
          <w:szCs w:val="22"/>
        </w:rPr>
        <w:t xml:space="preserve"> and this can decrease the levels of DO in restricted systems.</w:t>
      </w:r>
    </w:p>
    <w:p w:rsidR="00485094" w:rsidRDefault="00485094" w:rsidP="00376229">
      <w:pPr>
        <w:rPr>
          <w:rFonts w:ascii="Arial" w:hAnsi="Arial" w:cs="Arial"/>
          <w:color w:val="000000"/>
          <w:sz w:val="22"/>
          <w:szCs w:val="22"/>
        </w:rPr>
      </w:pPr>
    </w:p>
    <w:p w:rsidR="00485094" w:rsidRDefault="00485094" w:rsidP="00376229">
      <w:pPr>
        <w:rPr>
          <w:rFonts w:ascii="Arial" w:hAnsi="Arial" w:cs="Arial"/>
          <w:color w:val="000000"/>
          <w:sz w:val="22"/>
          <w:szCs w:val="22"/>
        </w:rPr>
      </w:pPr>
      <w:r w:rsidRPr="000025CA">
        <w:rPr>
          <w:rFonts w:ascii="Arial" w:hAnsi="Arial" w:cs="Arial"/>
          <w:color w:val="000000"/>
          <w:sz w:val="22"/>
          <w:szCs w:val="22"/>
        </w:rPr>
        <w:t xml:space="preserve">Another important issue associated with HABs is the loss or alteration of overall habitat quality.  Prolonged and intense coastal eutrophication can result in the domination by a select few species, resulting in loss of diversity and alteration of food web structure and function.  For example, during major </w:t>
      </w:r>
      <w:r w:rsidR="00865445" w:rsidRPr="00865445">
        <w:rPr>
          <w:rFonts w:ascii="Arial" w:hAnsi="Arial" w:cs="Arial"/>
          <w:i/>
          <w:color w:val="000000"/>
          <w:sz w:val="22"/>
          <w:szCs w:val="22"/>
        </w:rPr>
        <w:t>Pyrodinium</w:t>
      </w:r>
      <w:r w:rsidRPr="000025CA">
        <w:rPr>
          <w:rFonts w:ascii="Arial" w:hAnsi="Arial" w:cs="Arial"/>
          <w:color w:val="000000"/>
          <w:sz w:val="22"/>
          <w:szCs w:val="22"/>
        </w:rPr>
        <w:t xml:space="preserve"> blooms</w:t>
      </w:r>
      <w:r w:rsidR="006F7EFE">
        <w:rPr>
          <w:rFonts w:ascii="Arial" w:hAnsi="Arial" w:cs="Arial"/>
          <w:color w:val="000000"/>
          <w:sz w:val="22"/>
          <w:szCs w:val="22"/>
        </w:rPr>
        <w:t>,</w:t>
      </w:r>
      <w:r w:rsidRPr="000025CA">
        <w:rPr>
          <w:rFonts w:ascii="Arial" w:hAnsi="Arial" w:cs="Arial"/>
          <w:color w:val="000000"/>
          <w:sz w:val="22"/>
          <w:szCs w:val="22"/>
        </w:rPr>
        <w:t xml:space="preserve"> over 80</w:t>
      </w:r>
      <w:r w:rsidR="006F7EFE">
        <w:rPr>
          <w:rFonts w:ascii="Arial" w:hAnsi="Arial" w:cs="Arial"/>
          <w:color w:val="000000"/>
          <w:sz w:val="22"/>
          <w:szCs w:val="22"/>
        </w:rPr>
        <w:t xml:space="preserve">% to </w:t>
      </w:r>
      <w:r w:rsidRPr="000025CA">
        <w:rPr>
          <w:rFonts w:ascii="Arial" w:hAnsi="Arial" w:cs="Arial"/>
          <w:color w:val="000000"/>
          <w:sz w:val="22"/>
          <w:szCs w:val="22"/>
        </w:rPr>
        <w:t>90% of total phytoplankton biomass is attributable to this toxic species (Phlips et al.</w:t>
      </w:r>
      <w:r w:rsidR="006F7EFE">
        <w:rPr>
          <w:rFonts w:ascii="Arial" w:hAnsi="Arial" w:cs="Arial"/>
          <w:color w:val="000000"/>
          <w:sz w:val="22"/>
          <w:szCs w:val="22"/>
        </w:rPr>
        <w:t>,</w:t>
      </w:r>
      <w:r w:rsidRPr="000025CA">
        <w:rPr>
          <w:rFonts w:ascii="Arial" w:hAnsi="Arial" w:cs="Arial"/>
          <w:color w:val="000000"/>
          <w:sz w:val="22"/>
          <w:szCs w:val="22"/>
        </w:rPr>
        <w:t xml:space="preserve"> 2006).  Similar domination by single species occurs in benthic ecosystems</w:t>
      </w:r>
      <w:r w:rsidR="006F7EFE">
        <w:rPr>
          <w:rFonts w:ascii="Arial" w:hAnsi="Arial" w:cs="Arial"/>
          <w:color w:val="000000"/>
          <w:sz w:val="22"/>
          <w:szCs w:val="22"/>
        </w:rPr>
        <w:t>,</w:t>
      </w:r>
      <w:r w:rsidRPr="000025CA">
        <w:rPr>
          <w:rFonts w:ascii="Arial" w:hAnsi="Arial" w:cs="Arial"/>
          <w:color w:val="000000"/>
          <w:sz w:val="22"/>
          <w:szCs w:val="22"/>
        </w:rPr>
        <w:t xml:space="preserve"> where massive blooms of green and red </w:t>
      </w:r>
      <w:proofErr w:type="spellStart"/>
      <w:r w:rsidRPr="000025CA">
        <w:rPr>
          <w:rFonts w:ascii="Arial" w:hAnsi="Arial" w:cs="Arial"/>
          <w:color w:val="000000"/>
          <w:sz w:val="22"/>
          <w:szCs w:val="22"/>
        </w:rPr>
        <w:t>macroalgae</w:t>
      </w:r>
      <w:proofErr w:type="spellEnd"/>
      <w:r w:rsidRPr="000025CA">
        <w:rPr>
          <w:rFonts w:ascii="Arial" w:hAnsi="Arial" w:cs="Arial"/>
          <w:color w:val="000000"/>
          <w:sz w:val="22"/>
          <w:szCs w:val="22"/>
        </w:rPr>
        <w:t xml:space="preserve"> have periodically over</w:t>
      </w:r>
      <w:r w:rsidR="006F7EFE">
        <w:rPr>
          <w:rFonts w:ascii="Arial" w:hAnsi="Arial" w:cs="Arial"/>
          <w:color w:val="000000"/>
          <w:sz w:val="22"/>
          <w:szCs w:val="22"/>
        </w:rPr>
        <w:t>-</w:t>
      </w:r>
      <w:r w:rsidRPr="000025CA">
        <w:rPr>
          <w:rFonts w:ascii="Arial" w:hAnsi="Arial" w:cs="Arial"/>
          <w:color w:val="000000"/>
          <w:sz w:val="22"/>
          <w:szCs w:val="22"/>
        </w:rPr>
        <w:t>run some shallow habitats of the Florida coast (</w:t>
      </w:r>
      <w:proofErr w:type="spellStart"/>
      <w:r w:rsidRPr="000025CA">
        <w:rPr>
          <w:rFonts w:ascii="Arial" w:hAnsi="Arial" w:cs="Arial"/>
          <w:color w:val="000000"/>
          <w:sz w:val="22"/>
          <w:szCs w:val="22"/>
        </w:rPr>
        <w:t>Lapointe</w:t>
      </w:r>
      <w:proofErr w:type="spellEnd"/>
      <w:r w:rsidRPr="000025CA">
        <w:rPr>
          <w:rFonts w:ascii="Arial" w:hAnsi="Arial" w:cs="Arial"/>
          <w:color w:val="000000"/>
          <w:sz w:val="22"/>
          <w:szCs w:val="22"/>
        </w:rPr>
        <w:t xml:space="preserve"> et al.</w:t>
      </w:r>
      <w:r w:rsidR="006F7EFE">
        <w:rPr>
          <w:rFonts w:ascii="Arial" w:hAnsi="Arial" w:cs="Arial"/>
          <w:color w:val="000000"/>
          <w:sz w:val="22"/>
          <w:szCs w:val="22"/>
        </w:rPr>
        <w:t>,</w:t>
      </w:r>
      <w:r w:rsidRPr="000025CA">
        <w:rPr>
          <w:rFonts w:ascii="Arial" w:hAnsi="Arial" w:cs="Arial"/>
          <w:color w:val="000000"/>
          <w:sz w:val="22"/>
          <w:szCs w:val="22"/>
        </w:rPr>
        <w:t xml:space="preserve"> 2007).</w:t>
      </w:r>
    </w:p>
    <w:p w:rsidR="00485094" w:rsidRPr="004056E9" w:rsidRDefault="00485094" w:rsidP="00376229">
      <w:pPr>
        <w:rPr>
          <w:rFonts w:ascii="Arial" w:hAnsi="Arial" w:cs="Arial"/>
          <w:color w:val="000000"/>
          <w:sz w:val="22"/>
          <w:szCs w:val="22"/>
        </w:rPr>
      </w:pPr>
      <w:r w:rsidRPr="000025CA">
        <w:rPr>
          <w:rFonts w:ascii="Arial" w:hAnsi="Arial" w:cs="Arial"/>
          <w:color w:val="000000"/>
          <w:sz w:val="22"/>
          <w:szCs w:val="22"/>
        </w:rPr>
        <w:t xml:space="preserve">  </w:t>
      </w:r>
    </w:p>
    <w:p w:rsidR="00485094" w:rsidRDefault="00485094" w:rsidP="00376229">
      <w:pPr>
        <w:pStyle w:val="Bodytext"/>
        <w:rPr>
          <w:rFonts w:cs="Arial"/>
          <w:color w:val="000000"/>
          <w:szCs w:val="22"/>
        </w:rPr>
      </w:pPr>
      <w:r w:rsidRPr="000025CA">
        <w:rPr>
          <w:rFonts w:cs="Arial"/>
          <w:color w:val="000000"/>
          <w:szCs w:val="22"/>
        </w:rPr>
        <w:t>The FWC responds to discolored water, ﬁsh kills, and other mortality or disease events to determine whether the cause is environmental or human</w:t>
      </w:r>
      <w:r w:rsidR="008B720C">
        <w:rPr>
          <w:rFonts w:cs="Arial"/>
          <w:color w:val="000000"/>
          <w:szCs w:val="22"/>
        </w:rPr>
        <w:t xml:space="preserve"> </w:t>
      </w:r>
      <w:r w:rsidRPr="000025CA">
        <w:rPr>
          <w:rFonts w:cs="Arial"/>
          <w:color w:val="000000"/>
          <w:szCs w:val="22"/>
        </w:rPr>
        <w:t xml:space="preserve">related.  A statewide ﬁsh kill hotline </w:t>
      </w:r>
      <w:r w:rsidRPr="000025CA">
        <w:rPr>
          <w:rFonts w:cs="Arial"/>
          <w:color w:val="000000"/>
          <w:szCs w:val="22"/>
        </w:rPr>
        <w:br/>
        <w:t xml:space="preserve">(1-800-636-0511) has been in operation for 15 years.  The </w:t>
      </w:r>
      <w:hyperlink r:id="rId42" w:history="1">
        <w:r w:rsidR="00865445" w:rsidRPr="00865445">
          <w:rPr>
            <w:rFonts w:cs="Arial"/>
            <w:color w:val="3333FF"/>
            <w:szCs w:val="22"/>
            <w:u w:val="single"/>
          </w:rPr>
          <w:t>FWC ﬁsh kill database</w:t>
        </w:r>
      </w:hyperlink>
      <w:r w:rsidRPr="000025CA">
        <w:rPr>
          <w:rFonts w:cs="Arial"/>
          <w:color w:val="000000"/>
          <w:szCs w:val="22"/>
        </w:rPr>
        <w:t xml:space="preserve"> contains information on ﬁsh kills in Florida reported to the FWC from 1972 to the present.  New ﬁsh kill reports can also be submitted through the website.</w:t>
      </w:r>
    </w:p>
    <w:p w:rsidR="00485094" w:rsidRPr="004056E9" w:rsidRDefault="00485094" w:rsidP="00376229">
      <w:pPr>
        <w:pStyle w:val="Bodytext"/>
        <w:rPr>
          <w:rFonts w:cs="Arial"/>
          <w:color w:val="000000"/>
          <w:szCs w:val="22"/>
        </w:rPr>
      </w:pPr>
    </w:p>
    <w:p w:rsidR="00485094" w:rsidRPr="008746D5" w:rsidRDefault="00485094" w:rsidP="008746D5">
      <w:pPr>
        <w:pStyle w:val="Heading2"/>
      </w:pPr>
      <w:bookmarkStart w:id="124" w:name="_Toc271794316"/>
      <w:bookmarkStart w:id="125" w:name="_Toc262740572"/>
      <w:bookmarkStart w:id="126" w:name="_Toc255822505"/>
      <w:r w:rsidRPr="008746D5">
        <w:t>Emerging Concerns and Initiatives</w:t>
      </w:r>
      <w:bookmarkEnd w:id="124"/>
    </w:p>
    <w:bookmarkEnd w:id="125"/>
    <w:p w:rsidR="00485094" w:rsidRPr="000A1EAC" w:rsidRDefault="00485094" w:rsidP="00F042B9">
      <w:pPr>
        <w:rPr>
          <w:sz w:val="22"/>
          <w:szCs w:val="22"/>
        </w:rPr>
      </w:pPr>
      <w:r>
        <w:rPr>
          <w:rFonts w:ascii="Arial" w:hAnsi="Arial" w:cs="Arial"/>
          <w:sz w:val="22"/>
          <w:szCs w:val="22"/>
        </w:rPr>
        <w:t xml:space="preserve">FDEP has identified a variety of emerging state concerns related to water quality and is </w:t>
      </w:r>
      <w:r w:rsidRPr="000A1EAC">
        <w:rPr>
          <w:rFonts w:ascii="Arial" w:hAnsi="Arial" w:cs="Arial"/>
          <w:sz w:val="22"/>
          <w:szCs w:val="22"/>
        </w:rPr>
        <w:t xml:space="preserve">addressing </w:t>
      </w:r>
      <w:r w:rsidRPr="006C1047">
        <w:rPr>
          <w:rFonts w:ascii="Arial" w:hAnsi="Arial" w:cs="Arial"/>
          <w:sz w:val="22"/>
          <w:szCs w:val="22"/>
        </w:rPr>
        <w:t xml:space="preserve">these </w:t>
      </w:r>
      <w:r w:rsidRPr="000A1EAC">
        <w:rPr>
          <w:rFonts w:ascii="Arial" w:hAnsi="Arial" w:cs="Arial"/>
          <w:sz w:val="22"/>
          <w:szCs w:val="22"/>
        </w:rPr>
        <w:t xml:space="preserve">through </w:t>
      </w:r>
      <w:r>
        <w:rPr>
          <w:rFonts w:ascii="Arial" w:hAnsi="Arial" w:cs="Arial"/>
          <w:sz w:val="22"/>
          <w:szCs w:val="22"/>
        </w:rPr>
        <w:t xml:space="preserve">the following </w:t>
      </w:r>
      <w:r w:rsidRPr="000A1EAC">
        <w:rPr>
          <w:rFonts w:ascii="Arial" w:hAnsi="Arial" w:cs="Arial"/>
          <w:sz w:val="22"/>
          <w:szCs w:val="22"/>
        </w:rPr>
        <w:t>special projects and initiatives</w:t>
      </w:r>
      <w:r>
        <w:rPr>
          <w:rFonts w:ascii="Arial" w:hAnsi="Arial" w:cs="Arial"/>
          <w:sz w:val="22"/>
          <w:szCs w:val="22"/>
        </w:rPr>
        <w:t>:</w:t>
      </w:r>
    </w:p>
    <w:p w:rsidR="00485094" w:rsidRPr="008A0F3A" w:rsidRDefault="00485094" w:rsidP="00097ED9">
      <w:pPr>
        <w:rPr>
          <w:rFonts w:cs="Arial"/>
          <w:i/>
          <w:szCs w:val="22"/>
        </w:rPr>
      </w:pPr>
    </w:p>
    <w:p w:rsidR="00485094" w:rsidRDefault="00485094" w:rsidP="008746D5">
      <w:pPr>
        <w:pStyle w:val="ListBullet"/>
      </w:pPr>
      <w:r w:rsidRPr="00DC54A8">
        <w:rPr>
          <w:b/>
        </w:rPr>
        <w:lastRenderedPageBreak/>
        <w:t>Nutrient Impairment.</w:t>
      </w:r>
      <w:r>
        <w:t xml:space="preserve">  Significant progress has been made in reducing nutrient loads to state waters (see </w:t>
      </w:r>
      <w:hyperlink w:anchor="_Chapter_11:_" w:history="1">
        <w:r w:rsidR="006F7EFE" w:rsidRPr="00512DF2">
          <w:rPr>
            <w:rStyle w:val="Hyperlink"/>
            <w:snapToGrid w:val="0"/>
          </w:rPr>
          <w:t>Chapter 11</w:t>
        </w:r>
      </w:hyperlink>
      <w:r>
        <w:t>, which summarizes TMDL and BMAP activities that address nutrient loading to impaired waters and describe</w:t>
      </w:r>
      <w:r w:rsidR="006F7EFE">
        <w:t>s</w:t>
      </w:r>
      <w:r>
        <w:t xml:space="preserve"> the permitting programs that have reduced nutrient loading from point sources and from new development).  However, nutrient loading </w:t>
      </w:r>
      <w:r w:rsidRPr="00F6674C">
        <w:t xml:space="preserve">and </w:t>
      </w:r>
      <w:r>
        <w:t xml:space="preserve">the </w:t>
      </w:r>
      <w:r w:rsidRPr="00F6674C">
        <w:t xml:space="preserve">resulting </w:t>
      </w:r>
      <w:r w:rsidR="006F7EFE">
        <w:t>HABs</w:t>
      </w:r>
      <w:r>
        <w:t xml:space="preserve"> continue to be an issue</w:t>
      </w:r>
      <w:r w:rsidRPr="00F6674C">
        <w:t xml:space="preserve">.  </w:t>
      </w:r>
      <w:r>
        <w:t>While t</w:t>
      </w:r>
      <w:r w:rsidRPr="00F6674C">
        <w:t>he occurrence of blue-green algae is natural and has occurred throughout history</w:t>
      </w:r>
      <w:r w:rsidR="006F7EFE">
        <w:t xml:space="preserve">, </w:t>
      </w:r>
      <w:r w:rsidRPr="00F6674C">
        <w:t xml:space="preserve">algal blooms caused by </w:t>
      </w:r>
      <w:r>
        <w:t xml:space="preserve">organic sources such as septic tanks, </w:t>
      </w:r>
      <w:r w:rsidR="006F7EFE">
        <w:t xml:space="preserve">and </w:t>
      </w:r>
      <w:r w:rsidRPr="00F6674C">
        <w:t>nutrient loading from fertilizer use, together with a growing population and the resulting increase in residential landscapes</w:t>
      </w:r>
      <w:r>
        <w:t>,</w:t>
      </w:r>
      <w:r w:rsidRPr="00F6674C">
        <w:t xml:space="preserve"> </w:t>
      </w:r>
      <w:r>
        <w:t>are an ongoing</w:t>
      </w:r>
      <w:r w:rsidRPr="00F6674C">
        <w:t xml:space="preserve"> concern</w:t>
      </w:r>
      <w:r w:rsidRPr="00635365">
        <w:t xml:space="preserve">.  </w:t>
      </w:r>
    </w:p>
    <w:p w:rsidR="00485094" w:rsidRPr="006F7EFE" w:rsidRDefault="00485094" w:rsidP="00B605D1">
      <w:pPr>
        <w:pStyle w:val="Listbulletadditional"/>
      </w:pPr>
      <w:r w:rsidRPr="00F6674C">
        <w:t xml:space="preserve">The state has collected and assessed large amounts of data related to nutrients.  FDEP convened a Numeric Nutrient Criteria Technical Advisory Committee (Nutrient TAC) that </w:t>
      </w:r>
      <w:r>
        <w:t xml:space="preserve">has </w:t>
      </w:r>
      <w:r w:rsidRPr="00F6674C">
        <w:t>met 23 times since 2003.  FDEP</w:t>
      </w:r>
      <w:r w:rsidRPr="00635365">
        <w:t xml:space="preserve"> </w:t>
      </w:r>
      <w:r w:rsidRPr="00F6674C">
        <w:t xml:space="preserve">began rulemaking for the establishment of numeric nutrient criteria in lakes and streams in 2009, but suspended its rulemaking efforts when </w:t>
      </w:r>
      <w:r>
        <w:t xml:space="preserve">the </w:t>
      </w:r>
      <w:r w:rsidRPr="00F6674C">
        <w:t xml:space="preserve">EPA signed a Settlement Agreement that included a detailed schedule for </w:t>
      </w:r>
      <w:r>
        <w:t xml:space="preserve">the </w:t>
      </w:r>
      <w:r w:rsidRPr="00F6674C">
        <w:t>EPA to promulgate nutrient criteria</w:t>
      </w:r>
      <w:r w:rsidR="006F7EFE">
        <w:t>,</w:t>
      </w:r>
      <w:r w:rsidRPr="00F6674C">
        <w:t xml:space="preserve"> and provided its data to the EPA, which published proposed criteria in January 2010.  Under </w:t>
      </w:r>
      <w:r>
        <w:t xml:space="preserve">the </w:t>
      </w:r>
      <w:r w:rsidRPr="00F6674C">
        <w:t>EPA's schedule, numeric nutrient criteria</w:t>
      </w:r>
      <w:r>
        <w:t xml:space="preserve"> will be promulgated</w:t>
      </w:r>
      <w:r w:rsidRPr="00F6674C">
        <w:t xml:space="preserve"> for lakes and flowing waters no later than</w:t>
      </w:r>
      <w:r w:rsidRPr="00635365">
        <w:t xml:space="preserve"> </w:t>
      </w:r>
      <w:r w:rsidRPr="00F6674C">
        <w:t xml:space="preserve">October 2010.  </w:t>
      </w:r>
      <w:r>
        <w:t>It</w:t>
      </w:r>
      <w:r w:rsidRPr="00F6674C">
        <w:t xml:space="preserve"> will propose numeric nutrient </w:t>
      </w:r>
      <w:r w:rsidRPr="006F7EFE">
        <w:t xml:space="preserve">criteria for </w:t>
      </w:r>
      <w:r w:rsidR="006F7EFE" w:rsidRPr="006F7EFE">
        <w:t xml:space="preserve">south </w:t>
      </w:r>
      <w:r w:rsidR="00865445" w:rsidRPr="00865445">
        <w:t>Florida canals</w:t>
      </w:r>
      <w:r w:rsidR="006F7EFE">
        <w:t xml:space="preserve"> and</w:t>
      </w:r>
      <w:r w:rsidRPr="006F7EFE">
        <w:t xml:space="preserve"> Florida's estuarine and coastal waters, </w:t>
      </w:r>
      <w:r w:rsidR="00865445" w:rsidRPr="00865445">
        <w:t>a</w:t>
      </w:r>
      <w:r w:rsidR="006F7EFE">
        <w:t>s well as</w:t>
      </w:r>
      <w:r w:rsidR="00865445" w:rsidRPr="00865445">
        <w:t xml:space="preserve"> additional flowing waters criteria designed to protect downstream estuaries (termed “Downstream Protection Values”)</w:t>
      </w:r>
      <w:r w:rsidRPr="006F7EFE">
        <w:t xml:space="preserve"> </w:t>
      </w:r>
      <w:r w:rsidR="00865445" w:rsidRPr="00865445">
        <w:t>in November 2011, with final promulgation no later than August 2012.</w:t>
      </w:r>
    </w:p>
    <w:p w:rsidR="00485094" w:rsidRDefault="00485094" w:rsidP="00B605D1">
      <w:pPr>
        <w:pStyle w:val="Listbulletadditional"/>
      </w:pPr>
      <w:r w:rsidRPr="00F6674C">
        <w:t xml:space="preserve">Additional information is available on the </w:t>
      </w:r>
      <w:hyperlink r:id="rId43" w:history="1">
        <w:r w:rsidRPr="00B605D1">
          <w:rPr>
            <w:color w:val="3333FF"/>
            <w:u w:val="single"/>
          </w:rPr>
          <w:t>FDEP Numeric Nutrient Criteria Development website</w:t>
        </w:r>
      </w:hyperlink>
      <w:r w:rsidRPr="00F6674C">
        <w:t xml:space="preserve">.  The University of Florida Institute of Food and Agricultural Sciences (UF-IFAS) document, </w:t>
      </w:r>
      <w:hyperlink r:id="rId44" w:history="1">
        <w:r w:rsidRPr="00B605D1">
          <w:rPr>
            <w:i w:val="0"/>
            <w:color w:val="3333FF"/>
            <w:u w:val="single"/>
          </w:rPr>
          <w:t>A Guide to EPA’s Proposed Numeric Nutrient Water Quality Criteria for Florida</w:t>
        </w:r>
      </w:hyperlink>
      <w:r w:rsidRPr="00F6674C">
        <w:t>, provides summary</w:t>
      </w:r>
      <w:r w:rsidRPr="00635365">
        <w:t xml:space="preserve"> </w:t>
      </w:r>
      <w:r w:rsidRPr="00F6674C">
        <w:t>information.</w:t>
      </w:r>
      <w:r>
        <w:t xml:space="preserve">  </w:t>
      </w:r>
    </w:p>
    <w:p w:rsidR="00485094" w:rsidRDefault="00485094" w:rsidP="008746D5">
      <w:pPr>
        <w:pStyle w:val="ListBullet"/>
      </w:pPr>
      <w:r w:rsidRPr="00DC54A8">
        <w:rPr>
          <w:b/>
        </w:rPr>
        <w:t>U</w:t>
      </w:r>
      <w:r w:rsidRPr="008746D5">
        <w:rPr>
          <w:b/>
        </w:rPr>
        <w:t xml:space="preserve">pdate of the State’s Stormwater Rule. </w:t>
      </w:r>
      <w:r>
        <w:t xml:space="preserve"> </w:t>
      </w:r>
      <w:r w:rsidRPr="005C05EC">
        <w:t xml:space="preserve">Since the Stormwater Rule is currently based on a minimum treatment level of 80% average annual load reduction, urban stormwater remains a </w:t>
      </w:r>
      <w:r>
        <w:t xml:space="preserve">particular </w:t>
      </w:r>
      <w:r w:rsidRPr="005C05EC">
        <w:t>concern.</w:t>
      </w:r>
      <w:r>
        <w:t xml:space="preserve"> </w:t>
      </w:r>
      <w:r w:rsidRPr="006A373D">
        <w:t xml:space="preserve"> I</w:t>
      </w:r>
      <w:r w:rsidRPr="004948B7">
        <w:t>n October 2007, FDEP’s Secretary and the Executive Directors of the state's</w:t>
      </w:r>
      <w:r>
        <w:t xml:space="preserve"> five</w:t>
      </w:r>
      <w:r w:rsidRPr="004948B7">
        <w:t xml:space="preserve"> water management districts directed FDEP and district staff to develop a statewide stormwater treatment rule based on a performance standard requiring the lesser of an 85% nutrient load reduction, or postdevelopment</w:t>
      </w:r>
      <w:r>
        <w:t xml:space="preserve"> </w:t>
      </w:r>
      <w:r w:rsidRPr="004948B7">
        <w:t xml:space="preserve">stormwater nutrient loads that do not exceed predevelopment nutrient loads, where predevelopment land use is the natural vegetative community.  </w:t>
      </w:r>
    </w:p>
    <w:p w:rsidR="00485094" w:rsidRPr="005C05EC" w:rsidRDefault="00485094" w:rsidP="007718E6">
      <w:pPr>
        <w:pStyle w:val="Listbulletadditional"/>
      </w:pPr>
      <w:r w:rsidRPr="004948B7">
        <w:t xml:space="preserve">A Technical Advisory Committee (TAC) was established to provide input to FDEP and water management district staff on the draft Applicant’s Handbook and rule.  The TAC met in 2008 and 2009.  A revised draft rule and </w:t>
      </w:r>
      <w:hyperlink r:id="rId45" w:history="1">
        <w:r>
          <w:rPr>
            <w:rStyle w:val="Hyperlink"/>
          </w:rPr>
          <w:t>Stormwater Quality A</w:t>
        </w:r>
        <w:r w:rsidRPr="00A37918">
          <w:rPr>
            <w:rStyle w:val="Hyperlink"/>
          </w:rPr>
          <w:t>pplicant’s Handbook</w:t>
        </w:r>
      </w:hyperlink>
      <w:r w:rsidRPr="004948B7">
        <w:t xml:space="preserve"> </w:t>
      </w:r>
      <w:r>
        <w:t>were published</w:t>
      </w:r>
      <w:r w:rsidRPr="004948B7">
        <w:t xml:space="preserve"> in February 2010</w:t>
      </w:r>
      <w:r>
        <w:t>,</w:t>
      </w:r>
      <w:r w:rsidRPr="004948B7">
        <w:t xml:space="preserve"> </w:t>
      </w:r>
      <w:r>
        <w:t>followed by</w:t>
      </w:r>
      <w:r w:rsidRPr="004948B7">
        <w:t xml:space="preserve"> </w:t>
      </w:r>
      <w:r>
        <w:t xml:space="preserve">a number of </w:t>
      </w:r>
      <w:r w:rsidRPr="004948B7">
        <w:t xml:space="preserve">public workshops.  Rule adoption will occur sometime between July 1, 2010, and June 30, 2011.  Additional information is available </w:t>
      </w:r>
      <w:r>
        <w:t xml:space="preserve">on the </w:t>
      </w:r>
      <w:hyperlink r:id="rId46" w:history="1">
        <w:r w:rsidRPr="00B77587">
          <w:rPr>
            <w:rStyle w:val="Hyperlink"/>
          </w:rPr>
          <w:t xml:space="preserve">FDEP </w:t>
        </w:r>
        <w:r>
          <w:rPr>
            <w:rStyle w:val="Hyperlink"/>
          </w:rPr>
          <w:t xml:space="preserve">Statewide Stormwater Treatment Rule Development </w:t>
        </w:r>
        <w:r w:rsidRPr="00B77587">
          <w:rPr>
            <w:rStyle w:val="Hyperlink"/>
          </w:rPr>
          <w:t>website</w:t>
        </w:r>
      </w:hyperlink>
      <w:r>
        <w:t>.</w:t>
      </w:r>
    </w:p>
    <w:p w:rsidR="00485094" w:rsidRDefault="00485094" w:rsidP="008746D5">
      <w:pPr>
        <w:pStyle w:val="ListBullet"/>
      </w:pPr>
      <w:r>
        <w:rPr>
          <w:b/>
          <w:iCs/>
        </w:rPr>
        <w:t>Increasing Algal Growth</w:t>
      </w:r>
      <w:r w:rsidRPr="00DC54A8">
        <w:rPr>
          <w:b/>
          <w:iCs/>
        </w:rPr>
        <w:t xml:space="preserve"> in Springs.</w:t>
      </w:r>
      <w:r>
        <w:t xml:space="preserve">  Water quality has declined in most springs s</w:t>
      </w:r>
      <w:r w:rsidRPr="00D43B65">
        <w:t>ince the 1970s</w:t>
      </w:r>
      <w:r>
        <w:t xml:space="preserve">; in particular, levels of nitrate (a nutrient) and blue-green algal growth in springs have increased.  Recognizing the need to assess the status of blue-green algae not just in springs but all waters, in 1998 the Florida </w:t>
      </w:r>
      <w:r>
        <w:lastRenderedPageBreak/>
        <w:t>Legislature approved funding for the FWC’s Harmful Algal Bloom Task Force.  This task force was initiated to address potential concerns regarding microalgae—including blue-green algae—through monitoring and investigation.  The state continues to monitor blue-green algae closely and is taking long-term measures to reduce nutrient loading and improve water quality.  FDOH’s Aquatic Toxins Program, in coordination with FDEP, has derived and implemented several tools to help identify and assess blue-green algae blooms.</w:t>
      </w:r>
    </w:p>
    <w:p w:rsidR="00485094" w:rsidRDefault="00485094" w:rsidP="008746D5">
      <w:pPr>
        <w:pStyle w:val="ListBullet"/>
        <w:rPr>
          <w:iCs/>
        </w:rPr>
      </w:pPr>
      <w:r w:rsidRPr="00DC54A8">
        <w:rPr>
          <w:b/>
          <w:iCs/>
          <w:snapToGrid w:val="0"/>
        </w:rPr>
        <w:t>Mercury in Fish Tissue.</w:t>
      </w:r>
      <w:r>
        <w:rPr>
          <w:snapToGrid w:val="0"/>
        </w:rPr>
        <w:t xml:space="preserve">  </w:t>
      </w:r>
      <w:r w:rsidRPr="00DC54A8">
        <w:rPr>
          <w:iCs/>
        </w:rPr>
        <w:t xml:space="preserve">In many coastal and inland waters, excessive concentrations of mercury in the tissue of some fish species limit the attainment of designated use.  To </w:t>
      </w:r>
      <w:r>
        <w:rPr>
          <w:iCs/>
        </w:rPr>
        <w:t>address</w:t>
      </w:r>
      <w:r w:rsidRPr="00DC54A8">
        <w:rPr>
          <w:iCs/>
        </w:rPr>
        <w:t xml:space="preserve"> this issue, FDEP initiated the development of a </w:t>
      </w:r>
      <w:r>
        <w:rPr>
          <w:iCs/>
        </w:rPr>
        <w:t xml:space="preserve">statewide </w:t>
      </w:r>
      <w:r w:rsidRPr="00DC54A8">
        <w:rPr>
          <w:iCs/>
        </w:rPr>
        <w:t>TMDL</w:t>
      </w:r>
      <w:r>
        <w:rPr>
          <w:iCs/>
        </w:rPr>
        <w:t xml:space="preserve"> for mercury</w:t>
      </w:r>
      <w:r w:rsidRPr="00DC54A8">
        <w:rPr>
          <w:iCs/>
        </w:rPr>
        <w:t xml:space="preserve"> in 2008</w:t>
      </w:r>
      <w:r>
        <w:rPr>
          <w:iCs/>
        </w:rPr>
        <w:t xml:space="preserve"> that is scheduled to be completed by </w:t>
      </w:r>
      <w:r w:rsidRPr="00730412">
        <w:rPr>
          <w:iCs/>
        </w:rPr>
        <w:t>September 2012</w:t>
      </w:r>
      <w:r w:rsidRPr="00DC54A8">
        <w:rPr>
          <w:iCs/>
        </w:rPr>
        <w:t xml:space="preserve">. </w:t>
      </w:r>
      <w:r>
        <w:rPr>
          <w:iCs/>
        </w:rPr>
        <w:t xml:space="preserve"> </w:t>
      </w:r>
      <w:r w:rsidRPr="00DC54A8">
        <w:rPr>
          <w:iCs/>
        </w:rPr>
        <w:t>The project consists of gathering and assessing a complex suite of data (</w:t>
      </w:r>
      <w:r>
        <w:rPr>
          <w:iCs/>
        </w:rPr>
        <w:t>on</w:t>
      </w:r>
      <w:r w:rsidRPr="00DC54A8">
        <w:rPr>
          <w:iCs/>
        </w:rPr>
        <w:t xml:space="preserve"> mercury emission, deposition, and aquatic cycling) and conducting modeling to quantify the needed mercury reductions </w:t>
      </w:r>
      <w:r w:rsidR="0070466C">
        <w:rPr>
          <w:iCs/>
        </w:rPr>
        <w:t xml:space="preserve">in order </w:t>
      </w:r>
      <w:r w:rsidRPr="00DC54A8">
        <w:rPr>
          <w:iCs/>
        </w:rPr>
        <w:t>to address mercury-related impairment in surface waters.  Elements of the proposed statewide mercury TMDL study include</w:t>
      </w:r>
      <w:r>
        <w:rPr>
          <w:iCs/>
        </w:rPr>
        <w:t xml:space="preserve"> the following</w:t>
      </w:r>
      <w:r w:rsidRPr="00DC54A8">
        <w:rPr>
          <w:iCs/>
        </w:rPr>
        <w:t>:</w:t>
      </w:r>
    </w:p>
    <w:p w:rsidR="00485094" w:rsidRPr="007718E6" w:rsidRDefault="00485094" w:rsidP="007718E6">
      <w:pPr>
        <w:pStyle w:val="Listbulletsub"/>
      </w:pPr>
      <w:r w:rsidRPr="007718E6">
        <w:t>C</w:t>
      </w:r>
      <w:r>
        <w:t>ollecting c</w:t>
      </w:r>
      <w:r w:rsidRPr="007718E6">
        <w:t>omprehensive, highly temporally resolved measurements of wet and dry mercury deposition at four locations, along with a suite of tracers that may be used to link deposition with sources.  These sampling areas are referred to as “Supersites.”</w:t>
      </w:r>
    </w:p>
    <w:p w:rsidR="00485094" w:rsidRPr="00E230FC" w:rsidRDefault="00485094" w:rsidP="007718E6">
      <w:pPr>
        <w:pStyle w:val="Listbulletsub"/>
      </w:pPr>
      <w:r>
        <w:t>Identifying</w:t>
      </w:r>
      <w:r w:rsidRPr="00DC54A8">
        <w:t xml:space="preserve"> all significant sources of mercury, whether fixed or mobile, in Florida (</w:t>
      </w:r>
      <w:r>
        <w:t xml:space="preserve">an </w:t>
      </w:r>
      <w:r w:rsidRPr="00DC54A8">
        <w:t xml:space="preserve">emissions inventory).  </w:t>
      </w:r>
    </w:p>
    <w:p w:rsidR="00485094" w:rsidRPr="00E230FC" w:rsidRDefault="00485094" w:rsidP="007718E6">
      <w:pPr>
        <w:pStyle w:val="Listbulletsub"/>
      </w:pPr>
      <w:r>
        <w:t>Developing an empirical,</w:t>
      </w:r>
      <w:r w:rsidRPr="00DC54A8">
        <w:t xml:space="preserve"> probabilistic aquatic</w:t>
      </w:r>
      <w:r>
        <w:t>-</w:t>
      </w:r>
      <w:r w:rsidRPr="00DC54A8">
        <w:t xml:space="preserve">cycling model to </w:t>
      </w:r>
      <w:r>
        <w:t>better understand how waterbody geochemistry affects mercury deposition with bio</w:t>
      </w:r>
      <w:r w:rsidRPr="00DC54A8">
        <w:t xml:space="preserve">magnification in fish. </w:t>
      </w:r>
    </w:p>
    <w:p w:rsidR="00485094" w:rsidRDefault="00485094" w:rsidP="007718E6">
      <w:pPr>
        <w:pStyle w:val="Listbulletsub"/>
      </w:pPr>
      <w:r w:rsidRPr="00DC54A8">
        <w:t xml:space="preserve">Conducting atmospheric modeling (both dispersion and receptor models) </w:t>
      </w:r>
      <w:r>
        <w:t>to quantify</w:t>
      </w:r>
      <w:r w:rsidRPr="00DC54A8">
        <w:t xml:space="preserve"> Florida mercury sources versus those sources outside Florida that must be controlled to satisfy the TMDL.</w:t>
      </w:r>
    </w:p>
    <w:p w:rsidR="00485094" w:rsidRDefault="00485094" w:rsidP="007718E6">
      <w:pPr>
        <w:pStyle w:val="Bodytextreduced"/>
      </w:pPr>
      <w:r w:rsidRPr="00DC54A8">
        <w:t xml:space="preserve"> </w:t>
      </w:r>
    </w:p>
    <w:p w:rsidR="00485094" w:rsidRDefault="00485094" w:rsidP="008746D5">
      <w:pPr>
        <w:pStyle w:val="ListBullet"/>
        <w:rPr>
          <w:snapToGrid w:val="0"/>
        </w:rPr>
      </w:pPr>
      <w:r>
        <w:rPr>
          <w:b/>
          <w:snapToGrid w:val="0"/>
        </w:rPr>
        <w:t>Saltwater Encroachment</w:t>
      </w:r>
      <w:r w:rsidRPr="00F5173D">
        <w:rPr>
          <w:b/>
          <w:snapToGrid w:val="0"/>
        </w:rPr>
        <w:t>.</w:t>
      </w:r>
      <w:r>
        <w:rPr>
          <w:snapToGrid w:val="0"/>
        </w:rPr>
        <w:t xml:space="preserve">  In 2010, </w:t>
      </w:r>
      <w:r w:rsidRPr="00635365">
        <w:rPr>
          <w:snapToGrid w:val="0"/>
        </w:rPr>
        <w:t>FDEP</w:t>
      </w:r>
      <w:r>
        <w:rPr>
          <w:snapToGrid w:val="0"/>
        </w:rPr>
        <w:t>’s</w:t>
      </w:r>
      <w:r w:rsidRPr="00635365">
        <w:rPr>
          <w:snapToGrid w:val="0"/>
        </w:rPr>
        <w:t xml:space="preserve"> Florida Geological Survey (FGS), in concert with the Watershed Monitoring Section, completed </w:t>
      </w:r>
      <w:r>
        <w:rPr>
          <w:snapToGrid w:val="0"/>
        </w:rPr>
        <w:t>P</w:t>
      </w:r>
      <w:r w:rsidRPr="00635365">
        <w:rPr>
          <w:snapToGrid w:val="0"/>
        </w:rPr>
        <w:t xml:space="preserve">hase </w:t>
      </w:r>
      <w:r>
        <w:rPr>
          <w:snapToGrid w:val="0"/>
        </w:rPr>
        <w:t>2</w:t>
      </w:r>
      <w:r w:rsidRPr="00635365">
        <w:rPr>
          <w:snapToGrid w:val="0"/>
        </w:rPr>
        <w:t xml:space="preserve"> of a springs and ground</w:t>
      </w:r>
      <w:r>
        <w:rPr>
          <w:snapToGrid w:val="0"/>
        </w:rPr>
        <w:t xml:space="preserve"> </w:t>
      </w:r>
      <w:r w:rsidRPr="00635365">
        <w:rPr>
          <w:snapToGrid w:val="0"/>
        </w:rPr>
        <w:t>water quality assessment (</w:t>
      </w:r>
      <w:r>
        <w:rPr>
          <w:snapToGrid w:val="0"/>
        </w:rPr>
        <w:t xml:space="preserve">using data collected from </w:t>
      </w:r>
      <w:r w:rsidRPr="00635365">
        <w:rPr>
          <w:snapToGrid w:val="0"/>
        </w:rPr>
        <w:t>2005</w:t>
      </w:r>
      <w:r>
        <w:rPr>
          <w:snapToGrid w:val="0"/>
        </w:rPr>
        <w:t xml:space="preserve"> to 20</w:t>
      </w:r>
      <w:r w:rsidRPr="00635365">
        <w:rPr>
          <w:snapToGrid w:val="0"/>
        </w:rPr>
        <w:t>09).  The assessment interpreted data from the entire period of study (both phases</w:t>
      </w:r>
      <w:r>
        <w:rPr>
          <w:snapToGrid w:val="0"/>
        </w:rPr>
        <w:t xml:space="preserve"> covered </w:t>
      </w:r>
      <w:r w:rsidRPr="00635365">
        <w:rPr>
          <w:snapToGrid w:val="0"/>
        </w:rPr>
        <w:t xml:space="preserve">1991 </w:t>
      </w:r>
      <w:r>
        <w:rPr>
          <w:snapToGrid w:val="0"/>
        </w:rPr>
        <w:t>to</w:t>
      </w:r>
      <w:r w:rsidRPr="00635365">
        <w:rPr>
          <w:snapToGrid w:val="0"/>
        </w:rPr>
        <w:t xml:space="preserve"> 2009) in context with climatic response, anthropogenic effects</w:t>
      </w:r>
      <w:r>
        <w:rPr>
          <w:snapToGrid w:val="0"/>
        </w:rPr>
        <w:t>,</w:t>
      </w:r>
      <w:r w:rsidRPr="00635365">
        <w:rPr>
          <w:snapToGrid w:val="0"/>
        </w:rPr>
        <w:t xml:space="preserve"> and </w:t>
      </w:r>
      <w:r>
        <w:rPr>
          <w:snapToGrid w:val="0"/>
        </w:rPr>
        <w:t xml:space="preserve">the </w:t>
      </w:r>
      <w:r w:rsidRPr="00635365">
        <w:rPr>
          <w:snapToGrid w:val="0"/>
        </w:rPr>
        <w:t>development of predictive tools.  Data indicate that freshwater ground</w:t>
      </w:r>
      <w:r>
        <w:rPr>
          <w:snapToGrid w:val="0"/>
        </w:rPr>
        <w:t xml:space="preserve"> </w:t>
      </w:r>
      <w:r w:rsidRPr="00635365">
        <w:rPr>
          <w:snapToGrid w:val="0"/>
        </w:rPr>
        <w:t xml:space="preserve">water supplies are being affected by saltwater intrusion and encroachment.  Induced saline-water upwelling and inland encroachment </w:t>
      </w:r>
      <w:r>
        <w:rPr>
          <w:snapToGrid w:val="0"/>
        </w:rPr>
        <w:t>are</w:t>
      </w:r>
      <w:r w:rsidRPr="00635365">
        <w:rPr>
          <w:snapToGrid w:val="0"/>
        </w:rPr>
        <w:t xml:space="preserve"> becoming a significant environmental challenge</w:t>
      </w:r>
      <w:r>
        <w:rPr>
          <w:snapToGrid w:val="0"/>
        </w:rPr>
        <w:t>,</w:t>
      </w:r>
      <w:r w:rsidRPr="00635365">
        <w:rPr>
          <w:snapToGrid w:val="0"/>
        </w:rPr>
        <w:t xml:space="preserve"> considering th</w:t>
      </w:r>
      <w:r>
        <w:rPr>
          <w:snapToGrid w:val="0"/>
        </w:rPr>
        <w:t xml:space="preserve">at the state needs </w:t>
      </w:r>
      <w:r w:rsidRPr="00635365">
        <w:rPr>
          <w:snapToGrid w:val="0"/>
        </w:rPr>
        <w:t>plentiful, good</w:t>
      </w:r>
      <w:r>
        <w:rPr>
          <w:snapToGrid w:val="0"/>
        </w:rPr>
        <w:t>-</w:t>
      </w:r>
      <w:r w:rsidRPr="00635365">
        <w:rPr>
          <w:snapToGrid w:val="0"/>
        </w:rPr>
        <w:t xml:space="preserve">quality water for drinking, agricultural and industrial </w:t>
      </w:r>
      <w:r>
        <w:rPr>
          <w:snapToGrid w:val="0"/>
        </w:rPr>
        <w:t>use</w:t>
      </w:r>
      <w:r w:rsidRPr="00635365">
        <w:rPr>
          <w:snapToGrid w:val="0"/>
        </w:rPr>
        <w:t xml:space="preserve">, </w:t>
      </w:r>
      <w:r>
        <w:rPr>
          <w:snapToGrid w:val="0"/>
        </w:rPr>
        <w:t xml:space="preserve">and the </w:t>
      </w:r>
      <w:r w:rsidRPr="00635365">
        <w:rPr>
          <w:snapToGrid w:val="0"/>
        </w:rPr>
        <w:t xml:space="preserve">maintenance of natural communities. </w:t>
      </w:r>
      <w:r>
        <w:rPr>
          <w:snapToGrid w:val="0"/>
        </w:rPr>
        <w:t xml:space="preserve"> </w:t>
      </w:r>
    </w:p>
    <w:p w:rsidR="00485094" w:rsidRPr="00097ED9" w:rsidRDefault="00485094" w:rsidP="007718E6">
      <w:pPr>
        <w:pStyle w:val="Listbulletadditional"/>
        <w:rPr>
          <w:snapToGrid w:val="0"/>
        </w:rPr>
      </w:pPr>
      <w:r w:rsidRPr="00097ED9">
        <w:rPr>
          <w:snapToGrid w:val="0"/>
        </w:rPr>
        <w:t xml:space="preserve">To address water supply issues, </w:t>
      </w:r>
      <w:r>
        <w:rPr>
          <w:snapToGrid w:val="0"/>
        </w:rPr>
        <w:t xml:space="preserve">the FGS has proposed the creation of </w:t>
      </w:r>
      <w:r w:rsidRPr="00097ED9">
        <w:rPr>
          <w:snapToGrid w:val="0"/>
        </w:rPr>
        <w:t xml:space="preserve">a new multiagency working group to </w:t>
      </w:r>
      <w:r>
        <w:rPr>
          <w:snapToGrid w:val="0"/>
        </w:rPr>
        <w:t>better align</w:t>
      </w:r>
      <w:r w:rsidRPr="00097ED9">
        <w:rPr>
          <w:snapToGrid w:val="0"/>
        </w:rPr>
        <w:t xml:space="preserve"> local, state and federal monitoring efforts, and </w:t>
      </w:r>
      <w:r>
        <w:rPr>
          <w:snapToGrid w:val="0"/>
        </w:rPr>
        <w:t xml:space="preserve">to </w:t>
      </w:r>
      <w:r w:rsidRPr="00097ED9">
        <w:rPr>
          <w:snapToGrid w:val="0"/>
        </w:rPr>
        <w:t xml:space="preserve">coordinate with the Florida Water Resources Monitoring Council.  The objectives of the group would be to organize and initiate the multiagency statewide working group needed to address </w:t>
      </w:r>
      <w:r>
        <w:rPr>
          <w:snapToGrid w:val="0"/>
        </w:rPr>
        <w:t xml:space="preserve">the issue of </w:t>
      </w:r>
      <w:r w:rsidRPr="00097ED9">
        <w:rPr>
          <w:snapToGrid w:val="0"/>
        </w:rPr>
        <w:t>saltwater encroachment.  There is further interest in developing and u</w:t>
      </w:r>
      <w:r>
        <w:rPr>
          <w:snapToGrid w:val="0"/>
        </w:rPr>
        <w:t>s</w:t>
      </w:r>
      <w:r w:rsidRPr="00097ED9">
        <w:rPr>
          <w:snapToGrid w:val="0"/>
        </w:rPr>
        <w:t xml:space="preserve">ing “report card(s)” </w:t>
      </w:r>
      <w:r>
        <w:rPr>
          <w:snapToGrid w:val="0"/>
        </w:rPr>
        <w:t>to increase</w:t>
      </w:r>
      <w:r w:rsidRPr="00097ED9">
        <w:rPr>
          <w:snapToGrid w:val="0"/>
        </w:rPr>
        <w:t xml:space="preserve"> public awareness and to keep elected officials and media engaged</w:t>
      </w:r>
      <w:r>
        <w:rPr>
          <w:snapToGrid w:val="0"/>
        </w:rPr>
        <w:t>, in order</w:t>
      </w:r>
      <w:r w:rsidRPr="00097ED9">
        <w:rPr>
          <w:snapToGrid w:val="0"/>
        </w:rPr>
        <w:t xml:space="preserve"> to encourage </w:t>
      </w:r>
      <w:r>
        <w:rPr>
          <w:snapToGrid w:val="0"/>
        </w:rPr>
        <w:t xml:space="preserve">the </w:t>
      </w:r>
      <w:r w:rsidRPr="00097ED9">
        <w:rPr>
          <w:snapToGrid w:val="0"/>
        </w:rPr>
        <w:t>continued funding of relevant long-term programs</w:t>
      </w:r>
      <w:r>
        <w:rPr>
          <w:snapToGrid w:val="0"/>
        </w:rPr>
        <w:t xml:space="preserve">, </w:t>
      </w:r>
      <w:r w:rsidRPr="00097ED9">
        <w:rPr>
          <w:snapToGrid w:val="0"/>
        </w:rPr>
        <w:t>projects</w:t>
      </w:r>
      <w:r>
        <w:rPr>
          <w:snapToGrid w:val="0"/>
        </w:rPr>
        <w:t xml:space="preserve">, and </w:t>
      </w:r>
      <w:r w:rsidRPr="00097ED9">
        <w:rPr>
          <w:snapToGrid w:val="0"/>
        </w:rPr>
        <w:t>initiatives.</w:t>
      </w:r>
    </w:p>
    <w:p w:rsidR="00485094" w:rsidRDefault="00485094" w:rsidP="008746D5">
      <w:pPr>
        <w:pStyle w:val="ListBullet"/>
      </w:pPr>
      <w:r w:rsidRPr="00DC54A8">
        <w:rPr>
          <w:b/>
        </w:rPr>
        <w:lastRenderedPageBreak/>
        <w:t>Arsenic in Ground Water.</w:t>
      </w:r>
      <w:r>
        <w:t xml:space="preserve">  </w:t>
      </w:r>
      <w:r w:rsidRPr="008A0F3A">
        <w:t>Over the last two decades, high levels of arsenic, which can adversely affect human health, have been found in potable water wells and monitoring wells in Florida</w:t>
      </w:r>
      <w:r>
        <w:t>.</w:t>
      </w:r>
      <w:r w:rsidRPr="008A0F3A">
        <w:t xml:space="preserve"> </w:t>
      </w:r>
      <w:r>
        <w:t xml:space="preserve"> R</w:t>
      </w:r>
      <w:r w:rsidRPr="008A0F3A">
        <w:t xml:space="preserve">egions with high exceedance levels include the Springs Coast, Lower St. Johns, Ocklawaha, Suwannee, Withlacoochee, and Tampa Bay Tributaries Basins.  The arsenic may be naturally occurring, anthropogenic, or released into ground water because of human activities.  Recent </w:t>
      </w:r>
      <w:r w:rsidR="0070466C">
        <w:t>reductions in</w:t>
      </w:r>
      <w:r w:rsidRPr="008A0F3A">
        <w:t xml:space="preserve"> the ground</w:t>
      </w:r>
      <w:r>
        <w:t xml:space="preserve"> </w:t>
      </w:r>
      <w:r w:rsidRPr="008A0F3A">
        <w:t>water arsenic criteri</w:t>
      </w:r>
      <w:r>
        <w:t>on</w:t>
      </w:r>
      <w:r w:rsidRPr="008A0F3A">
        <w:t xml:space="preserve"> from 50 to 10 </w:t>
      </w:r>
      <w:r>
        <w:rPr>
          <w:rFonts w:ascii="Symbol" w:hAnsi="Symbol"/>
        </w:rPr>
        <w:t></w:t>
      </w:r>
      <w:r w:rsidRPr="00DF628B">
        <w:t xml:space="preserve">g/L </w:t>
      </w:r>
      <w:r>
        <w:t>have increased the</w:t>
      </w:r>
      <w:r w:rsidRPr="008A0F3A">
        <w:t xml:space="preserve"> number of wells that may require </w:t>
      </w:r>
      <w:r>
        <w:t>remediation, such as the insta</w:t>
      </w:r>
      <w:r w:rsidRPr="008A0F3A">
        <w:t xml:space="preserve">llation of filters. </w:t>
      </w:r>
    </w:p>
    <w:p w:rsidR="00485094" w:rsidRDefault="00485094" w:rsidP="00DF628B">
      <w:pPr>
        <w:pStyle w:val="Listbulletadditional"/>
      </w:pPr>
      <w:r w:rsidRPr="008A0F3A">
        <w:t>To address the issue of arsenic contamination in ground water, FDEP’s Ground Water and Watershed Monitoring sections,</w:t>
      </w:r>
      <w:r>
        <w:t xml:space="preserve"> the</w:t>
      </w:r>
      <w:r w:rsidRPr="008A0F3A">
        <w:t xml:space="preserve"> F</w:t>
      </w:r>
      <w:r>
        <w:t>GS,</w:t>
      </w:r>
      <w:r w:rsidRPr="008A0F3A">
        <w:t xml:space="preserve"> and the Southwest Florida Water Management District </w:t>
      </w:r>
      <w:r>
        <w:t xml:space="preserve">have </w:t>
      </w:r>
      <w:r w:rsidRPr="008A0F3A">
        <w:t xml:space="preserve">initiated a focused five-year arsenic study in four counties in southwest Florida.  The study, now in its third year, will evaluate the effect of land use, aquifer lithology, and water levels, or the interaction of all three, on arsenic levels in ground water and develop a predictive model to </w:t>
      </w:r>
      <w:r>
        <w:t xml:space="preserve">help identify the best locations for </w:t>
      </w:r>
      <w:r w:rsidRPr="008A0F3A">
        <w:t xml:space="preserve">potable water wells with </w:t>
      </w:r>
      <w:r>
        <w:t>low</w:t>
      </w:r>
      <w:r w:rsidRPr="008A0F3A">
        <w:t xml:space="preserve"> arsenic-leaching potential.</w:t>
      </w:r>
    </w:p>
    <w:p w:rsidR="00485094" w:rsidRPr="001B0F18" w:rsidRDefault="00485094" w:rsidP="008746D5">
      <w:pPr>
        <w:pStyle w:val="ListBullet"/>
        <w:rPr>
          <w:sz w:val="16"/>
        </w:rPr>
      </w:pPr>
      <w:r w:rsidRPr="00097ED9">
        <w:rPr>
          <w:b/>
          <w:snapToGrid w:val="0"/>
        </w:rPr>
        <w:t>Emerging Substances of Concern.</w:t>
      </w:r>
      <w:r w:rsidRPr="00097ED9">
        <w:rPr>
          <w:snapToGrid w:val="0"/>
        </w:rPr>
        <w:t xml:space="preserve">  In December 2008, an FDEP workgroup released a report on strategies to effectively address a wide variety of potential contaminants in surface water and g</w:t>
      </w:r>
      <w:r>
        <w:rPr>
          <w:snapToGrid w:val="0"/>
        </w:rPr>
        <w:t>round water</w:t>
      </w:r>
      <w:r w:rsidRPr="007E5F1B">
        <w:rPr>
          <w:snapToGrid w:val="0"/>
        </w:rPr>
        <w:t xml:space="preserve">.  These contaminants, </w:t>
      </w:r>
      <w:r>
        <w:rPr>
          <w:snapToGrid w:val="0"/>
        </w:rPr>
        <w:t xml:space="preserve">which are </w:t>
      </w:r>
      <w:r w:rsidRPr="007E5F1B">
        <w:rPr>
          <w:snapToGrid w:val="0"/>
        </w:rPr>
        <w:t>commonly referred to as Emerging Substances of Concern</w:t>
      </w:r>
      <w:r>
        <w:rPr>
          <w:snapToGrid w:val="0"/>
        </w:rPr>
        <w:t xml:space="preserve"> (</w:t>
      </w:r>
      <w:r w:rsidRPr="007E5F1B">
        <w:rPr>
          <w:snapToGrid w:val="0"/>
        </w:rPr>
        <w:t>ESOC</w:t>
      </w:r>
      <w:r>
        <w:rPr>
          <w:snapToGrid w:val="0"/>
        </w:rPr>
        <w:t>)</w:t>
      </w:r>
      <w:r w:rsidRPr="007E5F1B">
        <w:rPr>
          <w:snapToGrid w:val="0"/>
        </w:rPr>
        <w:t xml:space="preserve">, include global organic contaminants, endocrine-modulating chemicals, nanoparticles, and biological metabolites.  Recent improvements in laboratory analytical methods have enabled the identification of these substances, which likely have been present in waters for decades.  ESOC are particularly challenging for regulatory agencies because of their sheer numbers (there are </w:t>
      </w:r>
      <w:r>
        <w:rPr>
          <w:snapToGrid w:val="0"/>
        </w:rPr>
        <w:t>about</w:t>
      </w:r>
      <w:r w:rsidRPr="007E5F1B">
        <w:rPr>
          <w:snapToGrid w:val="0"/>
        </w:rPr>
        <w:t xml:space="preserve"> 14 million commercially available compounds in the United States) and because environmental risk cannot </w:t>
      </w:r>
      <w:r>
        <w:rPr>
          <w:snapToGrid w:val="0"/>
        </w:rPr>
        <w:t xml:space="preserve">currently </w:t>
      </w:r>
      <w:r w:rsidRPr="007E5F1B">
        <w:rPr>
          <w:snapToGrid w:val="0"/>
        </w:rPr>
        <w:t xml:space="preserve">be meaningfully assessed for the vast majority of </w:t>
      </w:r>
      <w:r>
        <w:rPr>
          <w:snapToGrid w:val="0"/>
        </w:rPr>
        <w:t>them</w:t>
      </w:r>
      <w:r w:rsidRPr="007E5F1B">
        <w:rPr>
          <w:snapToGrid w:val="0"/>
        </w:rPr>
        <w:t xml:space="preserve">.  </w:t>
      </w:r>
    </w:p>
    <w:p w:rsidR="00485094" w:rsidRPr="00F5173D" w:rsidRDefault="00485094" w:rsidP="001B0F18">
      <w:pPr>
        <w:pStyle w:val="Listbulletadditional"/>
        <w:rPr>
          <w:sz w:val="16"/>
        </w:rPr>
      </w:pPr>
      <w:r w:rsidRPr="00F11DAB">
        <w:rPr>
          <w:snapToGrid w:val="0"/>
        </w:rPr>
        <w:t>The report identified several potential strategies for addressing ESOC, including the following:</w:t>
      </w:r>
    </w:p>
    <w:p w:rsidR="00485094" w:rsidRDefault="00485094" w:rsidP="008746D5">
      <w:pPr>
        <w:pStyle w:val="Listbulletsub"/>
      </w:pPr>
      <w:r w:rsidRPr="00F11DAB">
        <w:t>P</w:t>
      </w:r>
      <w:r>
        <w:t>reventing p</w:t>
      </w:r>
      <w:r w:rsidRPr="00F11DAB">
        <w:t xml:space="preserve">ollution </w:t>
      </w:r>
      <w:r>
        <w:t>through</w:t>
      </w:r>
      <w:r w:rsidRPr="00F11DAB">
        <w:t xml:space="preserve"> stakeholder education; </w:t>
      </w:r>
    </w:p>
    <w:p w:rsidR="00485094" w:rsidRDefault="00485094" w:rsidP="008746D5">
      <w:pPr>
        <w:pStyle w:val="Listbulletsub"/>
      </w:pPr>
      <w:r w:rsidRPr="00F11DAB">
        <w:t>Assess</w:t>
      </w:r>
      <w:r>
        <w:t>ing</w:t>
      </w:r>
      <w:r w:rsidRPr="00F11DAB">
        <w:t xml:space="preserve"> ESOC data quality to better understand the magnitude of ESOC concentrations in the environment</w:t>
      </w:r>
      <w:r>
        <w:t>,</w:t>
      </w:r>
      <w:r w:rsidRPr="00F11DAB">
        <w:t xml:space="preserve"> given the incorrect reporting of ESOC levels by some key researchers;</w:t>
      </w:r>
    </w:p>
    <w:p w:rsidR="00485094" w:rsidRDefault="00485094" w:rsidP="008746D5">
      <w:pPr>
        <w:pStyle w:val="Listbulletsub"/>
      </w:pPr>
      <w:r>
        <w:t>Asking</w:t>
      </w:r>
      <w:r w:rsidRPr="00F11DAB">
        <w:t xml:space="preserve"> the </w:t>
      </w:r>
      <w:r>
        <w:t>EPA</w:t>
      </w:r>
      <w:r w:rsidRPr="00F11DAB">
        <w:t xml:space="preserve"> for specific ESOC monitoring projects; and</w:t>
      </w:r>
    </w:p>
    <w:p w:rsidR="00485094" w:rsidRDefault="00485094" w:rsidP="008746D5">
      <w:pPr>
        <w:pStyle w:val="Listbulletsub"/>
      </w:pPr>
      <w:r w:rsidRPr="00F11DAB">
        <w:t>Improv</w:t>
      </w:r>
      <w:r>
        <w:t>ing</w:t>
      </w:r>
      <w:r w:rsidRPr="00F11DAB">
        <w:t xml:space="preserve"> coordination with federal agencies.</w:t>
      </w:r>
    </w:p>
    <w:p w:rsidR="00485094" w:rsidRDefault="00485094">
      <w:pPr>
        <w:pStyle w:val="Bodytextreduced"/>
      </w:pPr>
    </w:p>
    <w:p w:rsidR="00485094" w:rsidRPr="007E5F1B" w:rsidRDefault="00485094" w:rsidP="008746D5">
      <w:pPr>
        <w:pStyle w:val="Listbulletadditional"/>
        <w:rPr>
          <w:sz w:val="16"/>
        </w:rPr>
      </w:pPr>
      <w:r w:rsidRPr="00DA441B">
        <w:rPr>
          <w:snapToGrid w:val="0"/>
        </w:rPr>
        <w:t xml:space="preserve">While the </w:t>
      </w:r>
      <w:r>
        <w:rPr>
          <w:snapToGrid w:val="0"/>
        </w:rPr>
        <w:t>report</w:t>
      </w:r>
      <w:r w:rsidRPr="00DA441B">
        <w:rPr>
          <w:snapToGrid w:val="0"/>
        </w:rPr>
        <w:t xml:space="preserve"> describes all of the strategies, the workgroup concluded that preventing ESOC from entering the environment is the most effective control strategy, and </w:t>
      </w:r>
      <w:r>
        <w:rPr>
          <w:snapToGrid w:val="0"/>
        </w:rPr>
        <w:t>FDEP’s</w:t>
      </w:r>
      <w:r w:rsidRPr="00DA441B">
        <w:rPr>
          <w:snapToGrid w:val="0"/>
        </w:rPr>
        <w:t xml:space="preserve"> initial efforts to address ESOC have focused on public education.  Additional information and the workgroup report are available on the </w:t>
      </w:r>
      <w:hyperlink r:id="rId47" w:history="1">
        <w:r w:rsidRPr="007E5F1B">
          <w:rPr>
            <w:rStyle w:val="Hyperlink"/>
            <w:snapToGrid w:val="0"/>
          </w:rPr>
          <w:t>FDEP Watershed Management website</w:t>
        </w:r>
      </w:hyperlink>
      <w:r w:rsidRPr="007E5F1B">
        <w:rPr>
          <w:snapToGrid w:val="0"/>
        </w:rPr>
        <w:t xml:space="preserve">.  </w:t>
      </w:r>
    </w:p>
    <w:p w:rsidR="00485094" w:rsidRPr="002522EC" w:rsidRDefault="00485094" w:rsidP="008746D5">
      <w:pPr>
        <w:pStyle w:val="ListBullet"/>
        <w:rPr>
          <w:snapToGrid w:val="0"/>
        </w:rPr>
      </w:pPr>
      <w:r w:rsidRPr="00DC54A8">
        <w:rPr>
          <w:b/>
          <w:iCs/>
        </w:rPr>
        <w:t>Ocean Acidification.</w:t>
      </w:r>
      <w:r>
        <w:t xml:space="preserve">  </w:t>
      </w:r>
      <w:r w:rsidRPr="003A6CE8">
        <w:t>Some recent studies have indicated a declining trend in pH in ocean waters on a global scale</w:t>
      </w:r>
      <w:r w:rsidRPr="002522EC">
        <w:rPr>
          <w:snapToGrid w:val="0"/>
        </w:rPr>
        <w:t xml:space="preserve">. </w:t>
      </w:r>
      <w:r w:rsidRPr="002522EC">
        <w:rPr>
          <w:b/>
        </w:rPr>
        <w:t xml:space="preserve"> </w:t>
      </w:r>
      <w:r w:rsidRPr="002522EC">
        <w:rPr>
          <w:snapToGrid w:val="0"/>
        </w:rPr>
        <w:t xml:space="preserve">Florida has many aquatic species that are sensitive to shifts in pH, and site-specific studies in Florida are needed.  As part of a much larger statewide initiative to investigate global warming, FDEP </w:t>
      </w:r>
      <w:r>
        <w:rPr>
          <w:snapToGrid w:val="0"/>
        </w:rPr>
        <w:t xml:space="preserve">has </w:t>
      </w:r>
      <w:r w:rsidRPr="002522EC">
        <w:rPr>
          <w:snapToGrid w:val="0"/>
        </w:rPr>
        <w:lastRenderedPageBreak/>
        <w:t xml:space="preserve">initiated activities to study potential impacts on the state’s aquatic resources </w:t>
      </w:r>
      <w:r>
        <w:rPr>
          <w:snapToGrid w:val="0"/>
        </w:rPr>
        <w:t>of</w:t>
      </w:r>
      <w:r w:rsidRPr="002522EC">
        <w:rPr>
          <w:snapToGrid w:val="0"/>
        </w:rPr>
        <w:t xml:space="preserve"> declining pH concentrations in the nation’s coastal waters.  At this time, it is not known if this is an issue in Florida waters, but work continues in an effort to answer that question.  </w:t>
      </w:r>
      <w:r>
        <w:rPr>
          <w:snapToGrid w:val="0"/>
        </w:rPr>
        <w:t xml:space="preserve">FDEP’s Office </w:t>
      </w:r>
      <w:r w:rsidR="0070466C">
        <w:rPr>
          <w:snapToGrid w:val="0"/>
        </w:rPr>
        <w:t xml:space="preserve">of </w:t>
      </w:r>
      <w:r>
        <w:rPr>
          <w:snapToGrid w:val="0"/>
        </w:rPr>
        <w:t>Coastal and Aquatic Managed Areas (</w:t>
      </w:r>
      <w:r w:rsidRPr="002522EC">
        <w:rPr>
          <w:snapToGrid w:val="0"/>
        </w:rPr>
        <w:t>CAMA</w:t>
      </w:r>
      <w:r>
        <w:rPr>
          <w:snapToGrid w:val="0"/>
        </w:rPr>
        <w:t>)</w:t>
      </w:r>
      <w:r w:rsidRPr="002522EC">
        <w:rPr>
          <w:snapToGrid w:val="0"/>
        </w:rPr>
        <w:t xml:space="preserve"> is coordinating the collection of carbon dioxide data in the vicinity of coral reefs.  It will likely take several years of data collection before any trends </w:t>
      </w:r>
      <w:r>
        <w:rPr>
          <w:snapToGrid w:val="0"/>
        </w:rPr>
        <w:t>are</w:t>
      </w:r>
      <w:r w:rsidRPr="002522EC">
        <w:rPr>
          <w:snapToGrid w:val="0"/>
        </w:rPr>
        <w:t xml:space="preserve"> observed</w:t>
      </w:r>
      <w:r w:rsidR="0070466C">
        <w:rPr>
          <w:snapToGrid w:val="0"/>
        </w:rPr>
        <w:t>.</w:t>
      </w:r>
    </w:p>
    <w:p w:rsidR="00485094" w:rsidRDefault="00485094" w:rsidP="008746D5">
      <w:pPr>
        <w:pStyle w:val="ListBullet"/>
      </w:pPr>
      <w:r w:rsidRPr="00DC54A8">
        <w:rPr>
          <w:b/>
          <w:iCs/>
        </w:rPr>
        <w:t>Revision of Fecal Coliform Criteria.</w:t>
      </w:r>
      <w:r>
        <w:t xml:space="preserve">  </w:t>
      </w:r>
      <w:r w:rsidRPr="00E675E1">
        <w:t>Based on beach advisories and shellfish bed closures, concentrations of bacteria above water quality standards in the water column sometimes limit primary contact and recreational use, as well as shellfish harvesting use support</w:t>
      </w:r>
      <w:r w:rsidRPr="00A1222C">
        <w:t>.</w:t>
      </w:r>
      <w:r>
        <w:t xml:space="preserve">  However, these advisories or closures may not accurately identify the true risk to human health due to the limitations of the criteria used to assess these uses.</w:t>
      </w:r>
      <w:r w:rsidRPr="00E675E1">
        <w:t xml:space="preserve"> </w:t>
      </w:r>
      <w:r>
        <w:t xml:space="preserve"> </w:t>
      </w:r>
      <w:r w:rsidRPr="00E675E1">
        <w:t xml:space="preserve">Current </w:t>
      </w:r>
      <w:r>
        <w:t xml:space="preserve">methods for evaluating whether </w:t>
      </w:r>
      <w:r w:rsidRPr="00E675E1">
        <w:t>recreational and shellfish</w:t>
      </w:r>
      <w:r>
        <w:t>-</w:t>
      </w:r>
      <w:r w:rsidRPr="00E675E1">
        <w:t>harvest</w:t>
      </w:r>
      <w:r>
        <w:t>ing</w:t>
      </w:r>
      <w:r w:rsidRPr="00E675E1">
        <w:t xml:space="preserve"> </w:t>
      </w:r>
      <w:r>
        <w:t xml:space="preserve">areas meet </w:t>
      </w:r>
      <w:r w:rsidRPr="00E675E1">
        <w:t xml:space="preserve">water quality criteria are based on </w:t>
      </w:r>
      <w:r>
        <w:t>the culture of</w:t>
      </w:r>
      <w:r w:rsidRPr="00E675E1">
        <w:t xml:space="preserve"> fecal </w:t>
      </w:r>
      <w:r>
        <w:t xml:space="preserve">bacteria used as </w:t>
      </w:r>
      <w:r w:rsidRPr="00E675E1">
        <w:t>indicator</w:t>
      </w:r>
      <w:r>
        <w:t>s; these evaluations require more</w:t>
      </w:r>
      <w:r w:rsidRPr="00E675E1">
        <w:t xml:space="preserve"> than 24</w:t>
      </w:r>
      <w:r>
        <w:t xml:space="preserve"> </w:t>
      </w:r>
      <w:r w:rsidRPr="00E675E1">
        <w:t xml:space="preserve">hours to perform and are not source specific, making them impractical for management decision making.  </w:t>
      </w:r>
    </w:p>
    <w:p w:rsidR="00485094" w:rsidRDefault="00485094" w:rsidP="001B0F18">
      <w:pPr>
        <w:pStyle w:val="Listbulletadditional"/>
        <w:ind w:left="630"/>
      </w:pPr>
      <w:r>
        <w:t xml:space="preserve">The </w:t>
      </w:r>
      <w:r w:rsidRPr="00E675E1">
        <w:t>EPA is currently revis</w:t>
      </w:r>
      <w:r>
        <w:t>ing</w:t>
      </w:r>
      <w:r w:rsidRPr="00E675E1">
        <w:t xml:space="preserve"> recreational water quality criteria based on more rapid molecular methods</w:t>
      </w:r>
      <w:r>
        <w:t>; however</w:t>
      </w:r>
      <w:r w:rsidRPr="00E675E1">
        <w:t xml:space="preserve">, these methods </w:t>
      </w:r>
      <w:r>
        <w:t>have a number of disadvantages, as follows</w:t>
      </w:r>
      <w:r w:rsidRPr="00E675E1">
        <w:t>:</w:t>
      </w:r>
    </w:p>
    <w:p w:rsidR="00485094" w:rsidRDefault="00485094" w:rsidP="008746D5">
      <w:pPr>
        <w:pStyle w:val="Listbulletsub"/>
      </w:pPr>
      <w:r>
        <w:t xml:space="preserve">They will </w:t>
      </w:r>
      <w:r w:rsidRPr="00E675E1">
        <w:t>still not be source specific</w:t>
      </w:r>
      <w:r>
        <w:t>;</w:t>
      </w:r>
    </w:p>
    <w:p w:rsidR="00485094" w:rsidRDefault="00485094" w:rsidP="008746D5">
      <w:pPr>
        <w:pStyle w:val="Listbulletsub"/>
      </w:pPr>
      <w:r>
        <w:t xml:space="preserve">They will </w:t>
      </w:r>
      <w:r w:rsidRPr="00E675E1">
        <w:t>still not be rapid enough for beach managers to use for same day beach notifications</w:t>
      </w:r>
      <w:r>
        <w:t>;</w:t>
      </w:r>
    </w:p>
    <w:p w:rsidR="00485094" w:rsidRDefault="00485094" w:rsidP="008746D5">
      <w:pPr>
        <w:pStyle w:val="Listbulletsub"/>
      </w:pPr>
      <w:r>
        <w:t xml:space="preserve">They will </w:t>
      </w:r>
      <w:r w:rsidRPr="00E675E1">
        <w:t>result in even greater numbers of waters being listed as impaired</w:t>
      </w:r>
      <w:r>
        <w:t>;</w:t>
      </w:r>
      <w:r w:rsidRPr="00E675E1">
        <w:t xml:space="preserve"> </w:t>
      </w:r>
    </w:p>
    <w:p w:rsidR="00485094" w:rsidRDefault="00485094" w:rsidP="008746D5">
      <w:pPr>
        <w:pStyle w:val="Listbulletsub"/>
      </w:pPr>
      <w:r>
        <w:t xml:space="preserve">They will </w:t>
      </w:r>
      <w:r w:rsidRPr="00E675E1">
        <w:t>be significantly more expensive</w:t>
      </w:r>
      <w:r>
        <w:t>; and</w:t>
      </w:r>
    </w:p>
    <w:p w:rsidR="00485094" w:rsidRDefault="00485094" w:rsidP="008746D5">
      <w:pPr>
        <w:pStyle w:val="Listbulletsub"/>
      </w:pPr>
      <w:r>
        <w:t xml:space="preserve">They will </w:t>
      </w:r>
      <w:r w:rsidRPr="00E675E1">
        <w:t>result in questionable gains in human health protection.</w:t>
      </w:r>
    </w:p>
    <w:p w:rsidR="00485094" w:rsidRDefault="00485094" w:rsidP="0073604D">
      <w:pPr>
        <w:pStyle w:val="Bodytextreduced"/>
      </w:pPr>
    </w:p>
    <w:p w:rsidR="00485094" w:rsidRDefault="00485094" w:rsidP="008746D5">
      <w:pPr>
        <w:pStyle w:val="Listbulletadditional"/>
      </w:pPr>
      <w:r w:rsidRPr="00E675E1">
        <w:t>FDEP is funding research to validate human-associated microbial source tracking tools to better distinguish when elevated fecal indicator levels are associate</w:t>
      </w:r>
      <w:r>
        <w:t>d</w:t>
      </w:r>
      <w:r w:rsidRPr="00E675E1">
        <w:t xml:space="preserve"> with human sources of fecal contamination</w:t>
      </w:r>
      <w:r>
        <w:t>,</w:t>
      </w:r>
      <w:r w:rsidRPr="00E675E1">
        <w:t xml:space="preserve"> </w:t>
      </w:r>
      <w:r>
        <w:t xml:space="preserve">and not natural sources such as wildlife, </w:t>
      </w:r>
      <w:r w:rsidRPr="00E675E1">
        <w:t>in order to prioritize restoration efforts in areas with the greatest probable risk to human health.</w:t>
      </w:r>
    </w:p>
    <w:p w:rsidR="00485094" w:rsidRPr="008746D5" w:rsidRDefault="00485094" w:rsidP="008746D5">
      <w:pPr>
        <w:pStyle w:val="ListBullet"/>
      </w:pPr>
      <w:bookmarkStart w:id="127" w:name="_Toc490373210"/>
      <w:bookmarkEnd w:id="126"/>
      <w:r w:rsidRPr="008746D5">
        <w:rPr>
          <w:b/>
        </w:rPr>
        <w:t>Revision of DO Criterion.</w:t>
      </w:r>
      <w:r w:rsidRPr="008746D5">
        <w:t xml:space="preserve">  Florida’s DO criterion currently requires that DO “shall not be less than 5.0 mg/L</w:t>
      </w:r>
      <w:r w:rsidR="00BC4A3F" w:rsidRPr="00BC4A3F">
        <w:t xml:space="preserve"> </w:t>
      </w:r>
      <w:r w:rsidR="00BC4A3F">
        <w:t>in</w:t>
      </w:r>
      <w:r w:rsidR="00BC4A3F" w:rsidRPr="008746D5">
        <w:t xml:space="preserve"> Class I and III fresh waters</w:t>
      </w:r>
      <w:r w:rsidRPr="008746D5">
        <w:t xml:space="preserve">.  </w:t>
      </w:r>
      <w:r w:rsidR="00BC4A3F">
        <w:t>Additionally, n</w:t>
      </w:r>
      <w:r w:rsidRPr="008746D5">
        <w:t>ormal daily and seasonal fluctuations above this level shall be maintained” (Subsection 62-302.530</w:t>
      </w:r>
      <w:r>
        <w:t>[</w:t>
      </w:r>
      <w:r w:rsidRPr="008746D5">
        <w:t>31</w:t>
      </w:r>
      <w:r>
        <w:t>]</w:t>
      </w:r>
      <w:r w:rsidRPr="008746D5">
        <w:t xml:space="preserve">, </w:t>
      </w:r>
      <w:r>
        <w:t>Florida Administrative Code [</w:t>
      </w:r>
      <w:r w:rsidRPr="008746D5">
        <w:t>F.A.C.</w:t>
      </w:r>
      <w:r>
        <w:t>]</w:t>
      </w:r>
      <w:r w:rsidRPr="008746D5">
        <w:t>).  Florida’s fresh waters are exposed to temperatures ranging from temperate to tropical</w:t>
      </w:r>
      <w:r>
        <w:t>,</w:t>
      </w:r>
      <w:r w:rsidRPr="008746D5">
        <w:t xml:space="preserve"> and many originate in low-oxygen environments, such as swamps and aquifers.  These sources are naturally low in DO and have daily and seasonal fluctuations where DO fall</w:t>
      </w:r>
      <w:r>
        <w:t>s</w:t>
      </w:r>
      <w:r w:rsidRPr="008746D5">
        <w:t xml:space="preserve"> below 5.0 mg/L.  Since these levels </w:t>
      </w:r>
      <w:r>
        <w:t>result from</w:t>
      </w:r>
      <w:r w:rsidRPr="008746D5">
        <w:t xml:space="preserve"> natural conditions and native flora and fauna have adapted to this varia</w:t>
      </w:r>
      <w:r>
        <w:t>bility</w:t>
      </w:r>
      <w:r w:rsidRPr="008746D5">
        <w:t xml:space="preserve">, they generally do not impact a waterbody’s designated use. </w:t>
      </w:r>
      <w:r w:rsidR="00BC4A3F">
        <w:t xml:space="preserve"> </w:t>
      </w:r>
      <w:r w:rsidR="00BC4A3F" w:rsidRPr="00D60457">
        <w:rPr>
          <w:rFonts w:cs="Arial"/>
        </w:rPr>
        <w:t xml:space="preserve">Furthermore, </w:t>
      </w:r>
      <w:r w:rsidR="0070466C" w:rsidRPr="008746D5">
        <w:t xml:space="preserve">Subsection </w:t>
      </w:r>
      <w:r w:rsidR="00BC4A3F" w:rsidRPr="00D60457">
        <w:rPr>
          <w:rFonts w:cs="Arial"/>
        </w:rPr>
        <w:t>62-302.300(15), F.A.C., states that “the Department shall not strive to abate natural conditions”</w:t>
      </w:r>
      <w:r w:rsidR="0070466C">
        <w:rPr>
          <w:rFonts w:cs="Arial"/>
        </w:rPr>
        <w:t>;</w:t>
      </w:r>
      <w:r w:rsidR="00BC4A3F" w:rsidRPr="00D60457">
        <w:rPr>
          <w:rFonts w:cs="Arial"/>
        </w:rPr>
        <w:t xml:space="preserve">  </w:t>
      </w:r>
      <w:r w:rsidR="00BC4A3F">
        <w:rPr>
          <w:rFonts w:cs="Arial"/>
        </w:rPr>
        <w:t>t</w:t>
      </w:r>
      <w:r w:rsidR="00BC4A3F" w:rsidRPr="00D60457">
        <w:rPr>
          <w:rFonts w:cs="Arial"/>
        </w:rPr>
        <w:t xml:space="preserve">herefore, </w:t>
      </w:r>
      <w:r w:rsidR="00BC4A3F">
        <w:rPr>
          <w:rFonts w:cs="Arial"/>
        </w:rPr>
        <w:t>F</w:t>
      </w:r>
      <w:r w:rsidR="00BC4A3F" w:rsidRPr="00D60457">
        <w:rPr>
          <w:rFonts w:cs="Arial"/>
        </w:rPr>
        <w:t xml:space="preserve">DEP is seeking to characterize natural conditions and identify causes of naturally low </w:t>
      </w:r>
      <w:r w:rsidR="00BC4A3F">
        <w:rPr>
          <w:rFonts w:cs="Arial"/>
        </w:rPr>
        <w:t>DO</w:t>
      </w:r>
      <w:r w:rsidR="00BC4A3F" w:rsidRPr="00D60457">
        <w:rPr>
          <w:rFonts w:cs="Arial"/>
        </w:rPr>
        <w:t xml:space="preserve"> levels to more clearly define “natural conditions.”  </w:t>
      </w:r>
    </w:p>
    <w:p w:rsidR="00485094" w:rsidRDefault="00485094" w:rsidP="008746D5">
      <w:pPr>
        <w:pStyle w:val="Listbulletadditional"/>
      </w:pPr>
      <w:r w:rsidRPr="008746D5">
        <w:t xml:space="preserve">To better understand the natural variability of DO and nutrient levels in freshwater aquatic systems around the state, FDEP conducted a major DO </w:t>
      </w:r>
      <w:r w:rsidRPr="008746D5">
        <w:lastRenderedPageBreak/>
        <w:t>study in 2005–06.  Approximately 350 sites in 6 different waterbody types were monitored quarterly.  Data were collected on water quality, water chemistry, and biology.</w:t>
      </w:r>
      <w:r w:rsidR="00BC4A3F">
        <w:t xml:space="preserve">  </w:t>
      </w:r>
      <w:r w:rsidR="00BC4A3F" w:rsidRPr="00D60457">
        <w:rPr>
          <w:rFonts w:cs="Arial"/>
        </w:rPr>
        <w:t xml:space="preserve">Data collected to date suggest that </w:t>
      </w:r>
      <w:r w:rsidR="00BC4A3F">
        <w:rPr>
          <w:rFonts w:cs="Arial"/>
        </w:rPr>
        <w:t>DO</w:t>
      </w:r>
      <w:r w:rsidR="00BC4A3F" w:rsidRPr="00D60457">
        <w:rPr>
          <w:rFonts w:cs="Arial"/>
        </w:rPr>
        <w:t xml:space="preserve"> regimes naturally vary among different types of freshwater systems, and that revisions to the current DO criteria are warranted.  However, FDEP is currently collecting additional data to better delineate those systems, characterize the respective DO regimes, and produce DO criteria that more accurately reflect reasonable expectations for those systems.  Using this approach to refine Florida’s DO criterion will allow </w:t>
      </w:r>
      <w:r w:rsidR="00BC4A3F">
        <w:rPr>
          <w:rFonts w:cs="Arial"/>
        </w:rPr>
        <w:t>F</w:t>
      </w:r>
      <w:r w:rsidR="00BC4A3F" w:rsidRPr="00D60457">
        <w:rPr>
          <w:rFonts w:cs="Arial"/>
        </w:rPr>
        <w:t>DEP to determine when DO has been altered below these natural conditions and focus its TMDL development and restoration efforts on abating the causes of those alterations.</w:t>
      </w:r>
      <w:r w:rsidR="008C37FA">
        <w:t xml:space="preserve"> </w:t>
      </w:r>
      <w:r>
        <w:t>FDEP is also considering revisi</w:t>
      </w:r>
      <w:r w:rsidR="0070466C">
        <w:t>ng</w:t>
      </w:r>
      <w:r>
        <w:t xml:space="preserve"> the DO criteria for marine waters.</w:t>
      </w:r>
    </w:p>
    <w:p w:rsidR="00485094" w:rsidRDefault="00485094">
      <w:pPr>
        <w:pStyle w:val="Listbulletadditional"/>
        <w:ind w:left="0"/>
      </w:pPr>
    </w:p>
    <w:bookmarkEnd w:id="127"/>
    <w:p w:rsidR="00485094" w:rsidRPr="007E5F1B" w:rsidRDefault="00485094" w:rsidP="007E5F1B">
      <w:pPr>
        <w:pStyle w:val="ListBullet"/>
        <w:numPr>
          <w:ilvl w:val="0"/>
          <w:numId w:val="0"/>
        </w:numPr>
        <w:ind w:left="630" w:hanging="360"/>
        <w:rPr>
          <w:rStyle w:val="BodytextreducedChar"/>
          <w:sz w:val="16"/>
        </w:rPr>
      </w:pPr>
      <w:r>
        <w:br w:type="page"/>
      </w:r>
      <w:bookmarkStart w:id="128" w:name="_Toc255822508"/>
    </w:p>
    <w:p w:rsidR="00FC6EE0" w:rsidRDefault="00FC6EE0" w:rsidP="00FC6EE0">
      <w:pPr>
        <w:pStyle w:val="Bodytextreduced"/>
      </w:pPr>
      <w:bookmarkStart w:id="129" w:name="_Chapter_4:_"/>
      <w:bookmarkStart w:id="130" w:name="_Toc262464125"/>
      <w:bookmarkEnd w:id="128"/>
      <w:bookmarkEnd w:id="129"/>
    </w:p>
    <w:p w:rsidR="00485094" w:rsidRPr="00BA488E" w:rsidRDefault="00485094" w:rsidP="00EA3D58">
      <w:pPr>
        <w:pStyle w:val="Heading1"/>
      </w:pPr>
      <w:bookmarkStart w:id="131" w:name="_Toc271794317"/>
      <w:r>
        <w:t xml:space="preserve">Chapter 4:  </w:t>
      </w:r>
      <w:r w:rsidRPr="00BA488E">
        <w:t>Florida’s Approach to Monitoring Surface Water and Ground Water</w:t>
      </w:r>
      <w:bookmarkEnd w:id="130"/>
      <w:bookmarkEnd w:id="131"/>
    </w:p>
    <w:p w:rsidR="00485094" w:rsidRDefault="00485094" w:rsidP="00EA3D58">
      <w:pPr>
        <w:pStyle w:val="Bodytextreduced"/>
        <w:rPr>
          <w:highlight w:val="yellow"/>
        </w:rPr>
      </w:pPr>
    </w:p>
    <w:p w:rsidR="00485094" w:rsidRPr="005725BB" w:rsidRDefault="00485094" w:rsidP="00EA3D58">
      <w:pPr>
        <w:pStyle w:val="Heading2"/>
      </w:pPr>
      <w:bookmarkStart w:id="132" w:name="_Toc254269868"/>
      <w:bookmarkStart w:id="133" w:name="_Toc255822509"/>
      <w:bookmarkStart w:id="134" w:name="_Toc262464126"/>
      <w:bookmarkStart w:id="135" w:name="_Toc271794318"/>
      <w:r>
        <w:t>Background</w:t>
      </w:r>
      <w:bookmarkEnd w:id="132"/>
      <w:bookmarkEnd w:id="133"/>
      <w:bookmarkEnd w:id="134"/>
      <w:bookmarkEnd w:id="135"/>
    </w:p>
    <w:p w:rsidR="00485094" w:rsidRPr="000458DC" w:rsidRDefault="00485094" w:rsidP="00EA3D58">
      <w:pPr>
        <w:pStyle w:val="Bodytext"/>
        <w:rPr>
          <w:szCs w:val="22"/>
        </w:rPr>
      </w:pPr>
      <w:r w:rsidRPr="000458DC">
        <w:rPr>
          <w:szCs w:val="22"/>
        </w:rPr>
        <w:t xml:space="preserve">FDEP‘s approach to comprehensive surface water monitoring is designed to meet the monitoring-related requirements of the federal </w:t>
      </w:r>
      <w:r>
        <w:rPr>
          <w:szCs w:val="22"/>
        </w:rPr>
        <w:t>CWA</w:t>
      </w:r>
      <w:r w:rsidRPr="000458DC">
        <w:rPr>
          <w:szCs w:val="22"/>
        </w:rPr>
        <w:t>, as well as Florida’s statutory and regulatory monitoring requirements.</w:t>
      </w:r>
      <w:r w:rsidRPr="000458DC">
        <w:rPr>
          <w:rStyle w:val="FootnoteReference"/>
          <w:szCs w:val="22"/>
        </w:rPr>
        <w:footnoteReference w:id="2"/>
      </w:r>
      <w:r w:rsidRPr="000458DC">
        <w:rPr>
          <w:szCs w:val="22"/>
        </w:rPr>
        <w:t xml:space="preserve">  Broadly stated, these requirements are as follows:</w:t>
      </w:r>
    </w:p>
    <w:p w:rsidR="00485094" w:rsidRPr="000458DC" w:rsidRDefault="00485094" w:rsidP="00EA3D58">
      <w:pPr>
        <w:pStyle w:val="Bodytext"/>
        <w:rPr>
          <w:szCs w:val="22"/>
        </w:rPr>
      </w:pPr>
    </w:p>
    <w:p w:rsidR="00485094" w:rsidRPr="00973BDA" w:rsidRDefault="00485094" w:rsidP="00EA3D58">
      <w:pPr>
        <w:pStyle w:val="StyleListBullet11pt"/>
      </w:pPr>
      <w:r w:rsidRPr="00973BDA">
        <w:t>Determine water quality standards attainment and identify impaired waters,</w:t>
      </w:r>
    </w:p>
    <w:p w:rsidR="00485094" w:rsidRPr="00973BDA" w:rsidRDefault="00485094" w:rsidP="00EA3D58">
      <w:pPr>
        <w:pStyle w:val="StyleListBullet11pt"/>
      </w:pPr>
      <w:r w:rsidRPr="00973BDA">
        <w:t xml:space="preserve">Identify the causes and sources of water quality impairments, </w:t>
      </w:r>
    </w:p>
    <w:p w:rsidR="00485094" w:rsidRPr="00973BDA" w:rsidRDefault="00485094" w:rsidP="00EA3D58">
      <w:pPr>
        <w:pStyle w:val="StyleListBullet11pt"/>
      </w:pPr>
      <w:r w:rsidRPr="00973BDA">
        <w:t>Establish, review, and revise water quality standards,</w:t>
      </w:r>
    </w:p>
    <w:p w:rsidR="00485094" w:rsidRPr="00973BDA" w:rsidRDefault="00485094" w:rsidP="00EA3D58">
      <w:pPr>
        <w:pStyle w:val="StyleListBullet11pt"/>
      </w:pPr>
      <w:r w:rsidRPr="00973BDA">
        <w:t>Support the implementation of water management programs,</w:t>
      </w:r>
    </w:p>
    <w:p w:rsidR="00485094" w:rsidRPr="00973BDA" w:rsidRDefault="00485094" w:rsidP="00EA3D58">
      <w:pPr>
        <w:pStyle w:val="StyleListBullet11pt"/>
      </w:pPr>
      <w:r w:rsidRPr="00973BDA">
        <w:t>Establish special monitoring for unique resources, and</w:t>
      </w:r>
    </w:p>
    <w:p w:rsidR="00485094" w:rsidRPr="00973BDA" w:rsidRDefault="00485094" w:rsidP="00EA3D58">
      <w:pPr>
        <w:pStyle w:val="StyleListBullet11pt"/>
      </w:pPr>
      <w:r w:rsidRPr="00973BDA">
        <w:t>Support the evaluation of program effectiveness.</w:t>
      </w:r>
    </w:p>
    <w:p w:rsidR="00485094" w:rsidRDefault="00485094" w:rsidP="00EA3D58">
      <w:pPr>
        <w:pStyle w:val="Bodytextreduced"/>
      </w:pPr>
    </w:p>
    <w:p w:rsidR="00485094" w:rsidRPr="000E1E95" w:rsidRDefault="00485094" w:rsidP="00EA3D58">
      <w:pPr>
        <w:pStyle w:val="Bodytext"/>
      </w:pPr>
      <w:r>
        <w:t>FDEP continues to carry out extensive statewide monitoring in order to meet these federal and state requirements</w:t>
      </w:r>
      <w:r w:rsidRPr="00A46335">
        <w:t>.</w:t>
      </w:r>
      <w:r>
        <w:t xml:space="preserve">  However, </w:t>
      </w:r>
      <w:r w:rsidRPr="000E1E95">
        <w:t xml:space="preserve">other governmental entities at federal, state, </w:t>
      </w:r>
      <w:r>
        <w:t xml:space="preserve">regional, </w:t>
      </w:r>
      <w:r w:rsidRPr="000E1E95">
        <w:t>and local levels</w:t>
      </w:r>
      <w:r>
        <w:t>, as well as volunteer and private organizations, carry out monitoring</w:t>
      </w:r>
      <w:r w:rsidRPr="000E1E95">
        <w:t>.  The</w:t>
      </w:r>
      <w:r>
        <w:t xml:space="preserve"> </w:t>
      </w:r>
      <w:r w:rsidRPr="000E1E95">
        <w:t xml:space="preserve">bulk of </w:t>
      </w:r>
      <w:r>
        <w:t xml:space="preserve">the </w:t>
      </w:r>
      <w:r w:rsidRPr="000E1E95">
        <w:t xml:space="preserve">data </w:t>
      </w:r>
      <w:r>
        <w:t xml:space="preserve">used </w:t>
      </w:r>
      <w:r w:rsidRPr="000E1E95">
        <w:t xml:space="preserve">in this </w:t>
      </w:r>
      <w:r>
        <w:t>report comes from approximatel</w:t>
      </w:r>
      <w:r w:rsidRPr="00F90770">
        <w:t xml:space="preserve">y </w:t>
      </w:r>
      <w:r w:rsidRPr="006A08C9">
        <w:t xml:space="preserve">79 </w:t>
      </w:r>
      <w:r w:rsidRPr="00F90770">
        <w:t>d</w:t>
      </w:r>
      <w:r>
        <w:t>ata providers across the state who conduct ambient monitoring of water chemistry, collect biological data, and sample sediments.</w:t>
      </w:r>
      <w:r w:rsidRPr="000E1E95">
        <w:t xml:space="preserve">  </w:t>
      </w:r>
      <w:r>
        <w:t xml:space="preserve">In most cases, these data are initially loaded into the </w:t>
      </w:r>
      <w:hyperlink r:id="rId48" w:history="1">
        <w:r w:rsidRPr="003D2CD6">
          <w:rPr>
            <w:rStyle w:val="Hyperlink"/>
          </w:rPr>
          <w:t xml:space="preserve">FL(orida) </w:t>
        </w:r>
        <w:r w:rsidRPr="003D2CD6">
          <w:rPr>
            <w:rStyle w:val="Hyperlink"/>
            <w:b/>
          </w:rPr>
          <w:t>STO</w:t>
        </w:r>
        <w:r w:rsidRPr="003D2CD6">
          <w:rPr>
            <w:rStyle w:val="Hyperlink"/>
          </w:rPr>
          <w:t xml:space="preserve">rage and </w:t>
        </w:r>
        <w:r w:rsidRPr="003D2CD6">
          <w:rPr>
            <w:rStyle w:val="Hyperlink"/>
            <w:b/>
          </w:rPr>
          <w:t>RET</w:t>
        </w:r>
        <w:r w:rsidRPr="003D2CD6">
          <w:rPr>
            <w:rStyle w:val="Hyperlink"/>
          </w:rPr>
          <w:t>rieval (STORET) database</w:t>
        </w:r>
      </w:hyperlink>
      <w:r>
        <w:t xml:space="preserve"> (FL STORET), and annually uploaded to the </w:t>
      </w:r>
      <w:hyperlink r:id="rId49" w:history="1">
        <w:r w:rsidRPr="003D2CD6">
          <w:rPr>
            <w:rStyle w:val="Hyperlink"/>
          </w:rPr>
          <w:t xml:space="preserve">EPA national STORET </w:t>
        </w:r>
        <w:r>
          <w:rPr>
            <w:rStyle w:val="Hyperlink"/>
          </w:rPr>
          <w:t>database</w:t>
        </w:r>
      </w:hyperlink>
      <w:r>
        <w:t xml:space="preserve">.  FDEP evaluates these data to establish whether they meet quality assurance requirements of Chapter 62-160, F.A.C., and whether the data can be used to determine the health of the state’s ambient waters.  Some qualifiers are placed on these data.  For example, by law Florida LakeWatch data can be used only for nonregulatory proceedings and cannot be used for regulatory or enforcement </w:t>
      </w:r>
      <w:r w:rsidRPr="00355D9D">
        <w:t xml:space="preserve">activities.  </w:t>
      </w:r>
      <w:hyperlink w:anchor="_Chapter_5._" w:history="1">
        <w:r w:rsidRPr="003D2CD6">
          <w:rPr>
            <w:rStyle w:val="Hyperlink"/>
          </w:rPr>
          <w:t>Chapter 5</w:t>
        </w:r>
      </w:hyperlink>
      <w:r>
        <w:t xml:space="preserve"> provides additional details on t</w:t>
      </w:r>
      <w:r w:rsidRPr="00355D9D">
        <w:t>hese qualifiers.</w:t>
      </w:r>
    </w:p>
    <w:p w:rsidR="00485094" w:rsidRDefault="00485094" w:rsidP="00EA3D58">
      <w:pPr>
        <w:pStyle w:val="Bodytext"/>
        <w:rPr>
          <w:snapToGrid w:val="0"/>
        </w:rPr>
      </w:pPr>
    </w:p>
    <w:p w:rsidR="00485094" w:rsidRDefault="00485094" w:rsidP="00EA3D58">
      <w:pPr>
        <w:pStyle w:val="Bodytext"/>
      </w:pPr>
      <w:r w:rsidRPr="000E1E95">
        <w:lastRenderedPageBreak/>
        <w:t xml:space="preserve">Each </w:t>
      </w:r>
      <w:r>
        <w:t>governmental agency and volunteer or private organization h</w:t>
      </w:r>
      <w:r w:rsidRPr="000E1E95">
        <w:t xml:space="preserve">as its own </w:t>
      </w:r>
      <w:r>
        <w:t>monitoring objectives, strategy, design, and indicators, as well as procedures for quality assurance, data management, data analysis and assessment, and reporting.  However, any data derived by these organizations are beyond the scope of this report.  The various federal, state, regional, and local agencies and organizations, including FDEP, that carry out water quality monitoring statewide, are as follows:</w:t>
      </w:r>
    </w:p>
    <w:p w:rsidR="00485094" w:rsidRDefault="00485094" w:rsidP="00EA3D58">
      <w:pPr>
        <w:pStyle w:val="Bodytextreduced"/>
      </w:pPr>
    </w:p>
    <w:p w:rsidR="00485094" w:rsidRDefault="00485094" w:rsidP="00EA3D58">
      <w:pPr>
        <w:pStyle w:val="Bodytext"/>
        <w:rPr>
          <w:b/>
        </w:rPr>
      </w:pPr>
      <w:r w:rsidRPr="00D02692">
        <w:rPr>
          <w:b/>
        </w:rPr>
        <w:t>Federal Monitoring Agenc</w:t>
      </w:r>
      <w:r>
        <w:rPr>
          <w:b/>
        </w:rPr>
        <w:t>ies</w:t>
      </w:r>
      <w:r w:rsidRPr="00D02692">
        <w:rPr>
          <w:b/>
        </w:rPr>
        <w:t>/Organizations</w:t>
      </w:r>
    </w:p>
    <w:p w:rsidR="00485094" w:rsidRPr="00D02692" w:rsidRDefault="00485094" w:rsidP="00EA3D58">
      <w:pPr>
        <w:pStyle w:val="Bodytextreduced"/>
      </w:pPr>
    </w:p>
    <w:p w:rsidR="00485094" w:rsidRDefault="00485094" w:rsidP="00EA3D58">
      <w:pPr>
        <w:pStyle w:val="ListBullet"/>
      </w:pPr>
      <w:r>
        <w:t>Apalachicola National Estuarine Research Reserve</w:t>
      </w:r>
    </w:p>
    <w:p w:rsidR="00485094" w:rsidRDefault="00485094" w:rsidP="00EA3D58">
      <w:pPr>
        <w:pStyle w:val="ListBullet"/>
      </w:pPr>
      <w:r>
        <w:t xml:space="preserve">Avon Park Air Force Range </w:t>
      </w:r>
    </w:p>
    <w:p w:rsidR="00485094" w:rsidRDefault="00485094" w:rsidP="00EA3D58">
      <w:pPr>
        <w:pStyle w:val="ListBullet"/>
      </w:pPr>
      <w:r>
        <w:t>Charlotte Harbor National Estuary Program</w:t>
      </w:r>
    </w:p>
    <w:p w:rsidR="00485094" w:rsidRDefault="00485094" w:rsidP="00EA3D58">
      <w:pPr>
        <w:pStyle w:val="ListBullet"/>
      </w:pPr>
      <w:r>
        <w:t>Eglin Air Force Base</w:t>
      </w:r>
    </w:p>
    <w:p w:rsidR="00485094" w:rsidRDefault="00485094" w:rsidP="00EA3D58">
      <w:pPr>
        <w:pStyle w:val="ListBullet"/>
      </w:pPr>
      <w:r>
        <w:t>Guana Tolomato Matanzas National Estuarine Research Reserve</w:t>
      </w:r>
    </w:p>
    <w:p w:rsidR="00485094" w:rsidRDefault="00485094" w:rsidP="00EA3D58">
      <w:pPr>
        <w:pStyle w:val="ListBullet"/>
      </w:pPr>
      <w:r>
        <w:t>Indian River Lagoon National Estuary Program</w:t>
      </w:r>
    </w:p>
    <w:p w:rsidR="00485094" w:rsidRDefault="00485094" w:rsidP="00EA3D58">
      <w:pPr>
        <w:pStyle w:val="ListBullet"/>
      </w:pPr>
      <w:r>
        <w:t>National Oceanic and Atmospheric Administration</w:t>
      </w:r>
    </w:p>
    <w:p w:rsidR="00485094" w:rsidRDefault="00485094" w:rsidP="00EA3D58">
      <w:pPr>
        <w:pStyle w:val="ListBullet"/>
      </w:pPr>
      <w:r>
        <w:t>Rookery Bay National Estuarine Research Reserve</w:t>
      </w:r>
    </w:p>
    <w:p w:rsidR="00485094" w:rsidRDefault="00485094" w:rsidP="00EA3D58">
      <w:pPr>
        <w:pStyle w:val="ListBullet"/>
      </w:pPr>
      <w:r>
        <w:t>Sarasota Bay National Estuary Program</w:t>
      </w:r>
    </w:p>
    <w:p w:rsidR="00485094" w:rsidRDefault="00485094" w:rsidP="00EA3D58">
      <w:pPr>
        <w:pStyle w:val="ListBullet"/>
      </w:pPr>
      <w:r>
        <w:t>Tampa Bay National Estuary Program</w:t>
      </w:r>
    </w:p>
    <w:p w:rsidR="00485094" w:rsidRDefault="00485094" w:rsidP="00EA3D58">
      <w:pPr>
        <w:pStyle w:val="ListBullet"/>
      </w:pPr>
      <w:r>
        <w:t>U.S. Army Corps of Engineers</w:t>
      </w:r>
    </w:p>
    <w:p w:rsidR="00485094" w:rsidRDefault="00485094" w:rsidP="00EA3D58">
      <w:pPr>
        <w:pStyle w:val="ListBullet"/>
      </w:pPr>
      <w:r>
        <w:t>U.S. Environmental Protection Agency</w:t>
      </w:r>
    </w:p>
    <w:p w:rsidR="00485094" w:rsidRDefault="00485094" w:rsidP="00EA3D58">
      <w:pPr>
        <w:pStyle w:val="ListBullet"/>
      </w:pPr>
      <w:r>
        <w:t>U.S. Geological Survey</w:t>
      </w:r>
    </w:p>
    <w:p w:rsidR="00485094" w:rsidRDefault="00485094" w:rsidP="00EA3D58">
      <w:pPr>
        <w:pStyle w:val="Bodytext"/>
        <w:jc w:val="center"/>
      </w:pPr>
    </w:p>
    <w:p w:rsidR="00485094" w:rsidRDefault="00485094" w:rsidP="00EA3D58">
      <w:pPr>
        <w:pStyle w:val="Bodytext"/>
        <w:rPr>
          <w:b/>
        </w:rPr>
      </w:pPr>
      <w:r w:rsidRPr="00D02692">
        <w:rPr>
          <w:b/>
        </w:rPr>
        <w:t>Out of State Monitoring Agencies/Organizations</w:t>
      </w:r>
    </w:p>
    <w:p w:rsidR="00485094" w:rsidRPr="00D02692" w:rsidRDefault="00485094" w:rsidP="00EA3D58">
      <w:pPr>
        <w:pStyle w:val="Bodytextreduced"/>
      </w:pPr>
    </w:p>
    <w:p w:rsidR="00485094" w:rsidRDefault="00485094" w:rsidP="00EA3D58">
      <w:pPr>
        <w:pStyle w:val="ListBullet"/>
      </w:pPr>
      <w:r>
        <w:t>Georgia Department of Natural Resources</w:t>
      </w:r>
    </w:p>
    <w:p w:rsidR="00485094" w:rsidRDefault="00485094" w:rsidP="00EA3D58">
      <w:pPr>
        <w:pStyle w:val="Bodytext"/>
        <w:jc w:val="center"/>
      </w:pPr>
    </w:p>
    <w:p w:rsidR="00485094" w:rsidRDefault="00485094" w:rsidP="00EA3D58">
      <w:pPr>
        <w:pStyle w:val="Bodytext"/>
        <w:rPr>
          <w:b/>
        </w:rPr>
      </w:pPr>
      <w:r w:rsidRPr="00D02692">
        <w:rPr>
          <w:b/>
        </w:rPr>
        <w:t>Florida Monitoring Agencies/Organizations</w:t>
      </w:r>
    </w:p>
    <w:p w:rsidR="00485094" w:rsidRPr="00D02692" w:rsidRDefault="00485094" w:rsidP="00EA3D58">
      <w:pPr>
        <w:pStyle w:val="Bodytextreduced"/>
      </w:pPr>
    </w:p>
    <w:p w:rsidR="00485094" w:rsidRDefault="00485094" w:rsidP="00EA3D58">
      <w:pPr>
        <w:pStyle w:val="ListBullet"/>
      </w:pPr>
      <w:r>
        <w:t>Charlotte Harbor Aquatic/Buffer Preserves</w:t>
      </w:r>
    </w:p>
    <w:p w:rsidR="00485094" w:rsidRDefault="00485094" w:rsidP="00EA3D58">
      <w:pPr>
        <w:pStyle w:val="ListBullet"/>
      </w:pPr>
      <w:r>
        <w:t>Estero Bay Aquatic Preserve</w:t>
      </w:r>
    </w:p>
    <w:p w:rsidR="00485094" w:rsidRDefault="00485094" w:rsidP="00EA3D58">
      <w:pPr>
        <w:pStyle w:val="ListBullet"/>
      </w:pPr>
      <w:r>
        <w:t>Florida Department of Agriculture and Consumer Services</w:t>
      </w:r>
    </w:p>
    <w:p w:rsidR="00485094" w:rsidRDefault="00485094" w:rsidP="00EA3D58">
      <w:pPr>
        <w:pStyle w:val="ListBullet"/>
      </w:pPr>
      <w:r>
        <w:t>Florida Department of Environmental Protection</w:t>
      </w:r>
    </w:p>
    <w:p w:rsidR="00485094" w:rsidRDefault="00485094" w:rsidP="00EA3D58">
      <w:pPr>
        <w:pStyle w:val="ListBullet"/>
      </w:pPr>
      <w:r>
        <w:t>Florida Department of Health</w:t>
      </w:r>
    </w:p>
    <w:p w:rsidR="00485094" w:rsidRDefault="00485094" w:rsidP="00EA3D58">
      <w:pPr>
        <w:pStyle w:val="ListBullet"/>
      </w:pPr>
      <w:r>
        <w:t>Florida Fish and Wildlife Conservation Commission</w:t>
      </w:r>
    </w:p>
    <w:p w:rsidR="00485094" w:rsidRDefault="00485094" w:rsidP="00EA3D58">
      <w:pPr>
        <w:pStyle w:val="ListBullet"/>
      </w:pPr>
      <w:r>
        <w:t>Florida Marine Research Institute</w:t>
      </w:r>
    </w:p>
    <w:p w:rsidR="00485094" w:rsidRDefault="00485094" w:rsidP="00EA3D58">
      <w:pPr>
        <w:pStyle w:val="Bodytext"/>
        <w:jc w:val="center"/>
      </w:pPr>
    </w:p>
    <w:p w:rsidR="00485094" w:rsidRDefault="00485094" w:rsidP="00EA3D58">
      <w:pPr>
        <w:pStyle w:val="Bodytext"/>
        <w:rPr>
          <w:b/>
        </w:rPr>
      </w:pPr>
      <w:r w:rsidRPr="00D02692">
        <w:rPr>
          <w:b/>
        </w:rPr>
        <w:t>Regional Monitoring Agencies/Organizations</w:t>
      </w:r>
    </w:p>
    <w:p w:rsidR="00485094" w:rsidRPr="00D02692" w:rsidRDefault="00485094" w:rsidP="00EA3D58">
      <w:pPr>
        <w:pStyle w:val="Bodytextreduced"/>
      </w:pPr>
    </w:p>
    <w:p w:rsidR="00485094" w:rsidRDefault="00485094" w:rsidP="00EA3D58">
      <w:pPr>
        <w:pStyle w:val="ListBullet"/>
      </w:pPr>
      <w:r>
        <w:t>Choctawhatchee Basin Alliance</w:t>
      </w:r>
    </w:p>
    <w:p w:rsidR="00485094" w:rsidRDefault="00485094" w:rsidP="00EA3D58">
      <w:pPr>
        <w:pStyle w:val="ListBullet"/>
      </w:pPr>
      <w:r>
        <w:lastRenderedPageBreak/>
        <w:t>Loxahatchee River District</w:t>
      </w:r>
    </w:p>
    <w:p w:rsidR="00485094" w:rsidRDefault="00485094" w:rsidP="00EA3D58">
      <w:pPr>
        <w:pStyle w:val="ListBullet"/>
      </w:pPr>
      <w:r>
        <w:t>Peace River Manasota Regional Water Authority (PBS&amp;J)</w:t>
      </w:r>
    </w:p>
    <w:p w:rsidR="00485094" w:rsidRDefault="00485094" w:rsidP="00EA3D58">
      <w:pPr>
        <w:pStyle w:val="ListBullet"/>
        <w:tabs>
          <w:tab w:val="left" w:pos="4590"/>
        </w:tabs>
      </w:pPr>
      <w:r>
        <w:t>Pensacola Bay Nutrient Study (Gulf Breeze)</w:t>
      </w:r>
    </w:p>
    <w:p w:rsidR="00485094" w:rsidRDefault="00485094" w:rsidP="00EA3D58">
      <w:pPr>
        <w:pStyle w:val="ListBullet"/>
      </w:pPr>
      <w:r>
        <w:t>Northwest Florida Water Management District</w:t>
      </w:r>
      <w:r w:rsidR="00161289">
        <w:t xml:space="preserve"> (NWFWMD)</w:t>
      </w:r>
    </w:p>
    <w:p w:rsidR="00485094" w:rsidRDefault="00485094" w:rsidP="00EA3D58">
      <w:pPr>
        <w:pStyle w:val="ListBullet"/>
      </w:pPr>
      <w:r>
        <w:t>South Florida Water Management District</w:t>
      </w:r>
      <w:r w:rsidR="00161289">
        <w:t xml:space="preserve"> (SFWMD)</w:t>
      </w:r>
    </w:p>
    <w:p w:rsidR="00485094" w:rsidRDefault="00485094" w:rsidP="00EA3D58">
      <w:pPr>
        <w:pStyle w:val="ListBullet"/>
      </w:pPr>
      <w:r>
        <w:t>Southwest Florida Water Management District</w:t>
      </w:r>
      <w:r w:rsidR="00161289">
        <w:t xml:space="preserve"> (SWFWMD)</w:t>
      </w:r>
    </w:p>
    <w:p w:rsidR="00485094" w:rsidRDefault="00485094" w:rsidP="00EA3D58">
      <w:pPr>
        <w:pStyle w:val="ListBullet"/>
      </w:pPr>
      <w:r>
        <w:t>Southwest Florida Water Management District (Coast Project)</w:t>
      </w:r>
    </w:p>
    <w:p w:rsidR="00485094" w:rsidRDefault="00485094" w:rsidP="00EA3D58">
      <w:pPr>
        <w:pStyle w:val="ListBullet"/>
      </w:pPr>
      <w:r>
        <w:t>St. Johns River Water Management District</w:t>
      </w:r>
      <w:r w:rsidR="00161289">
        <w:t xml:space="preserve"> (SJRWMD)</w:t>
      </w:r>
    </w:p>
    <w:p w:rsidR="00485094" w:rsidRDefault="00485094" w:rsidP="00EA3D58">
      <w:pPr>
        <w:pStyle w:val="ListBullet"/>
      </w:pPr>
      <w:r>
        <w:t>Suwannee River Water Management District</w:t>
      </w:r>
      <w:r w:rsidR="00161289">
        <w:t xml:space="preserve"> (SRWMD)</w:t>
      </w:r>
    </w:p>
    <w:p w:rsidR="00485094" w:rsidRDefault="00485094" w:rsidP="00EA3D58">
      <w:pPr>
        <w:pStyle w:val="Bodytext"/>
        <w:jc w:val="center"/>
      </w:pPr>
    </w:p>
    <w:p w:rsidR="00485094" w:rsidRDefault="00485094" w:rsidP="00EA3D58">
      <w:pPr>
        <w:pStyle w:val="Bodytext"/>
        <w:rPr>
          <w:b/>
        </w:rPr>
      </w:pPr>
      <w:r w:rsidRPr="00D02692">
        <w:rPr>
          <w:b/>
        </w:rPr>
        <w:t>Local Monitoring Agencies/Organizations</w:t>
      </w:r>
    </w:p>
    <w:p w:rsidR="00485094" w:rsidRPr="00D02692" w:rsidRDefault="00485094" w:rsidP="00EA3D58">
      <w:pPr>
        <w:pStyle w:val="Bodytextreduced"/>
      </w:pPr>
    </w:p>
    <w:p w:rsidR="00485094" w:rsidRDefault="00485094" w:rsidP="00EA3D58">
      <w:pPr>
        <w:pStyle w:val="ListBullet"/>
      </w:pPr>
      <w:r>
        <w:t xml:space="preserve">Alachua County </w:t>
      </w:r>
    </w:p>
    <w:p w:rsidR="00485094" w:rsidRDefault="00485094" w:rsidP="00EA3D58">
      <w:pPr>
        <w:pStyle w:val="ListBullet"/>
      </w:pPr>
      <w:r>
        <w:t xml:space="preserve">Bay County </w:t>
      </w:r>
    </w:p>
    <w:p w:rsidR="00485094" w:rsidRDefault="00485094" w:rsidP="00EA3D58">
      <w:pPr>
        <w:pStyle w:val="ListBullet"/>
      </w:pPr>
      <w:r>
        <w:t>Broward County Environmental Monitoring Division</w:t>
      </w:r>
    </w:p>
    <w:p w:rsidR="00485094" w:rsidRDefault="00485094" w:rsidP="00EA3D58">
      <w:pPr>
        <w:pStyle w:val="ListBullet"/>
      </w:pPr>
      <w:r>
        <w:t>Charlotte County Storm Water</w:t>
      </w:r>
    </w:p>
    <w:p w:rsidR="00485094" w:rsidRDefault="00485094" w:rsidP="00EA3D58">
      <w:pPr>
        <w:pStyle w:val="ListBullet"/>
      </w:pPr>
      <w:r>
        <w:t>City of Cape Coral</w:t>
      </w:r>
    </w:p>
    <w:p w:rsidR="00485094" w:rsidRDefault="00485094" w:rsidP="00EA3D58">
      <w:pPr>
        <w:pStyle w:val="ListBullet"/>
      </w:pPr>
      <w:r>
        <w:t>City of Jacksonville</w:t>
      </w:r>
    </w:p>
    <w:p w:rsidR="00485094" w:rsidRDefault="00485094" w:rsidP="00EA3D58">
      <w:pPr>
        <w:pStyle w:val="ListBullet"/>
      </w:pPr>
      <w:r>
        <w:t>City of Lakeland</w:t>
      </w:r>
    </w:p>
    <w:p w:rsidR="00485094" w:rsidRDefault="00485094" w:rsidP="00EA3D58">
      <w:pPr>
        <w:pStyle w:val="ListBullet"/>
      </w:pPr>
      <w:r>
        <w:t>City of Lynn Haven</w:t>
      </w:r>
    </w:p>
    <w:p w:rsidR="00485094" w:rsidRDefault="00485094" w:rsidP="00EA3D58">
      <w:pPr>
        <w:pStyle w:val="ListBullet"/>
      </w:pPr>
      <w:r>
        <w:t>City of Key West</w:t>
      </w:r>
    </w:p>
    <w:p w:rsidR="00485094" w:rsidRDefault="00485094" w:rsidP="00EA3D58">
      <w:pPr>
        <w:pStyle w:val="ListBullet"/>
      </w:pPr>
      <w:r>
        <w:t>City of Maitland</w:t>
      </w:r>
    </w:p>
    <w:p w:rsidR="00485094" w:rsidRDefault="00485094" w:rsidP="00EA3D58">
      <w:pPr>
        <w:pStyle w:val="ListBullet"/>
      </w:pPr>
      <w:r>
        <w:t>City of Naples</w:t>
      </w:r>
    </w:p>
    <w:p w:rsidR="00485094" w:rsidRDefault="00485094" w:rsidP="00EA3D58">
      <w:pPr>
        <w:pStyle w:val="ListBullet"/>
      </w:pPr>
      <w:r>
        <w:t>City of Orlando</w:t>
      </w:r>
    </w:p>
    <w:p w:rsidR="00485094" w:rsidRDefault="00485094" w:rsidP="00EA3D58">
      <w:pPr>
        <w:pStyle w:val="ListBullet"/>
      </w:pPr>
      <w:r>
        <w:t>City of Panama City Beach</w:t>
      </w:r>
    </w:p>
    <w:p w:rsidR="00485094" w:rsidRDefault="00485094" w:rsidP="00EA3D58">
      <w:pPr>
        <w:pStyle w:val="ListBullet"/>
      </w:pPr>
      <w:r>
        <w:t>City of Port St. Joe Project  (Gulf Breeze)</w:t>
      </w:r>
    </w:p>
    <w:p w:rsidR="00485094" w:rsidRDefault="00485094" w:rsidP="00EA3D58">
      <w:pPr>
        <w:pStyle w:val="ListBullet"/>
      </w:pPr>
      <w:r>
        <w:t>City of Port St. Joe Wastewater Treatment Plant</w:t>
      </w:r>
    </w:p>
    <w:p w:rsidR="00485094" w:rsidRDefault="00485094" w:rsidP="00EA3D58">
      <w:pPr>
        <w:pStyle w:val="ListBullet"/>
      </w:pPr>
      <w:r>
        <w:t>City of Port St. Lucie</w:t>
      </w:r>
    </w:p>
    <w:p w:rsidR="00485094" w:rsidRDefault="00485094" w:rsidP="00EA3D58">
      <w:pPr>
        <w:pStyle w:val="ListBullet"/>
      </w:pPr>
      <w:r>
        <w:t>City of Punta Gorda Utilities</w:t>
      </w:r>
    </w:p>
    <w:p w:rsidR="00485094" w:rsidRDefault="00485094" w:rsidP="00EA3D58">
      <w:pPr>
        <w:pStyle w:val="ListBullet"/>
      </w:pPr>
      <w:r>
        <w:t>City of Sanibel</w:t>
      </w:r>
    </w:p>
    <w:p w:rsidR="00485094" w:rsidRDefault="00485094" w:rsidP="00EA3D58">
      <w:pPr>
        <w:pStyle w:val="ListBullet"/>
      </w:pPr>
      <w:r>
        <w:t>City of Tallahassee</w:t>
      </w:r>
    </w:p>
    <w:p w:rsidR="00485094" w:rsidRDefault="00485094" w:rsidP="00EA3D58">
      <w:pPr>
        <w:pStyle w:val="ListBullet"/>
      </w:pPr>
      <w:r>
        <w:t>City of Tampa</w:t>
      </w:r>
    </w:p>
    <w:p w:rsidR="00485094" w:rsidRDefault="00485094" w:rsidP="00EA3D58">
      <w:pPr>
        <w:pStyle w:val="ListBullet"/>
      </w:pPr>
      <w:r>
        <w:t>City of West Palm Beach</w:t>
      </w:r>
    </w:p>
    <w:p w:rsidR="00485094" w:rsidRDefault="00485094" w:rsidP="00EA3D58">
      <w:pPr>
        <w:pStyle w:val="ListBullet"/>
      </w:pPr>
      <w:r>
        <w:t>Collier County Pollution Control</w:t>
      </w:r>
    </w:p>
    <w:p w:rsidR="00485094" w:rsidRDefault="00485094" w:rsidP="00EA3D58">
      <w:pPr>
        <w:pStyle w:val="ListBullet"/>
      </w:pPr>
      <w:r>
        <w:lastRenderedPageBreak/>
        <w:t>Dade County Environmental Resource Management</w:t>
      </w:r>
    </w:p>
    <w:p w:rsidR="00485094" w:rsidRDefault="00485094" w:rsidP="00EA3D58">
      <w:pPr>
        <w:pStyle w:val="ListBullet"/>
      </w:pPr>
      <w:r>
        <w:t>East County Water Control District</w:t>
      </w:r>
    </w:p>
    <w:p w:rsidR="00485094" w:rsidRDefault="00485094" w:rsidP="00EA3D58">
      <w:pPr>
        <w:pStyle w:val="ListBullet"/>
      </w:pPr>
      <w:r>
        <w:t>Escambia County Utility Association</w:t>
      </w:r>
    </w:p>
    <w:p w:rsidR="00485094" w:rsidRDefault="00485094" w:rsidP="00EA3D58">
      <w:pPr>
        <w:pStyle w:val="ListBullet"/>
      </w:pPr>
      <w:r>
        <w:t xml:space="preserve">Hillsborough County </w:t>
      </w:r>
    </w:p>
    <w:p w:rsidR="00485094" w:rsidRDefault="00485094" w:rsidP="00EA3D58">
      <w:pPr>
        <w:pStyle w:val="ListBullet"/>
      </w:pPr>
      <w:r>
        <w:t>Lake County Water Resource Management</w:t>
      </w:r>
    </w:p>
    <w:p w:rsidR="00485094" w:rsidRDefault="00485094" w:rsidP="00EA3D58">
      <w:pPr>
        <w:pStyle w:val="ListBullet"/>
      </w:pPr>
      <w:r>
        <w:t>Lee County Environmental Laboratories</w:t>
      </w:r>
    </w:p>
    <w:p w:rsidR="00485094" w:rsidRDefault="00485094" w:rsidP="00EA3D58">
      <w:pPr>
        <w:pStyle w:val="ListBullet"/>
      </w:pPr>
      <w:r>
        <w:t>Lee County Hyacinth Control District</w:t>
      </w:r>
    </w:p>
    <w:p w:rsidR="00485094" w:rsidRDefault="00485094" w:rsidP="00EA3D58">
      <w:pPr>
        <w:pStyle w:val="ListBullet"/>
      </w:pPr>
      <w:r>
        <w:t>Manatee County Environmental Management</w:t>
      </w:r>
    </w:p>
    <w:p w:rsidR="00485094" w:rsidRDefault="00485094" w:rsidP="00EA3D58">
      <w:pPr>
        <w:pStyle w:val="ListBullet"/>
      </w:pPr>
      <w:r>
        <w:t>McGlynn Laboratories and Leon County</w:t>
      </w:r>
    </w:p>
    <w:p w:rsidR="00485094" w:rsidRDefault="00485094" w:rsidP="00EA3D58">
      <w:pPr>
        <w:pStyle w:val="ListBullet"/>
      </w:pPr>
      <w:r>
        <w:t>Okaloosa County Environmental Council</w:t>
      </w:r>
    </w:p>
    <w:p w:rsidR="00485094" w:rsidRDefault="00485094" w:rsidP="00EA3D58">
      <w:pPr>
        <w:pStyle w:val="ListBullet"/>
      </w:pPr>
      <w:r>
        <w:t>Orange County Environmental Protection Division</w:t>
      </w:r>
    </w:p>
    <w:p w:rsidR="00485094" w:rsidRDefault="00485094" w:rsidP="00EA3D58">
      <w:pPr>
        <w:pStyle w:val="ListBullet"/>
      </w:pPr>
      <w:r>
        <w:t>Palm Beach County Environmental Resource Management</w:t>
      </w:r>
    </w:p>
    <w:p w:rsidR="00485094" w:rsidRDefault="00485094" w:rsidP="00EA3D58">
      <w:pPr>
        <w:pStyle w:val="ListBullet"/>
      </w:pPr>
      <w:r>
        <w:t>Pinellas County Department of Environmental Management</w:t>
      </w:r>
    </w:p>
    <w:p w:rsidR="00485094" w:rsidRDefault="00485094" w:rsidP="00EA3D58">
      <w:pPr>
        <w:pStyle w:val="ListBullet"/>
      </w:pPr>
      <w:r>
        <w:t>Polk County Natural Resources Division</w:t>
      </w:r>
    </w:p>
    <w:p w:rsidR="00485094" w:rsidRDefault="00485094" w:rsidP="00EA3D58">
      <w:pPr>
        <w:pStyle w:val="ListBullet"/>
      </w:pPr>
      <w:r>
        <w:t>Reedy Creek Improvement District Environmental Services</w:t>
      </w:r>
    </w:p>
    <w:p w:rsidR="00485094" w:rsidRDefault="00485094" w:rsidP="00EA3D58">
      <w:pPr>
        <w:pStyle w:val="ListBullet"/>
      </w:pPr>
      <w:r>
        <w:t>Sarasota County Environmental Services</w:t>
      </w:r>
    </w:p>
    <w:p w:rsidR="00485094" w:rsidRDefault="00485094" w:rsidP="00EA3D58">
      <w:pPr>
        <w:pStyle w:val="ListBullet"/>
      </w:pPr>
      <w:r>
        <w:t>Seminole County Public Works Roads/Stormwater</w:t>
      </w:r>
    </w:p>
    <w:p w:rsidR="00485094" w:rsidRDefault="00485094" w:rsidP="00EA3D58">
      <w:pPr>
        <w:pStyle w:val="ListBullet"/>
      </w:pPr>
      <w:r>
        <w:t>Seminole Improvement District</w:t>
      </w:r>
    </w:p>
    <w:p w:rsidR="00485094" w:rsidRDefault="00485094" w:rsidP="00EA3D58">
      <w:pPr>
        <w:pStyle w:val="ListBullet"/>
      </w:pPr>
      <w:r>
        <w:t xml:space="preserve">St. Johns County </w:t>
      </w:r>
    </w:p>
    <w:p w:rsidR="00485094" w:rsidRDefault="00485094" w:rsidP="00EA3D58">
      <w:pPr>
        <w:pStyle w:val="ListBullet"/>
      </w:pPr>
      <w:r>
        <w:t>Volusia County Environmental Health Lab</w:t>
      </w:r>
    </w:p>
    <w:p w:rsidR="00485094" w:rsidRDefault="00485094" w:rsidP="00EA3D58">
      <w:pPr>
        <w:pStyle w:val="Bodytext"/>
        <w:jc w:val="center"/>
      </w:pPr>
    </w:p>
    <w:p w:rsidR="00485094" w:rsidRDefault="00485094" w:rsidP="00EA3D58">
      <w:pPr>
        <w:pStyle w:val="Bodytext"/>
        <w:rPr>
          <w:b/>
        </w:rPr>
      </w:pPr>
      <w:r w:rsidRPr="00D02692">
        <w:rPr>
          <w:b/>
        </w:rPr>
        <w:t>Volunteer/Private Monitoring Agencies/Organizations</w:t>
      </w:r>
    </w:p>
    <w:p w:rsidR="00485094" w:rsidRPr="00D02692" w:rsidRDefault="00485094" w:rsidP="00EA3D58">
      <w:pPr>
        <w:pStyle w:val="Bodytextreduced"/>
      </w:pPr>
    </w:p>
    <w:p w:rsidR="00485094" w:rsidRDefault="00485094" w:rsidP="00EA3D58">
      <w:pPr>
        <w:pStyle w:val="ListBullet"/>
      </w:pPr>
      <w:r>
        <w:t>Baskerville Donovan, Inc.</w:t>
      </w:r>
    </w:p>
    <w:p w:rsidR="00485094" w:rsidRDefault="00485094" w:rsidP="00EA3D58">
      <w:pPr>
        <w:pStyle w:val="ListBullet"/>
      </w:pPr>
      <w:r>
        <w:t>Baywatch</w:t>
      </w:r>
    </w:p>
    <w:p w:rsidR="00485094" w:rsidRDefault="00485094" w:rsidP="00EA3D58">
      <w:pPr>
        <w:pStyle w:val="ListBullet"/>
      </w:pPr>
      <w:r>
        <w:t>Biological Research Associates</w:t>
      </w:r>
    </w:p>
    <w:p w:rsidR="00485094" w:rsidRDefault="00485094" w:rsidP="00EA3D58">
      <w:pPr>
        <w:pStyle w:val="ListBullet"/>
      </w:pPr>
      <w:r>
        <w:t>Bream Fisherman's Association</w:t>
      </w:r>
    </w:p>
    <w:p w:rsidR="00485094" w:rsidRDefault="00485094" w:rsidP="00EA3D58">
      <w:pPr>
        <w:pStyle w:val="ListBullet"/>
      </w:pPr>
      <w:r>
        <w:t>Conservancy of Southwest Florida</w:t>
      </w:r>
    </w:p>
    <w:p w:rsidR="00485094" w:rsidRDefault="00485094" w:rsidP="00EA3D58">
      <w:pPr>
        <w:pStyle w:val="ListBullet"/>
      </w:pPr>
      <w:r>
        <w:t>Environmental Research and Design, Inc</w:t>
      </w:r>
    </w:p>
    <w:p w:rsidR="00485094" w:rsidRDefault="00485094" w:rsidP="00EA3D58">
      <w:pPr>
        <w:pStyle w:val="ListBullet"/>
      </w:pPr>
      <w:r>
        <w:t>Florida Center for Community Design + Research</w:t>
      </w:r>
    </w:p>
    <w:p w:rsidR="00485094" w:rsidRDefault="00485094" w:rsidP="00EA3D58">
      <w:pPr>
        <w:pStyle w:val="ListBullet"/>
      </w:pPr>
      <w:r>
        <w:t>Florida LakeWatch (identification of potentially impaired waters only)</w:t>
      </w:r>
    </w:p>
    <w:p w:rsidR="00485094" w:rsidRDefault="00485094" w:rsidP="00EA3D58">
      <w:pPr>
        <w:pStyle w:val="ListBullet"/>
      </w:pPr>
      <w:r>
        <w:t>Gulf Power Company</w:t>
      </w:r>
    </w:p>
    <w:p w:rsidR="00485094" w:rsidRDefault="00161289" w:rsidP="00EA3D58">
      <w:pPr>
        <w:pStyle w:val="ListBullet"/>
      </w:pPr>
      <w:r>
        <w:t xml:space="preserve">IMC </w:t>
      </w:r>
      <w:r w:rsidR="00485094">
        <w:t>Agrico/Phosphates</w:t>
      </w:r>
    </w:p>
    <w:p w:rsidR="00485094" w:rsidRDefault="00485094" w:rsidP="00EA3D58">
      <w:pPr>
        <w:pStyle w:val="ListBullet"/>
      </w:pPr>
      <w:r>
        <w:t>Janicki Environmental</w:t>
      </w:r>
    </w:p>
    <w:p w:rsidR="00485094" w:rsidRDefault="00485094" w:rsidP="00EA3D58">
      <w:pPr>
        <w:pStyle w:val="ListBullet"/>
      </w:pPr>
      <w:r>
        <w:lastRenderedPageBreak/>
        <w:t>The Nature Conservancy of the Florida Keys</w:t>
      </w:r>
    </w:p>
    <w:p w:rsidR="00485094" w:rsidRDefault="00485094" w:rsidP="00EA3D58">
      <w:pPr>
        <w:pStyle w:val="ListBullet"/>
      </w:pPr>
      <w:r>
        <w:t>Palm Coast Community Service Corp.</w:t>
      </w:r>
    </w:p>
    <w:p w:rsidR="00485094" w:rsidRDefault="00485094" w:rsidP="00EA3D58">
      <w:pPr>
        <w:pStyle w:val="ListBullet"/>
      </w:pPr>
      <w:r>
        <w:t>Sanibel Captiva Conservation Foundation</w:t>
      </w:r>
    </w:p>
    <w:p w:rsidR="00485094" w:rsidRDefault="00485094" w:rsidP="00EA3D58">
      <w:pPr>
        <w:pStyle w:val="ListBullet"/>
      </w:pPr>
      <w:r>
        <w:t>Southeast Environmental Research Center</w:t>
      </w:r>
    </w:p>
    <w:p w:rsidR="00485094" w:rsidRDefault="00485094" w:rsidP="00EA3D58">
      <w:pPr>
        <w:pStyle w:val="Bodytextreduced"/>
      </w:pPr>
    </w:p>
    <w:p w:rsidR="00485094" w:rsidRDefault="00485094" w:rsidP="00EA3D58">
      <w:pPr>
        <w:pStyle w:val="Heading2"/>
        <w:rPr>
          <w:snapToGrid w:val="0"/>
        </w:rPr>
      </w:pPr>
      <w:bookmarkStart w:id="136" w:name="_Toc254269869"/>
      <w:bookmarkStart w:id="137" w:name="_Toc255822510"/>
      <w:bookmarkStart w:id="138" w:name="_Toc262464127"/>
      <w:bookmarkStart w:id="139" w:name="_Toc271794319"/>
      <w:r>
        <w:rPr>
          <w:snapToGrid w:val="0"/>
        </w:rPr>
        <w:t>Florida’s Integrated Water Resources Monitoring Program</w:t>
      </w:r>
      <w:bookmarkEnd w:id="136"/>
      <w:bookmarkEnd w:id="137"/>
      <w:bookmarkEnd w:id="138"/>
      <w:bookmarkEnd w:id="139"/>
    </w:p>
    <w:p w:rsidR="00485094" w:rsidRDefault="00485094" w:rsidP="00EA3D58">
      <w:pPr>
        <w:pStyle w:val="Bodytext"/>
      </w:pPr>
      <w:r>
        <w:t xml:space="preserve">As discussed earlier, water resource monitoring in Florida is conducted by FDEP, the water management districts, local governments, and other entities.  Over the past decade, FDEP has worked closely with these monitoring entities to establish an </w:t>
      </w:r>
      <w:hyperlink r:id="rId50" w:history="1">
        <w:r w:rsidRPr="003D2CD6">
          <w:rPr>
            <w:rStyle w:val="Hyperlink"/>
          </w:rPr>
          <w:t>Integrated Water Resources Monitoring (IW</w:t>
        </w:r>
        <w:r>
          <w:rPr>
            <w:rStyle w:val="Hyperlink"/>
          </w:rPr>
          <w:t>R</w:t>
        </w:r>
        <w:r w:rsidRPr="003D2CD6">
          <w:rPr>
            <w:rStyle w:val="Hyperlink"/>
          </w:rPr>
          <w:t>M) Program</w:t>
        </w:r>
      </w:hyperlink>
      <w:r>
        <w:t xml:space="preserve"> that integrates surface water and ground water monitoring.  Since it is fiscally and logistically prohibitive to sample every segment of river or stream, every acre of lake, or each individual monitoring well in the state annually, the IWRM also integrates three tiers of monitoring—statewide ambient monitoring networks that allow statistical inferences to be made about all waters in the state (Tier 1); </w:t>
      </w:r>
      <w:r w:rsidRPr="00174C25">
        <w:rPr>
          <w:snapToGrid w:val="0"/>
        </w:rPr>
        <w:t>strategic monitoring for verification of impairment and identification of causative pollutants</w:t>
      </w:r>
      <w:r w:rsidDel="000E04AC">
        <w:t xml:space="preserve"> </w:t>
      </w:r>
      <w:r>
        <w:t xml:space="preserve">(Tier 2); and </w:t>
      </w:r>
      <w:r w:rsidRPr="00174C25">
        <w:t xml:space="preserve">specialized, site-specific monitoring </w:t>
      </w:r>
      <w:r>
        <w:t xml:space="preserve">(Tier </w:t>
      </w:r>
      <w:r w:rsidRPr="00A51190">
        <w:t xml:space="preserve">3) </w:t>
      </w:r>
      <w:r w:rsidRPr="00A51190">
        <w:rPr>
          <w:i/>
        </w:rPr>
        <w:t>(</w:t>
      </w:r>
      <w:r w:rsidRPr="00A51190">
        <w:rPr>
          <w:b/>
          <w:i/>
        </w:rPr>
        <w:t xml:space="preserve">Tables 4.1a </w:t>
      </w:r>
      <w:r w:rsidRPr="00A51190">
        <w:t>through</w:t>
      </w:r>
      <w:r w:rsidRPr="00A51190">
        <w:rPr>
          <w:b/>
          <w:i/>
        </w:rPr>
        <w:t xml:space="preserve"> 4.1d</w:t>
      </w:r>
      <w:r w:rsidRPr="00A51190">
        <w:t xml:space="preserve">).  These three tiers are composed of </w:t>
      </w:r>
      <w:r>
        <w:t>several</w:t>
      </w:r>
      <w:r w:rsidRPr="00A51190">
        <w:t xml:space="preserve"> core monitoring</w:t>
      </w:r>
      <w:r>
        <w:t xml:space="preserve"> programs in FDEP’s Division of Water Resource Management and Division of Environmental Assessment and Restoration.  These tiers are not to be viewed as a prioritization structure; they simply reflect different categorical objectives.</w:t>
      </w:r>
    </w:p>
    <w:p w:rsidR="00485094" w:rsidRDefault="00485094" w:rsidP="00EA3D58">
      <w:pPr>
        <w:pStyle w:val="Bodytext"/>
      </w:pPr>
    </w:p>
    <w:p w:rsidR="00485094" w:rsidRPr="003A021B" w:rsidRDefault="00485094" w:rsidP="00EA3D58">
      <w:pPr>
        <w:pStyle w:val="Bodytext"/>
        <w:rPr>
          <w:szCs w:val="22"/>
        </w:rPr>
      </w:pPr>
      <w:r w:rsidRPr="003A021B">
        <w:rPr>
          <w:snapToGrid w:val="0"/>
          <w:szCs w:val="22"/>
        </w:rPr>
        <w:t>The IWRM approach</w:t>
      </w:r>
      <w:r>
        <w:rPr>
          <w:snapToGrid w:val="0"/>
          <w:szCs w:val="22"/>
        </w:rPr>
        <w:t xml:space="preserve"> is consistent with the 2003 EPA</w:t>
      </w:r>
      <w:r w:rsidRPr="003A021B">
        <w:rPr>
          <w:snapToGrid w:val="0"/>
          <w:szCs w:val="22"/>
        </w:rPr>
        <w:t xml:space="preserve"> guidance document, </w:t>
      </w:r>
      <w:hyperlink r:id="rId51" w:history="1">
        <w:r w:rsidRPr="007B1044">
          <w:rPr>
            <w:rStyle w:val="Hyperlink"/>
            <w:i/>
            <w:snapToGrid w:val="0"/>
            <w:szCs w:val="22"/>
          </w:rPr>
          <w:t>Elements of a State Water Monitoring and Assessment Program</w:t>
        </w:r>
      </w:hyperlink>
      <w:r>
        <w:rPr>
          <w:snapToGrid w:val="0"/>
          <w:szCs w:val="22"/>
        </w:rPr>
        <w:t xml:space="preserve">.  In 2004, FDEP prepared and submitted a report on these elements for the different monitoring programs.  The report, </w:t>
      </w:r>
      <w:hyperlink r:id="rId52" w:history="1">
        <w:r w:rsidRPr="008F351F">
          <w:rPr>
            <w:rStyle w:val="Hyperlink"/>
            <w:i/>
            <w:snapToGrid w:val="0"/>
            <w:szCs w:val="22"/>
          </w:rPr>
          <w:t>Elements of Florida’s Water Monitoring and Assessment Program</w:t>
        </w:r>
      </w:hyperlink>
      <w:r>
        <w:rPr>
          <w:snapToGrid w:val="0"/>
          <w:szCs w:val="22"/>
        </w:rPr>
        <w:t xml:space="preserve">, </w:t>
      </w:r>
      <w:r w:rsidRPr="003A021B">
        <w:rPr>
          <w:szCs w:val="22"/>
        </w:rPr>
        <w:t xml:space="preserve">addresses the following </w:t>
      </w:r>
      <w:r>
        <w:rPr>
          <w:szCs w:val="22"/>
        </w:rPr>
        <w:t>10</w:t>
      </w:r>
      <w:r w:rsidRPr="003A021B">
        <w:rPr>
          <w:szCs w:val="22"/>
        </w:rPr>
        <w:t xml:space="preserve"> elements:</w:t>
      </w:r>
    </w:p>
    <w:p w:rsidR="00485094" w:rsidRPr="003A021B" w:rsidRDefault="00485094" w:rsidP="00EA3D58">
      <w:pPr>
        <w:pStyle w:val="Bodytextreduced"/>
      </w:pPr>
    </w:p>
    <w:p w:rsidR="00485094" w:rsidRDefault="00485094">
      <w:pPr>
        <w:pStyle w:val="Listwithnumbers"/>
        <w:numPr>
          <w:ilvl w:val="0"/>
          <w:numId w:val="9"/>
        </w:numPr>
        <w:rPr>
          <w:sz w:val="22"/>
          <w:szCs w:val="22"/>
        </w:rPr>
      </w:pPr>
      <w:r w:rsidRPr="00225788">
        <w:rPr>
          <w:sz w:val="22"/>
          <w:szCs w:val="22"/>
        </w:rPr>
        <w:t>Monitoring objectives</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Monitoring strategy</w:t>
      </w:r>
      <w:r>
        <w:rPr>
          <w:sz w:val="22"/>
          <w:szCs w:val="22"/>
        </w:rPr>
        <w:t>;</w:t>
      </w:r>
    </w:p>
    <w:p w:rsidR="00485094" w:rsidRDefault="00485094">
      <w:pPr>
        <w:pStyle w:val="Listwithnumbers"/>
        <w:numPr>
          <w:ilvl w:val="0"/>
          <w:numId w:val="9"/>
        </w:numPr>
        <w:rPr>
          <w:sz w:val="22"/>
          <w:szCs w:val="22"/>
        </w:rPr>
      </w:pPr>
      <w:r w:rsidRPr="00225788">
        <w:rPr>
          <w:sz w:val="22"/>
          <w:szCs w:val="22"/>
        </w:rPr>
        <w:t>Monitoring design</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Indicators</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Quality assurance</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Data management</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Data analysis and assessment</w:t>
      </w:r>
      <w:r>
        <w:rPr>
          <w:sz w:val="22"/>
          <w:szCs w:val="22"/>
        </w:rPr>
        <w:t>;</w:t>
      </w:r>
      <w:r w:rsidRPr="00225788">
        <w:rPr>
          <w:sz w:val="22"/>
          <w:szCs w:val="22"/>
        </w:rPr>
        <w:t xml:space="preserve"> </w:t>
      </w:r>
    </w:p>
    <w:p w:rsidR="00485094" w:rsidRDefault="00485094">
      <w:pPr>
        <w:pStyle w:val="Listwithnumbers"/>
        <w:numPr>
          <w:ilvl w:val="0"/>
          <w:numId w:val="9"/>
        </w:numPr>
        <w:rPr>
          <w:sz w:val="22"/>
          <w:szCs w:val="22"/>
        </w:rPr>
      </w:pPr>
      <w:r w:rsidRPr="00225788">
        <w:rPr>
          <w:sz w:val="22"/>
          <w:szCs w:val="22"/>
        </w:rPr>
        <w:t>Reporting</w:t>
      </w:r>
      <w:r>
        <w:rPr>
          <w:sz w:val="22"/>
          <w:szCs w:val="22"/>
        </w:rPr>
        <w:t>;</w:t>
      </w:r>
    </w:p>
    <w:p w:rsidR="00485094" w:rsidRDefault="00485094">
      <w:pPr>
        <w:pStyle w:val="Listwithnumbers"/>
        <w:numPr>
          <w:ilvl w:val="0"/>
          <w:numId w:val="9"/>
        </w:numPr>
        <w:rPr>
          <w:sz w:val="22"/>
          <w:szCs w:val="22"/>
        </w:rPr>
      </w:pPr>
      <w:r w:rsidRPr="00225788">
        <w:rPr>
          <w:sz w:val="22"/>
          <w:szCs w:val="22"/>
        </w:rPr>
        <w:t>Programmatic evaluation</w:t>
      </w:r>
      <w:r>
        <w:rPr>
          <w:sz w:val="22"/>
          <w:szCs w:val="22"/>
        </w:rPr>
        <w:t>;</w:t>
      </w:r>
      <w:r w:rsidRPr="00225788">
        <w:rPr>
          <w:sz w:val="22"/>
          <w:szCs w:val="22"/>
        </w:rPr>
        <w:t xml:space="preserve"> and </w:t>
      </w:r>
    </w:p>
    <w:p w:rsidR="00485094" w:rsidRDefault="00485094">
      <w:pPr>
        <w:pStyle w:val="Listwithnumbers"/>
        <w:numPr>
          <w:ilvl w:val="0"/>
          <w:numId w:val="9"/>
        </w:numPr>
        <w:rPr>
          <w:sz w:val="22"/>
          <w:szCs w:val="22"/>
        </w:rPr>
      </w:pPr>
      <w:r w:rsidRPr="00225788">
        <w:rPr>
          <w:sz w:val="22"/>
          <w:szCs w:val="22"/>
        </w:rPr>
        <w:t>General support and infrastructure planning.</w:t>
      </w:r>
    </w:p>
    <w:p w:rsidR="00485094" w:rsidRDefault="00485094" w:rsidP="00EA3D58">
      <w:pPr>
        <w:pStyle w:val="Bodytextreduced"/>
      </w:pPr>
    </w:p>
    <w:p w:rsidR="00485094" w:rsidRDefault="00485094" w:rsidP="00EA3D58">
      <w:pPr>
        <w:pStyle w:val="Bodytext"/>
      </w:pPr>
      <w:r>
        <w:t>This section broadly discusses Elements 1 (monitoring objectives), 2 (monitoring strategy), 5 (quality assurance), 6 (data management), 9 (programmatic evaluation), and 10 (general support and infrastructure planning).  The methodology and assessment sections of this chapter address Elements 3 (monitoring design), 4 (indicators), 7 (data analysis and assessment), and 8 (reporting).</w:t>
      </w:r>
    </w:p>
    <w:p w:rsidR="00485094" w:rsidRPr="00D2717B" w:rsidRDefault="00485094" w:rsidP="00EA3D58">
      <w:pPr>
        <w:pStyle w:val="Bodytextreduced"/>
      </w:pPr>
    </w:p>
    <w:p w:rsidR="003C6692" w:rsidRDefault="003C6692">
      <w:pPr>
        <w:rPr>
          <w:rFonts w:ascii="Arial" w:hAnsi="Arial"/>
          <w:b/>
          <w:i/>
          <w:sz w:val="20"/>
          <w:szCs w:val="20"/>
        </w:rPr>
      </w:pPr>
      <w:bookmarkStart w:id="140" w:name="_Toc262464219"/>
      <w:r>
        <w:br w:type="page"/>
      </w:r>
    </w:p>
    <w:p w:rsidR="00485094" w:rsidRDefault="00485094" w:rsidP="00EA3D58">
      <w:pPr>
        <w:pStyle w:val="Tableheading"/>
      </w:pPr>
      <w:bookmarkStart w:id="141" w:name="_Toc271889814"/>
      <w:r w:rsidRPr="009E0BCC">
        <w:lastRenderedPageBreak/>
        <w:t xml:space="preserve">Table </w:t>
      </w:r>
      <w:r>
        <w:t>4.1a</w:t>
      </w:r>
      <w:r w:rsidRPr="009E0BCC">
        <w:t xml:space="preserve">. </w:t>
      </w:r>
      <w:r>
        <w:t xml:space="preserve"> </w:t>
      </w:r>
      <w:r w:rsidRPr="009E0BCC">
        <w:t>FDEP's Tier I Monitoring Programs</w:t>
      </w:r>
      <w:bookmarkEnd w:id="140"/>
      <w:bookmarkEnd w:id="141"/>
    </w:p>
    <w:p w:rsidR="00485094" w:rsidRDefault="00485094" w:rsidP="00EA3D58">
      <w:pPr>
        <w:pStyle w:val="TabledescriptionBF"/>
      </w:pPr>
      <w:r>
        <w:t>This is a three-column table.  Column 1 lists the program, Column 2 summarizes its activities, and Column 3 lists the resources addressed.</w:t>
      </w:r>
    </w:p>
    <w:tbl>
      <w:tblPr>
        <w:tblW w:w="9252" w:type="dxa"/>
        <w:jc w:val="center"/>
        <w:tblLook w:val="04A0"/>
      </w:tblPr>
      <w:tblGrid>
        <w:gridCol w:w="1300"/>
        <w:gridCol w:w="4603"/>
        <w:gridCol w:w="3349"/>
      </w:tblGrid>
      <w:tr w:rsidR="00485094" w:rsidRPr="000F2909" w:rsidTr="000F2909">
        <w:trPr>
          <w:trHeight w:val="340"/>
          <w:jc w:val="center"/>
        </w:trPr>
        <w:tc>
          <w:tcPr>
            <w:tcW w:w="1300"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603"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49"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546"/>
          <w:jc w:val="center"/>
        </w:trPr>
        <w:tc>
          <w:tcPr>
            <w:tcW w:w="1300" w:type="dxa"/>
            <w:tcBorders>
              <w:top w:val="double" w:sz="4" w:space="0" w:color="auto"/>
              <w:left w:val="single" w:sz="8" w:space="0" w:color="auto"/>
              <w:bottom w:val="nil"/>
              <w:right w:val="single" w:sz="8" w:space="0" w:color="auto"/>
            </w:tcBorders>
            <w:shd w:val="clear" w:color="auto" w:fill="FFFFCC"/>
            <w:vAlign w:val="center"/>
            <w:hideMark/>
          </w:tcPr>
          <w:p w:rsidR="00485094" w:rsidRDefault="00485094" w:rsidP="00453E80">
            <w:pPr>
              <w:pStyle w:val="TableText"/>
              <w:jc w:val="center"/>
            </w:pPr>
            <w:r>
              <w:t>Status Network</w:t>
            </w:r>
          </w:p>
        </w:tc>
        <w:tc>
          <w:tcPr>
            <w:tcW w:w="4603" w:type="dxa"/>
            <w:tcBorders>
              <w:top w:val="double" w:sz="4" w:space="0" w:color="auto"/>
              <w:left w:val="nil"/>
              <w:bottom w:val="nil"/>
              <w:right w:val="single" w:sz="8" w:space="0" w:color="auto"/>
            </w:tcBorders>
            <w:vAlign w:val="center"/>
            <w:hideMark/>
          </w:tcPr>
          <w:p w:rsidR="00485094" w:rsidRDefault="00485094" w:rsidP="00453E80">
            <w:pPr>
              <w:pStyle w:val="TableText"/>
              <w:jc w:val="center"/>
            </w:pPr>
            <w:r>
              <w:t>Consists of a probabilistic monitoring design to estimate water quality across the entire state based on a representative subsample of water resource types.</w:t>
            </w:r>
          </w:p>
        </w:tc>
        <w:tc>
          <w:tcPr>
            <w:tcW w:w="3349"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Large lakes, small lakes, rivers, streams, confined aquifers, and unconfined aquifers</w:t>
            </w:r>
          </w:p>
        </w:tc>
      </w:tr>
      <w:tr w:rsidR="00485094" w:rsidTr="00453E80">
        <w:trPr>
          <w:trHeight w:val="619"/>
          <w:jc w:val="center"/>
        </w:trPr>
        <w:tc>
          <w:tcPr>
            <w:tcW w:w="1300" w:type="dxa"/>
            <w:tcBorders>
              <w:top w:val="single" w:sz="8" w:space="0" w:color="auto"/>
              <w:left w:val="single" w:sz="8" w:space="0" w:color="auto"/>
              <w:bottom w:val="single" w:sz="8" w:space="0" w:color="auto"/>
              <w:right w:val="single" w:sz="8" w:space="0" w:color="auto"/>
            </w:tcBorders>
            <w:shd w:val="clear" w:color="auto" w:fill="FFFFCC"/>
            <w:vAlign w:val="center"/>
            <w:hideMark/>
          </w:tcPr>
          <w:p w:rsidR="00485094" w:rsidRDefault="00485094" w:rsidP="00453E80">
            <w:pPr>
              <w:pStyle w:val="TableText"/>
              <w:jc w:val="center"/>
            </w:pPr>
            <w:r>
              <w:t>Trend Network</w:t>
            </w:r>
          </w:p>
        </w:tc>
        <w:tc>
          <w:tcPr>
            <w:tcW w:w="4603" w:type="dxa"/>
            <w:tcBorders>
              <w:top w:val="single" w:sz="8" w:space="0" w:color="auto"/>
              <w:left w:val="nil"/>
              <w:bottom w:val="single" w:sz="8" w:space="0" w:color="auto"/>
              <w:right w:val="single" w:sz="8" w:space="0" w:color="auto"/>
            </w:tcBorders>
            <w:vAlign w:val="center"/>
            <w:hideMark/>
          </w:tcPr>
          <w:p w:rsidR="00485094" w:rsidRDefault="00485094" w:rsidP="00453E80">
            <w:pPr>
              <w:pStyle w:val="TableText"/>
              <w:jc w:val="center"/>
            </w:pPr>
            <w:r>
              <w:t>Comprises a fixed station design to examine changes in water quality and flow over time throughout the state.</w:t>
            </w:r>
          </w:p>
        </w:tc>
        <w:tc>
          <w:tcPr>
            <w:tcW w:w="3349" w:type="dxa"/>
            <w:tcBorders>
              <w:top w:val="nil"/>
              <w:left w:val="nil"/>
              <w:bottom w:val="single" w:sz="8" w:space="0" w:color="auto"/>
              <w:right w:val="single" w:sz="8" w:space="0" w:color="auto"/>
            </w:tcBorders>
            <w:vAlign w:val="center"/>
            <w:hideMark/>
          </w:tcPr>
          <w:p w:rsidR="00485094" w:rsidRDefault="00485094" w:rsidP="00453E80">
            <w:pPr>
              <w:pStyle w:val="TableText"/>
              <w:jc w:val="center"/>
            </w:pPr>
            <w:r>
              <w:t>Rivers, streams, confined aquifers, and unconfined aquifers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2" w:name="_Toc262464220"/>
      <w:bookmarkStart w:id="143" w:name="_Toc271889815"/>
      <w:r w:rsidRPr="00C56A6E">
        <w:t>Tabl</w:t>
      </w:r>
      <w:r>
        <w:t>e 4.1b.  FDEP's Tier I and Tier II B</w:t>
      </w:r>
      <w:r w:rsidRPr="00C56A6E">
        <w:t>lended Monitoring Programs</w:t>
      </w:r>
      <w:bookmarkEnd w:id="142"/>
      <w:bookmarkEnd w:id="143"/>
    </w:p>
    <w:p w:rsidR="00485094" w:rsidRDefault="00485094" w:rsidP="00EA3D58">
      <w:pPr>
        <w:pStyle w:val="TabledescriptionBF"/>
        <w:rPr>
          <w:b/>
        </w:rPr>
      </w:pPr>
      <w:r>
        <w:t>This is a three-column table.  Column 1 lists the program, Column 2 summarizes its activities, and Column 3 lists the resources addressed.</w:t>
      </w:r>
    </w:p>
    <w:tbl>
      <w:tblPr>
        <w:tblW w:w="9233" w:type="dxa"/>
        <w:jc w:val="center"/>
        <w:tblLook w:val="04A0"/>
      </w:tblPr>
      <w:tblGrid>
        <w:gridCol w:w="1300"/>
        <w:gridCol w:w="4577"/>
        <w:gridCol w:w="3356"/>
      </w:tblGrid>
      <w:tr w:rsidR="00485094" w:rsidRPr="000F2909" w:rsidTr="000F2909">
        <w:trPr>
          <w:trHeight w:val="385"/>
          <w:jc w:val="center"/>
        </w:trPr>
        <w:tc>
          <w:tcPr>
            <w:tcW w:w="1300"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7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56"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Tr="00453E80">
        <w:trPr>
          <w:trHeight w:val="897"/>
          <w:jc w:val="center"/>
        </w:trPr>
        <w:tc>
          <w:tcPr>
            <w:tcW w:w="1300"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Default="00485094" w:rsidP="00453E80">
            <w:pPr>
              <w:pStyle w:val="TableText"/>
              <w:jc w:val="center"/>
            </w:pPr>
            <w:r>
              <w:t>Springs Initiative</w:t>
            </w:r>
          </w:p>
        </w:tc>
        <w:tc>
          <w:tcPr>
            <w:tcW w:w="4577"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Consists of a fixed station network of freshwater springs intended to enhance the understanding of Florida’s springs, stop the degradation and loss of spring flow, and restore springs to their former health.</w:t>
            </w:r>
          </w:p>
        </w:tc>
        <w:tc>
          <w:tcPr>
            <w:tcW w:w="3356" w:type="dxa"/>
            <w:tcBorders>
              <w:top w:val="double" w:sz="4" w:space="0" w:color="auto"/>
              <w:left w:val="nil"/>
              <w:bottom w:val="single" w:sz="8" w:space="0" w:color="auto"/>
              <w:right w:val="single" w:sz="8" w:space="0" w:color="auto"/>
            </w:tcBorders>
            <w:vAlign w:val="center"/>
            <w:hideMark/>
          </w:tcPr>
          <w:p w:rsidR="00485094" w:rsidRDefault="00485094" w:rsidP="00453E80">
            <w:pPr>
              <w:pStyle w:val="TableText"/>
              <w:jc w:val="center"/>
            </w:pPr>
            <w:r>
              <w:t>First-magnitude springs, second-magnitude springs, subaquatic conduits, river rises, and coastal submarine springs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4" w:name="_Toc262464221"/>
      <w:bookmarkStart w:id="145" w:name="_Toc271889816"/>
      <w:r w:rsidRPr="00C56A6E">
        <w:t xml:space="preserve">Table </w:t>
      </w:r>
      <w:r>
        <w:t>4.1c</w:t>
      </w:r>
      <w:r w:rsidRPr="00C56A6E">
        <w:t xml:space="preserve">. </w:t>
      </w:r>
      <w:r>
        <w:t xml:space="preserve"> </w:t>
      </w:r>
      <w:r w:rsidRPr="00C56A6E">
        <w:t>FDEP's Tier II Monitoring Programs</w:t>
      </w:r>
      <w:bookmarkEnd w:id="144"/>
      <w:bookmarkEnd w:id="145"/>
    </w:p>
    <w:p w:rsidR="00485094" w:rsidRDefault="00485094" w:rsidP="00EA3D58">
      <w:pPr>
        <w:pStyle w:val="TabledescriptionBF"/>
        <w:rPr>
          <w:b/>
        </w:rPr>
      </w:pPr>
      <w:r>
        <w:t>This is a three-column table.  Column 1 lists the program, Column 2 summarizes its activities, and Column 3 lists the resources addressed.</w:t>
      </w:r>
    </w:p>
    <w:tbl>
      <w:tblPr>
        <w:tblW w:w="9215" w:type="dxa"/>
        <w:jc w:val="center"/>
        <w:tblLook w:val="04A0"/>
      </w:tblPr>
      <w:tblGrid>
        <w:gridCol w:w="1329"/>
        <w:gridCol w:w="4539"/>
        <w:gridCol w:w="3347"/>
      </w:tblGrid>
      <w:tr w:rsidR="00485094" w:rsidRPr="000F2909" w:rsidTr="000F2909">
        <w:trPr>
          <w:trHeight w:val="421"/>
          <w:jc w:val="center"/>
        </w:trPr>
        <w:tc>
          <w:tcPr>
            <w:tcW w:w="1329"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39"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4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453E80">
        <w:trPr>
          <w:trHeight w:val="717"/>
          <w:jc w:val="center"/>
        </w:trPr>
        <w:tc>
          <w:tcPr>
            <w:tcW w:w="1329"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Strategic Monitoring Program</w:t>
            </w:r>
          </w:p>
        </w:tc>
        <w:tc>
          <w:tcPr>
            <w:tcW w:w="4539"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Addresses questions in specific basins and stream segments that are associated with determinations of waterbody impairment for the TMDL Program.</w:t>
            </w:r>
          </w:p>
        </w:tc>
        <w:tc>
          <w:tcPr>
            <w:tcW w:w="334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All surface waters based on the schedule in the watershed management cycle</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146" w:name="_Toc262464222"/>
      <w:bookmarkStart w:id="147" w:name="_Toc271889817"/>
      <w:r w:rsidRPr="00C56A6E">
        <w:t xml:space="preserve">Table </w:t>
      </w:r>
      <w:r>
        <w:t>4.1d</w:t>
      </w:r>
      <w:r w:rsidRPr="00C56A6E">
        <w:t xml:space="preserve">. </w:t>
      </w:r>
      <w:r>
        <w:t xml:space="preserve"> </w:t>
      </w:r>
      <w:r w:rsidRPr="00C56A6E">
        <w:t>FDEP's Tier III Monitoring Programs</w:t>
      </w:r>
      <w:bookmarkEnd w:id="146"/>
      <w:bookmarkEnd w:id="147"/>
    </w:p>
    <w:p w:rsidR="00485094" w:rsidRDefault="00485094" w:rsidP="00EA3D58">
      <w:pPr>
        <w:pStyle w:val="TabledescriptionBF"/>
        <w:rPr>
          <w:b/>
          <w:sz w:val="20"/>
        </w:rPr>
      </w:pPr>
      <w:r>
        <w:t>This is a three-column table.  Column 1 lists each program, Column 2 summarizes its activities, and Column 3 lists the resources addressed.</w:t>
      </w:r>
    </w:p>
    <w:tbl>
      <w:tblPr>
        <w:tblW w:w="9256" w:type="dxa"/>
        <w:jc w:val="center"/>
        <w:tblInd w:w="-215" w:type="dxa"/>
        <w:tblLook w:val="04A0"/>
      </w:tblPr>
      <w:tblGrid>
        <w:gridCol w:w="1381"/>
        <w:gridCol w:w="4507"/>
        <w:gridCol w:w="3368"/>
      </w:tblGrid>
      <w:tr w:rsidR="00485094" w:rsidRPr="000F2909" w:rsidTr="000F2909">
        <w:trPr>
          <w:trHeight w:val="367"/>
          <w:jc w:val="center"/>
        </w:trPr>
        <w:tc>
          <w:tcPr>
            <w:tcW w:w="1381" w:type="dxa"/>
            <w:tcBorders>
              <w:top w:val="single" w:sz="8" w:space="0" w:color="auto"/>
              <w:left w:val="single" w:sz="8" w:space="0" w:color="auto"/>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Program</w:t>
            </w:r>
          </w:p>
        </w:tc>
        <w:tc>
          <w:tcPr>
            <w:tcW w:w="4507"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Summary</w:t>
            </w:r>
          </w:p>
        </w:tc>
        <w:tc>
          <w:tcPr>
            <w:tcW w:w="3368" w:type="dxa"/>
            <w:tcBorders>
              <w:top w:val="single" w:sz="8" w:space="0" w:color="auto"/>
              <w:left w:val="nil"/>
              <w:bottom w:val="double" w:sz="4" w:space="0" w:color="auto"/>
              <w:right w:val="single" w:sz="8" w:space="0" w:color="auto"/>
            </w:tcBorders>
            <w:shd w:val="clear" w:color="auto" w:fill="BDFFFF"/>
            <w:vAlign w:val="center"/>
            <w:hideMark/>
          </w:tcPr>
          <w:p w:rsidR="00485094" w:rsidRPr="000F2909" w:rsidRDefault="00485094" w:rsidP="00453E80">
            <w:pPr>
              <w:pStyle w:val="TableText"/>
              <w:jc w:val="center"/>
              <w:rPr>
                <w:b/>
                <w:i/>
              </w:rPr>
            </w:pPr>
            <w:r w:rsidRPr="000F2909">
              <w:rPr>
                <w:b/>
                <w:i/>
              </w:rPr>
              <w:t>Resources Addressed</w:t>
            </w:r>
          </w:p>
        </w:tc>
      </w:tr>
      <w:tr w:rsidR="00485094" w:rsidRPr="006F31A0" w:rsidTr="00453E80">
        <w:trPr>
          <w:trHeight w:val="663"/>
          <w:jc w:val="center"/>
        </w:trPr>
        <w:tc>
          <w:tcPr>
            <w:tcW w:w="1381" w:type="dxa"/>
            <w:tcBorders>
              <w:top w:val="double" w:sz="4" w:space="0" w:color="auto"/>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Intensive Surveys for TMDLs</w:t>
            </w:r>
          </w:p>
        </w:tc>
        <w:tc>
          <w:tcPr>
            <w:tcW w:w="4507"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Provides detailed, time-limited investigations of the conditions of specific surface water resources that are identified as impaired.</w:t>
            </w:r>
          </w:p>
        </w:tc>
        <w:tc>
          <w:tcPr>
            <w:tcW w:w="3368" w:type="dxa"/>
            <w:tcBorders>
              <w:top w:val="double" w:sz="4" w:space="0" w:color="auto"/>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Specific surface water resources identified as impaired</w:t>
            </w:r>
          </w:p>
        </w:tc>
      </w:tr>
      <w:tr w:rsidR="00485094" w:rsidRPr="006F31A0" w:rsidTr="00453E80">
        <w:trPr>
          <w:trHeight w:val="889"/>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Water Quality Standards Development</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evaluates, and revises new and existing surface water quality standards.  Carries out monitoring to determine concentrations to protect aquatic life and human health.</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 xml:space="preserve">Surface water and </w:t>
            </w:r>
            <w:r>
              <w:t>g</w:t>
            </w:r>
            <w:r w:rsidRPr="006F31A0">
              <w:t>round water</w:t>
            </w:r>
          </w:p>
        </w:tc>
      </w:tr>
      <w:tr w:rsidR="00485094" w:rsidRPr="006F31A0" w:rsidTr="00453E80">
        <w:trPr>
          <w:trHeight w:val="105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Site-Specific Alternative Criteria</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Develops moderating provisions unique to a waterbody that does not meet particular water quality criteria, due to natural background conditions or human-induced conditions that cannot be controlled or abated.</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waterbodies to which particular ambient water quality criteria may not be applicable</w:t>
            </w:r>
          </w:p>
        </w:tc>
      </w:tr>
      <w:tr w:rsidR="00485094" w:rsidRPr="006F31A0" w:rsidTr="00453E80">
        <w:trPr>
          <w:trHeight w:val="511"/>
          <w:jc w:val="center"/>
        </w:trPr>
        <w:tc>
          <w:tcPr>
            <w:tcW w:w="1381" w:type="dxa"/>
            <w:tcBorders>
              <w:top w:val="nil"/>
              <w:left w:val="single" w:sz="8" w:space="0" w:color="auto"/>
              <w:bottom w:val="single" w:sz="8" w:space="0" w:color="auto"/>
              <w:right w:val="single" w:sz="8" w:space="0" w:color="auto"/>
            </w:tcBorders>
            <w:shd w:val="clear" w:color="auto" w:fill="FFFFCC"/>
            <w:vAlign w:val="center"/>
            <w:hideMark/>
          </w:tcPr>
          <w:p w:rsidR="00485094" w:rsidRPr="006F31A0" w:rsidRDefault="00485094" w:rsidP="00453E80">
            <w:pPr>
              <w:pStyle w:val="TableText"/>
              <w:jc w:val="center"/>
            </w:pPr>
            <w:r w:rsidRPr="006F31A0">
              <w:t>Fifth-Year Inspections</w:t>
            </w:r>
          </w:p>
        </w:tc>
        <w:tc>
          <w:tcPr>
            <w:tcW w:w="4507"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Achieves and maintains compliance through sound environmental monitoring and permitting practices.</w:t>
            </w:r>
          </w:p>
        </w:tc>
        <w:tc>
          <w:tcPr>
            <w:tcW w:w="3368" w:type="dxa"/>
            <w:tcBorders>
              <w:top w:val="nil"/>
              <w:left w:val="nil"/>
              <w:bottom w:val="single" w:sz="8" w:space="0" w:color="auto"/>
              <w:right w:val="single" w:sz="8" w:space="0" w:color="auto"/>
            </w:tcBorders>
            <w:vAlign w:val="center"/>
            <w:hideMark/>
          </w:tcPr>
          <w:p w:rsidR="00485094" w:rsidRPr="006F31A0" w:rsidRDefault="00485094" w:rsidP="00453E80">
            <w:pPr>
              <w:pStyle w:val="TableText"/>
              <w:jc w:val="center"/>
            </w:pPr>
            <w:r w:rsidRPr="006F31A0">
              <w:t>Surface waters that receive point source discharges</w:t>
            </w:r>
          </w:p>
        </w:tc>
      </w:tr>
    </w:tbl>
    <w:p w:rsidR="00485094" w:rsidRDefault="00485094" w:rsidP="00EA3D58">
      <w:pPr>
        <w:pStyle w:val="Bodytext"/>
        <w:rPr>
          <w:b/>
          <w:i/>
          <w:sz w:val="20"/>
        </w:rPr>
      </w:pPr>
    </w:p>
    <w:p w:rsidR="00485094" w:rsidRPr="00C56A6E" w:rsidRDefault="00485094" w:rsidP="00EA3D58">
      <w:pPr>
        <w:pStyle w:val="Bodytextreduced"/>
      </w:pPr>
    </w:p>
    <w:p w:rsidR="003C6692" w:rsidRDefault="003C6692">
      <w:pPr>
        <w:rPr>
          <w:rStyle w:val="Strong"/>
          <w:rFonts w:ascii="Arial" w:hAnsi="Arial" w:cs="Arial"/>
          <w:bCs/>
          <w:i/>
          <w:sz w:val="24"/>
          <w:szCs w:val="26"/>
        </w:rPr>
      </w:pPr>
      <w:bookmarkStart w:id="148" w:name="_Toc254269870"/>
      <w:bookmarkStart w:id="149" w:name="_Toc255822511"/>
      <w:bookmarkStart w:id="150" w:name="_Toc262464128"/>
      <w:r>
        <w:rPr>
          <w:rStyle w:val="Strong"/>
          <w:rFonts w:cs="Arial"/>
          <w:b w:val="0"/>
          <w:sz w:val="24"/>
        </w:rPr>
        <w:br w:type="page"/>
      </w:r>
    </w:p>
    <w:p w:rsidR="00485094" w:rsidRPr="00E03E3C" w:rsidRDefault="00485094" w:rsidP="00E03E3C">
      <w:pPr>
        <w:pStyle w:val="Heading3"/>
        <w:rPr>
          <w:rStyle w:val="Strong"/>
          <w:rFonts w:cs="Arial"/>
          <w:b/>
          <w:sz w:val="24"/>
        </w:rPr>
      </w:pPr>
      <w:bookmarkStart w:id="151" w:name="_Toc271794320"/>
      <w:r w:rsidRPr="00E03E3C">
        <w:rPr>
          <w:rStyle w:val="Strong"/>
          <w:rFonts w:cs="Arial"/>
          <w:b/>
          <w:sz w:val="24"/>
        </w:rPr>
        <w:lastRenderedPageBreak/>
        <w:t>Element 1:  Monitoring Objectives</w:t>
      </w:r>
      <w:bookmarkEnd w:id="148"/>
      <w:bookmarkEnd w:id="149"/>
      <w:bookmarkEnd w:id="150"/>
      <w:bookmarkEnd w:id="151"/>
    </w:p>
    <w:p w:rsidR="00485094" w:rsidRPr="003A021B" w:rsidRDefault="00485094" w:rsidP="00EA3D58">
      <w:pPr>
        <w:pStyle w:val="Bodytext"/>
        <w:rPr>
          <w:szCs w:val="22"/>
        </w:rPr>
      </w:pPr>
      <w:r w:rsidRPr="00E03E3C">
        <w:rPr>
          <w:rStyle w:val="Strong"/>
          <w:rFonts w:cs="Arial"/>
          <w:b w:val="0"/>
          <w:sz w:val="22"/>
          <w:szCs w:val="22"/>
        </w:rPr>
        <w:t xml:space="preserve">The goal of FDEP’s monitoring activities </w:t>
      </w:r>
      <w:r w:rsidRPr="00E03E3C">
        <w:rPr>
          <w:rFonts w:cs="Arial"/>
          <w:snapToGrid w:val="0"/>
          <w:szCs w:val="22"/>
        </w:rPr>
        <w:t>is</w:t>
      </w:r>
      <w:r w:rsidRPr="003A021B">
        <w:rPr>
          <w:rFonts w:cs="Arial"/>
          <w:snapToGrid w:val="0"/>
          <w:szCs w:val="22"/>
        </w:rPr>
        <w:t xml:space="preserve"> to determine the overall quality of the state’s surface and ground water, how they are changing over time, and the effectiveness of </w:t>
      </w:r>
      <w:r>
        <w:rPr>
          <w:rFonts w:cs="Arial"/>
          <w:snapToGrid w:val="0"/>
          <w:szCs w:val="22"/>
        </w:rPr>
        <w:t xml:space="preserve">water resource management, </w:t>
      </w:r>
      <w:r w:rsidRPr="003A021B">
        <w:rPr>
          <w:rFonts w:cs="Arial"/>
          <w:snapToGrid w:val="0"/>
          <w:szCs w:val="22"/>
        </w:rPr>
        <w:t>protection</w:t>
      </w:r>
      <w:r>
        <w:rPr>
          <w:rFonts w:cs="Arial"/>
          <w:snapToGrid w:val="0"/>
          <w:szCs w:val="22"/>
        </w:rPr>
        <w:t>, and restoration</w:t>
      </w:r>
      <w:r w:rsidRPr="003A021B">
        <w:rPr>
          <w:rFonts w:cs="Arial"/>
          <w:snapToGrid w:val="0"/>
          <w:szCs w:val="22"/>
        </w:rPr>
        <w:t xml:space="preserve"> programs.  </w:t>
      </w:r>
      <w:r w:rsidRPr="003A021B">
        <w:rPr>
          <w:szCs w:val="22"/>
        </w:rPr>
        <w:t>Monitoring activities collectively address the following broad objectives:</w:t>
      </w:r>
    </w:p>
    <w:p w:rsidR="00485094" w:rsidRPr="003A021B" w:rsidRDefault="00485094" w:rsidP="00EA3D58">
      <w:pPr>
        <w:pStyle w:val="Bodytext"/>
        <w:rPr>
          <w:szCs w:val="22"/>
        </w:rPr>
      </w:pPr>
    </w:p>
    <w:p w:rsidR="00485094" w:rsidRPr="003A021B" w:rsidRDefault="00485094" w:rsidP="00EA3D58">
      <w:pPr>
        <w:pStyle w:val="StyleListBullet11pt"/>
      </w:pPr>
      <w:r w:rsidRPr="003A021B">
        <w:t>Identify and document the condition of Florida’s water resources</w:t>
      </w:r>
      <w:r>
        <w:t>, spatially and temporally,</w:t>
      </w:r>
      <w:r w:rsidRPr="003A021B">
        <w:t xml:space="preserve"> with a known certainty;</w:t>
      </w:r>
    </w:p>
    <w:p w:rsidR="00485094" w:rsidRPr="003A021B" w:rsidRDefault="00485094" w:rsidP="00EA3D58">
      <w:pPr>
        <w:pStyle w:val="StyleListBullet11pt"/>
      </w:pPr>
      <w:r w:rsidRPr="003A021B">
        <w:t>Collect data on important chemical, physical, and biological parameters to characterize waterbodies</w:t>
      </w:r>
      <w:r>
        <w:t xml:space="preserve"> based on thresholds</w:t>
      </w:r>
      <w:r w:rsidRPr="003A021B">
        <w:t xml:space="preserve"> in </w:t>
      </w:r>
      <w:r>
        <w:t>Chapters</w:t>
      </w:r>
      <w:r w:rsidRPr="003A021B">
        <w:t xml:space="preserve"> 62-302;</w:t>
      </w:r>
    </w:p>
    <w:p w:rsidR="00485094" w:rsidRPr="003A021B" w:rsidRDefault="00485094" w:rsidP="00EA3D58">
      <w:pPr>
        <w:pStyle w:val="StyleListBullet11pt"/>
      </w:pPr>
      <w:r>
        <w:t>C</w:t>
      </w:r>
      <w:r w:rsidRPr="003A021B">
        <w:t xml:space="preserve">ollect data </w:t>
      </w:r>
      <w:r>
        <w:t xml:space="preserve">from impaired waters </w:t>
      </w:r>
      <w:r w:rsidRPr="003A021B">
        <w:t>that will be use</w:t>
      </w:r>
      <w:r>
        <w:t>d</w:t>
      </w:r>
      <w:r w:rsidRPr="003A021B">
        <w:t xml:space="preserve"> </w:t>
      </w:r>
      <w:r>
        <w:t>to evaluate</w:t>
      </w:r>
      <w:r w:rsidRPr="003A021B">
        <w:t xml:space="preserve"> changes over time </w:t>
      </w:r>
      <w:r>
        <w:t>in response to restoration activities</w:t>
      </w:r>
      <w:r w:rsidRPr="003A021B">
        <w:t>;</w:t>
      </w:r>
    </w:p>
    <w:p w:rsidR="00485094" w:rsidRPr="003A021B" w:rsidRDefault="00485094" w:rsidP="00EA3D58">
      <w:pPr>
        <w:pStyle w:val="StyleListBullet11pt"/>
      </w:pPr>
      <w:r w:rsidRPr="003A021B">
        <w:t xml:space="preserve">Establish a database with known data quality objectives and quality assurance </w:t>
      </w:r>
      <w:r>
        <w:t>for the purpose of</w:t>
      </w:r>
      <w:r w:rsidRPr="003A021B">
        <w:t xml:space="preserve"> determin</w:t>
      </w:r>
      <w:r>
        <w:t>ing</w:t>
      </w:r>
      <w:r w:rsidRPr="003A021B">
        <w:t xml:space="preserve"> a </w:t>
      </w:r>
      <w:r>
        <w:t>basin’s</w:t>
      </w:r>
      <w:r w:rsidRPr="003A021B">
        <w:t xml:space="preserve"> long-term </w:t>
      </w:r>
      <w:r>
        <w:t>ecologica</w:t>
      </w:r>
      <w:r w:rsidRPr="003A021B">
        <w:t>l health</w:t>
      </w:r>
      <w:r>
        <w:t xml:space="preserve"> and </w:t>
      </w:r>
      <w:r w:rsidRPr="003A021B">
        <w:t>establish</w:t>
      </w:r>
      <w:r>
        <w:t>ing</w:t>
      </w:r>
      <w:r w:rsidRPr="003A021B">
        <w:t xml:space="preserve"> water quality standards;</w:t>
      </w:r>
    </w:p>
    <w:p w:rsidR="00485094" w:rsidRPr="003A021B" w:rsidRDefault="00485094" w:rsidP="00EA3D58">
      <w:pPr>
        <w:pStyle w:val="StyleListBullet11pt"/>
      </w:pPr>
      <w:r w:rsidRPr="003A021B">
        <w:t>Provide reliable data to managers, legislators, agencies, and the public</w:t>
      </w:r>
      <w:r>
        <w:t>,</w:t>
      </w:r>
      <w:r w:rsidRPr="00F027C8">
        <w:t xml:space="preserve"> </w:t>
      </w:r>
      <w:r>
        <w:t xml:space="preserve">and aid in </w:t>
      </w:r>
      <w:r w:rsidRPr="003A021B">
        <w:t>management decision making.</w:t>
      </w:r>
    </w:p>
    <w:p w:rsidR="00485094" w:rsidRPr="003A021B" w:rsidRDefault="00485094" w:rsidP="00EA3D58">
      <w:pPr>
        <w:pStyle w:val="Bodytextreduced"/>
      </w:pPr>
    </w:p>
    <w:p w:rsidR="00485094" w:rsidRDefault="00485094" w:rsidP="00EA3D58">
      <w:pPr>
        <w:pStyle w:val="Heading3"/>
      </w:pPr>
      <w:bookmarkStart w:id="152" w:name="_Toc254269871"/>
      <w:bookmarkStart w:id="153" w:name="_Toc255822512"/>
      <w:bookmarkStart w:id="154" w:name="_Toc262464129"/>
      <w:bookmarkStart w:id="155" w:name="_Toc271794321"/>
      <w:r>
        <w:t>Element 2:  Monitoring Strategy</w:t>
      </w:r>
      <w:bookmarkEnd w:id="152"/>
      <w:bookmarkEnd w:id="153"/>
      <w:bookmarkEnd w:id="154"/>
      <w:bookmarkEnd w:id="155"/>
    </w:p>
    <w:p w:rsidR="00485094" w:rsidRDefault="00485094" w:rsidP="00EA3D58">
      <w:pPr>
        <w:pStyle w:val="Bodytext"/>
      </w:pPr>
      <w:r>
        <w:t xml:space="preserve">Under FDEP’s IWRM approach, there are three tiers of monitoring, ranging </w:t>
      </w:r>
      <w:r w:rsidRPr="00D2717B">
        <w:rPr>
          <w:snapToGrid w:val="0"/>
        </w:rPr>
        <w:t>from the general to the specific</w:t>
      </w:r>
      <w:r>
        <w:rPr>
          <w:snapToGrid w:val="0"/>
        </w:rPr>
        <w:t>, designed to fill data gaps or support specific regulatory needs.</w:t>
      </w:r>
      <w:r>
        <w:t xml:space="preserve">  </w:t>
      </w:r>
      <w:r w:rsidRPr="00F0799C">
        <w:t xml:space="preserve">Each of </w:t>
      </w:r>
      <w:r>
        <w:t>FDEP’s</w:t>
      </w:r>
      <w:r w:rsidRPr="00F0799C">
        <w:t xml:space="preserve"> core monitoring programs has a detailed monitoring design, a list of core and supplemental water quality indicators, and specific procedures for quality assurance, data management, data analysis and assessment, reporting, and programmatic evaluation.</w:t>
      </w:r>
      <w:r>
        <w:t xml:space="preserve">  </w:t>
      </w:r>
      <w:r w:rsidRPr="009E6B6E">
        <w:t xml:space="preserve">FDEP relies on both chemical </w:t>
      </w:r>
      <w:r>
        <w:t>and</w:t>
      </w:r>
      <w:r w:rsidRPr="009E6B6E">
        <w:t xml:space="preserve"> biological sampling in its monitoring programs, and </w:t>
      </w:r>
      <w:r>
        <w:t xml:space="preserve">also </w:t>
      </w:r>
      <w:r w:rsidRPr="004D09FE">
        <w:t xml:space="preserve">conducts the bulk of the biological sampling that is carried out statewide.  </w:t>
      </w:r>
      <w:r w:rsidRPr="004D09FE">
        <w:rPr>
          <w:b/>
          <w:i/>
        </w:rPr>
        <w:t xml:space="preserve">Tables 4.1a </w:t>
      </w:r>
      <w:r w:rsidRPr="004D09FE">
        <w:t>through</w:t>
      </w:r>
      <w:r w:rsidRPr="004D09FE">
        <w:rPr>
          <w:b/>
          <w:i/>
        </w:rPr>
        <w:t xml:space="preserve"> 4.1d</w:t>
      </w:r>
      <w:r w:rsidRPr="004D09FE">
        <w:rPr>
          <w:b/>
        </w:rPr>
        <w:t xml:space="preserve"> </w:t>
      </w:r>
      <w:r w:rsidRPr="004D09FE">
        <w:t>briefly describe FDEP’s approach and the water resources addressed for each FDEP</w:t>
      </w:r>
      <w:r>
        <w:t xml:space="preserve"> monitoring program.</w:t>
      </w:r>
    </w:p>
    <w:p w:rsidR="00485094" w:rsidRDefault="00485094" w:rsidP="00EA3D58">
      <w:pPr>
        <w:pStyle w:val="Bodytext"/>
      </w:pPr>
    </w:p>
    <w:p w:rsidR="00485094" w:rsidRDefault="00485094" w:rsidP="00EA3D58">
      <w:pPr>
        <w:pStyle w:val="Bodytext"/>
      </w:pPr>
      <w:r w:rsidRPr="00F0799C">
        <w:t xml:space="preserve">Based on the goals and objectives of each individual </w:t>
      </w:r>
      <w:r>
        <w:t xml:space="preserve">core </w:t>
      </w:r>
      <w:r w:rsidRPr="00F0799C">
        <w:t>monitoring program, sample locations are selected, monitoring parameters and sampling frequencies are determined, and sample collection and analysis are coordinated among FDEP’s districts</w:t>
      </w:r>
      <w:r>
        <w:t xml:space="preserve"> and</w:t>
      </w:r>
      <w:r w:rsidRPr="00F0799C">
        <w:t xml:space="preserve"> cooperating federal, state, and county agencies.</w:t>
      </w:r>
      <w:r>
        <w:t xml:space="preserve">  This close coordination with other monitoring entities around the state is essential to prevent duplication and to maximize the number of waterbodies that are monitored on a regular basis.</w:t>
      </w:r>
    </w:p>
    <w:p w:rsidR="00485094" w:rsidRPr="007B03A6" w:rsidRDefault="00485094" w:rsidP="00EA3D58">
      <w:pPr>
        <w:pStyle w:val="Bodytext"/>
      </w:pPr>
    </w:p>
    <w:p w:rsidR="00485094" w:rsidRDefault="00485094" w:rsidP="00EA3D58">
      <w:pPr>
        <w:pStyle w:val="Bodytext"/>
      </w:pPr>
      <w:r w:rsidRPr="007B03A6">
        <w:t>FDEP’s three tiers of monitoring are as follows:</w:t>
      </w:r>
    </w:p>
    <w:p w:rsidR="00485094" w:rsidRPr="007B03A6" w:rsidRDefault="00485094" w:rsidP="00EA3D58">
      <w:pPr>
        <w:pStyle w:val="Bodytext"/>
      </w:pPr>
    </w:p>
    <w:p w:rsidR="00485094" w:rsidRDefault="00485094" w:rsidP="00EA3D58">
      <w:pPr>
        <w:pStyle w:val="ListBullet"/>
      </w:pPr>
      <w:r w:rsidRPr="007B03A6">
        <w:rPr>
          <w:b/>
        </w:rPr>
        <w:t xml:space="preserve">Tier I </w:t>
      </w:r>
      <w:r w:rsidRPr="00D2717B">
        <w:t>consists of FDEP</w:t>
      </w:r>
      <w:r>
        <w:t>’s</w:t>
      </w:r>
      <w:r w:rsidRPr="00D2717B">
        <w:t xml:space="preserve"> statewide surface water and ground water Status and Trend </w:t>
      </w:r>
      <w:r>
        <w:t>N</w:t>
      </w:r>
      <w:r w:rsidRPr="00D2717B">
        <w:t>etworks.</w:t>
      </w:r>
      <w:r>
        <w:t xml:space="preserve"> </w:t>
      </w:r>
      <w:r w:rsidRPr="00D2717B">
        <w:t xml:space="preserve"> The Status </w:t>
      </w:r>
      <w:r>
        <w:t>N</w:t>
      </w:r>
      <w:r w:rsidRPr="00D2717B">
        <w:t xml:space="preserve">etwork </w:t>
      </w:r>
      <w:r>
        <w:t xml:space="preserve">employed a rotating-basin, probabilistic monitoring design to estimate water quality statewide during 2004–08, </w:t>
      </w:r>
      <w:r w:rsidRPr="00D2717B">
        <w:t xml:space="preserve">based on a </w:t>
      </w:r>
      <w:r w:rsidRPr="00DD2D57">
        <w:t>representative subsample of water resource types.  The Trend Network uses a</w:t>
      </w:r>
      <w:r w:rsidRPr="00D2717B">
        <w:t xml:space="preserve"> fixed station design to examine changes in water quality and flow over time </w:t>
      </w:r>
      <w:r>
        <w:t xml:space="preserve">in selected river and stream sites </w:t>
      </w:r>
      <w:r w:rsidRPr="00D2717B">
        <w:t xml:space="preserve">throughout the state. </w:t>
      </w:r>
      <w:r>
        <w:t xml:space="preserve"> </w:t>
      </w:r>
      <w:r w:rsidRPr="00D2717B">
        <w:t xml:space="preserve">The objective of these networks is to provide scientifically defensible information on the important chemical, physical, and biological characteristics of surface waters and major aquifer systems of Florida. </w:t>
      </w:r>
      <w:r>
        <w:t xml:space="preserve"> </w:t>
      </w:r>
      <w:r w:rsidRPr="00D2717B">
        <w:t xml:space="preserve">Both networks are designed to measure condition </w:t>
      </w:r>
      <w:r w:rsidRPr="00D2717B">
        <w:lastRenderedPageBreak/>
        <w:t>using a variety of threshold values, including water quality standards, water quality indices, and other appropriate ecological indicators.</w:t>
      </w:r>
    </w:p>
    <w:p w:rsidR="00485094" w:rsidRDefault="00485094" w:rsidP="00EA3D58">
      <w:pPr>
        <w:pStyle w:val="ListBullet"/>
      </w:pPr>
      <w:r w:rsidRPr="007B03A6">
        <w:rPr>
          <w:b/>
        </w:rPr>
        <w:t>Tier II</w:t>
      </w:r>
      <w:r>
        <w:t xml:space="preserve"> </w:t>
      </w:r>
      <w:r w:rsidRPr="00D2717B">
        <w:t xml:space="preserve">includes the Strategic Monitoring Program, </w:t>
      </w:r>
      <w:r>
        <w:t xml:space="preserve">which is </w:t>
      </w:r>
      <w:r w:rsidRPr="00D2717B">
        <w:t xml:space="preserve">designed to address </w:t>
      </w:r>
      <w:r>
        <w:t>questions in specific basins and stream segments that are associated with determinations of waterbody impairment for the TMDL Program.  In addition, this tier includes t</w:t>
      </w:r>
      <w:r w:rsidRPr="00D2717B">
        <w:t>he Springs Initiative</w:t>
      </w:r>
      <w:r>
        <w:t>, which encompasses</w:t>
      </w:r>
      <w:r w:rsidRPr="00D2717B">
        <w:t xml:space="preserve"> all of the extensive monitoring activities begun in 1999 to address the needs of Florida’s freshwater spring systems</w:t>
      </w:r>
      <w:r>
        <w:t xml:space="preserve">.  </w:t>
      </w:r>
    </w:p>
    <w:p w:rsidR="00485094" w:rsidRDefault="00485094" w:rsidP="00EA3D58">
      <w:pPr>
        <w:pStyle w:val="ListBullet"/>
      </w:pPr>
      <w:r w:rsidRPr="007450F9">
        <w:rPr>
          <w:b/>
        </w:rPr>
        <w:t>Tier II</w:t>
      </w:r>
      <w:r w:rsidRPr="007B03A6">
        <w:rPr>
          <w:b/>
        </w:rPr>
        <w:t xml:space="preserve">I </w:t>
      </w:r>
      <w:r w:rsidRPr="00E47E1E">
        <w:t>a</w:t>
      </w:r>
      <w:r>
        <w:t xml:space="preserve">ddresses </w:t>
      </w:r>
      <w:r w:rsidRPr="00E47E1E">
        <w:t xml:space="preserve">questions that are </w:t>
      </w:r>
      <w:r>
        <w:t xml:space="preserve">site-specific or </w:t>
      </w:r>
      <w:r w:rsidRPr="00E47E1E">
        <w:t>regulatory in nature.</w:t>
      </w:r>
      <w:r>
        <w:t xml:space="preserve">  </w:t>
      </w:r>
      <w:r w:rsidRPr="00E47E1E">
        <w:t xml:space="preserve">Examples </w:t>
      </w:r>
      <w:r>
        <w:t xml:space="preserve">of Tier III monitoring activities </w:t>
      </w:r>
      <w:r w:rsidRPr="00E47E1E">
        <w:t xml:space="preserve">include monitoring to determine whether </w:t>
      </w:r>
      <w:r>
        <w:t xml:space="preserve">moderating provisions such as </w:t>
      </w:r>
      <w:r w:rsidRPr="00E47E1E">
        <w:t>site</w:t>
      </w:r>
      <w:r>
        <w:t>-</w:t>
      </w:r>
      <w:r w:rsidRPr="00E47E1E">
        <w:t xml:space="preserve">specific alternative criteria </w:t>
      </w:r>
      <w:r>
        <w:t xml:space="preserve">(SSACs) </w:t>
      </w:r>
      <w:r w:rsidRPr="00E47E1E">
        <w:t xml:space="preserve">should apply </w:t>
      </w:r>
      <w:r>
        <w:t>to</w:t>
      </w:r>
      <w:r w:rsidRPr="00E47E1E">
        <w:t xml:space="preserve"> certain waters, monitoring tied to regulatory permits issued by FDEP</w:t>
      </w:r>
      <w:r>
        <w:t>, monitoring to establish TMDLs (intensive surveys), and monitoring associated with evaluating the effectiveness of BMPs.  Tier III also includes monitoring activities for the development of water quality standards.</w:t>
      </w:r>
    </w:p>
    <w:p w:rsidR="00485094" w:rsidRDefault="00485094" w:rsidP="00EA3D58">
      <w:pPr>
        <w:pStyle w:val="Bodytextreduced"/>
        <w:rPr>
          <w:snapToGrid w:val="0"/>
        </w:rPr>
      </w:pPr>
    </w:p>
    <w:p w:rsidR="00485094" w:rsidRDefault="00485094" w:rsidP="00EA3D58">
      <w:pPr>
        <w:pStyle w:val="Heading3"/>
      </w:pPr>
      <w:bookmarkStart w:id="156" w:name="_Toc254269872"/>
      <w:bookmarkStart w:id="157" w:name="_Toc255822513"/>
      <w:bookmarkStart w:id="158" w:name="_Toc262464130"/>
      <w:bookmarkStart w:id="159" w:name="_Toc271794322"/>
      <w:r>
        <w:t>Element 5:  Quality Assurance</w:t>
      </w:r>
      <w:bookmarkEnd w:id="156"/>
      <w:bookmarkEnd w:id="157"/>
      <w:bookmarkEnd w:id="158"/>
      <w:bookmarkEnd w:id="159"/>
    </w:p>
    <w:p w:rsidR="00485094" w:rsidRDefault="00485094" w:rsidP="00EA3D58">
      <w:pPr>
        <w:pStyle w:val="Bodytext"/>
      </w:pPr>
      <w:r>
        <w:t>Because water quality monitoring is carried out by many agencies and groups statewide, FDEP has a centralized quality assurance (QA) program to ensure that data are properly and consistently collected.  A Quality Assurance Officer coordinates and oversees data quality activities for each program.  However, QA is the responsibility of everyone associated with sampling, monitoring, and data analysis.  In September 2009, the FDEP Secretary approved a program directive, DEP 972, which further outlines this distributed responsibility, including each employee’s obligation to ensure that decisions are based upon defensible scientific information.</w:t>
      </w:r>
      <w:r w:rsidRPr="00E5205A">
        <w:t xml:space="preserve"> </w:t>
      </w:r>
      <w:r>
        <w:t xml:space="preserve"> Additionally, in support of the QA directive (DEP 972), all organizational units have been asked to update existing quality assurance manuals and plans, or for some groups, to create new quality plans describing internal QA procedures and criteria applied to all scientific data generation, review and use.</w:t>
      </w:r>
    </w:p>
    <w:p w:rsidR="00485094" w:rsidRDefault="00485094" w:rsidP="00EA3D58">
      <w:pPr>
        <w:pStyle w:val="Bodytext"/>
      </w:pPr>
    </w:p>
    <w:p w:rsidR="00485094" w:rsidRDefault="00485094" w:rsidP="00EA3D58">
      <w:pPr>
        <w:pStyle w:val="Bodytext"/>
      </w:pPr>
      <w:r>
        <w:t>Training classes, which are conducted by FDEP staff, focus on program-specific sampling requirements.  Any updates or changes to an individual program’s monitoring protocols are communicated through project management meetings, statewide meetings, and an Internet website.</w:t>
      </w:r>
    </w:p>
    <w:p w:rsidR="00485094" w:rsidRDefault="00485094" w:rsidP="00EA3D58">
      <w:pPr>
        <w:pStyle w:val="Bodytext"/>
      </w:pPr>
    </w:p>
    <w:p w:rsidR="00485094" w:rsidRDefault="00485094" w:rsidP="00EA3D58">
      <w:pPr>
        <w:pStyle w:val="Bodytext"/>
      </w:pPr>
      <w:r>
        <w:t>The accuracy of field measurements is assessed through internal FDEP programs.  Staff also monitor the on-site sampling environment, sampling equipment decontamination, sample container cleaning, the suitability of sample preservatives and analyte-free water, and sample transport and storage conditions, to control the impact that these activities may have on sample integrity and representativeness.</w:t>
      </w:r>
    </w:p>
    <w:p w:rsidR="00485094" w:rsidRDefault="00485094" w:rsidP="00EA3D58">
      <w:pPr>
        <w:pStyle w:val="Bodytext"/>
      </w:pPr>
    </w:p>
    <w:p w:rsidR="00485094" w:rsidRDefault="00485094" w:rsidP="00EA3D58">
      <w:pPr>
        <w:pStyle w:val="Bodytext"/>
      </w:pPr>
      <w:r>
        <w:t xml:space="preserve">For each monitoring program, field staff are instructed to follow a comprehensive set of </w:t>
      </w:r>
      <w:r w:rsidR="009A402D">
        <w:t>Standard Operating Procedures (</w:t>
      </w:r>
      <w:r>
        <w:t>DEP SOPs) for sample collection and field testing (e.g., field meter measurements).  These are incorporated by reference</w:t>
      </w:r>
      <w:r w:rsidRPr="003A6D43">
        <w:t xml:space="preserve"> in </w:t>
      </w:r>
      <w:r>
        <w:t>Chapter</w:t>
      </w:r>
      <w:r w:rsidRPr="003A6D43">
        <w:t xml:space="preserve"> 62-160, F.A.C., </w:t>
      </w:r>
      <w:r w:rsidRPr="002B7AD6">
        <w:rPr>
          <w:i/>
        </w:rPr>
        <w:t>Quality Assurance</w:t>
      </w:r>
      <w:r>
        <w:t xml:space="preserve">, and are specified </w:t>
      </w:r>
      <w:r w:rsidRPr="003A6D43">
        <w:t xml:space="preserve">in </w:t>
      </w:r>
      <w:r>
        <w:t xml:space="preserve">the FDEP document, </w:t>
      </w:r>
      <w:hyperlink r:id="rId53" w:history="1">
        <w:r w:rsidRPr="008F351F">
          <w:rPr>
            <w:rStyle w:val="Hyperlink"/>
            <w:i/>
          </w:rPr>
          <w:t>Standard Operating Procedures for Field Activities</w:t>
        </w:r>
      </w:hyperlink>
      <w:r w:rsidRPr="003A6D43">
        <w:t xml:space="preserve"> </w:t>
      </w:r>
      <w:r>
        <w:t>(DEP-SOP-001/01, March 31, 2008).  Other mandatory quality assurance requirements detailed in Chapter 62-160, F.A.C., are also followed</w:t>
      </w:r>
      <w:r w:rsidRPr="003A6D43">
        <w:t>.</w:t>
      </w:r>
    </w:p>
    <w:p w:rsidR="00485094" w:rsidRDefault="00485094" w:rsidP="00EA3D58">
      <w:pPr>
        <w:pStyle w:val="Bodytext"/>
      </w:pPr>
    </w:p>
    <w:p w:rsidR="00485094" w:rsidRDefault="00485094" w:rsidP="00EA3D58">
      <w:pPr>
        <w:pStyle w:val="Bodytext"/>
      </w:pPr>
      <w:r>
        <w:lastRenderedPageBreak/>
        <w:t xml:space="preserve">Water quality samples are sent to FDEP’s Central Laboratory for analysis for the majority of programs; however, some external and overflow laboratories are also used.  FDEP laboratories have SOPs for handling and analyzing samples, reporting applicable precision, accuracy and method detection limits, and for reporting data.  Laboratory certification is maintained as required by Section 62-160.300, F.A.C.  The Quality Assurance Rule, Chapter 62-160, F.A.C. (current effective date of 12/3/08) requires all entities submitting data to FDEP be certified by the </w:t>
      </w:r>
      <w:r w:rsidRPr="00D716D4">
        <w:t xml:space="preserve">National Environmental Laboratory Accreditation Conference </w:t>
      </w:r>
      <w:r>
        <w:t>(NELAC) through FDOH.</w:t>
      </w:r>
      <w:r w:rsidRPr="00E46059">
        <w:t xml:space="preserve"> </w:t>
      </w:r>
      <w:r>
        <w:t xml:space="preserve"> </w:t>
      </w:r>
      <w:r w:rsidRPr="00E55091">
        <w:t>The</w:t>
      </w:r>
      <w:r>
        <w:t xml:space="preserve"> certification process requires the laboratory to develop a comprehensive quality manual for internal operations, analyze performance testing samples twice a year and undergo periodic systems audits conducted by FDOH inspectors.  In addition, other mandatory QA requirements specified at 62-160, F.A.C. are followed.  Contracted overflow labs are held to identical quality assurance requirements via detailed contract QA language.</w:t>
      </w:r>
    </w:p>
    <w:p w:rsidR="00485094" w:rsidRDefault="00485094" w:rsidP="00EA3D58">
      <w:pPr>
        <w:pStyle w:val="Bodytext"/>
      </w:pPr>
    </w:p>
    <w:p w:rsidR="00485094" w:rsidRDefault="00485094" w:rsidP="00EA3D58">
      <w:pPr>
        <w:pStyle w:val="Bodytext"/>
      </w:pPr>
      <w:r>
        <w:t xml:space="preserve">The sampling and testing performance of field teams is evaluated by auditors from FDEP’s QA program, which is administered by the Standards and Assessment Section.  Staff from other organizational units who have been trained as auditors also conduct these evaluations.  The criteria for field performance are those specified by Chapter 62-160, F.A.C., the FDEP SOPs, internal quality manuals or plans, and where applicable, contractual requirements. </w:t>
      </w:r>
    </w:p>
    <w:p w:rsidR="00485094" w:rsidRDefault="00485094" w:rsidP="00EA3D58">
      <w:pPr>
        <w:pStyle w:val="Bodytext"/>
      </w:pPr>
    </w:p>
    <w:p w:rsidR="00485094" w:rsidRDefault="00485094" w:rsidP="00EA3D58">
      <w:pPr>
        <w:pStyle w:val="Bodytext"/>
      </w:pPr>
      <w:r>
        <w:t>The quality of laboratory data and its usability for specific applications is also evaluated</w:t>
      </w:r>
      <w:r w:rsidRPr="00EB01EF">
        <w:t xml:space="preserve"> </w:t>
      </w:r>
      <w:r>
        <w:t>by auditors from FDEP’s QA program and other organizational units.  The criteria for laboratory data usability are those specified by Chapter 62-160, F.A.C., the FDOH certification rule, Chapter 64E-1, F.A.C., the NELAC standards, which are incorporated by reference in Chapter 64E-1, F.A.C., data quality objectives specified in FDEP internal quality manuals or plans, other applicable FDEP program rules, and, where applicable, contractual requirements.  In addition, a document describing the data evaluation process (</w:t>
      </w:r>
      <w:r w:rsidRPr="00D47239">
        <w:rPr>
          <w:i/>
        </w:rPr>
        <w:t>Process for Assessing Data Usability,</w:t>
      </w:r>
      <w:r>
        <w:t xml:space="preserve"> DEP-EA-001/07, March 31, 2008) is incorporated by reference into Chapter 62-160, F.A.C.</w:t>
      </w:r>
    </w:p>
    <w:p w:rsidR="00485094" w:rsidRDefault="00485094" w:rsidP="00EA3D58">
      <w:pPr>
        <w:pStyle w:val="Bodytext"/>
      </w:pPr>
    </w:p>
    <w:p w:rsidR="00485094" w:rsidRPr="006E6B66" w:rsidRDefault="00485094" w:rsidP="00EA3D58">
      <w:pPr>
        <w:pStyle w:val="Bodytext"/>
      </w:pPr>
      <w:r>
        <w:t>Various checklists have been developed to ensure the application of consistent and systematic procedures for auditing field and laboratory data.</w:t>
      </w:r>
    </w:p>
    <w:p w:rsidR="00485094" w:rsidRDefault="00485094" w:rsidP="00EA3D58">
      <w:pPr>
        <w:pStyle w:val="Bodytext"/>
      </w:pPr>
    </w:p>
    <w:p w:rsidR="00485094" w:rsidRDefault="00485094" w:rsidP="00EA3D58">
      <w:pPr>
        <w:pStyle w:val="Heading3"/>
      </w:pPr>
      <w:bookmarkStart w:id="160" w:name="_Toc254269873"/>
      <w:bookmarkStart w:id="161" w:name="_Toc255822514"/>
      <w:bookmarkStart w:id="162" w:name="_Toc262464131"/>
      <w:bookmarkStart w:id="163" w:name="_Toc271794323"/>
      <w:r>
        <w:t>Element 6:  Data Management</w:t>
      </w:r>
      <w:bookmarkEnd w:id="160"/>
      <w:bookmarkEnd w:id="161"/>
      <w:bookmarkEnd w:id="162"/>
      <w:bookmarkEnd w:id="163"/>
    </w:p>
    <w:p w:rsidR="00485094" w:rsidRDefault="00485094" w:rsidP="00EA3D58">
      <w:pPr>
        <w:pStyle w:val="Bodytext"/>
      </w:pPr>
      <w:r>
        <w:t xml:space="preserve">The smooth and timely flow of water quality data from sample collectors and analytical agencies </w:t>
      </w:r>
      <w:r w:rsidRPr="0060286F">
        <w:t xml:space="preserve">to data analysts is a high priority.  FDEP’s </w:t>
      </w:r>
      <w:r>
        <w:t>Bureau of Assessment and Restoration Support and Bureau of Watershed Restoration house or oversee the majority of the surface and ground water resource monitoring programs described in this report.  There are program-specific data management requirements; however, these bureaus serve as the principal warehouses for monitoring data.</w:t>
      </w:r>
      <w:r w:rsidRPr="0060286F">
        <w:t xml:space="preserve">  Assisted by cooperating federal, state, and</w:t>
      </w:r>
      <w:r>
        <w:t xml:space="preserve"> county agencies, sample locations are selected, monitoring parameters and frequencies determined, and sample collection and analysis coordinated to meet data quality objectives.</w:t>
      </w:r>
    </w:p>
    <w:p w:rsidR="00485094" w:rsidRDefault="00485094" w:rsidP="00EA3D58">
      <w:pPr>
        <w:pStyle w:val="Bodytext"/>
      </w:pPr>
    </w:p>
    <w:p w:rsidR="00485094" w:rsidRDefault="00485094" w:rsidP="00EA3D58">
      <w:pPr>
        <w:pStyle w:val="Heading3"/>
      </w:pPr>
      <w:bookmarkStart w:id="164" w:name="_Toc254269874"/>
      <w:bookmarkStart w:id="165" w:name="_Toc255822515"/>
      <w:bookmarkStart w:id="166" w:name="_Toc262464132"/>
      <w:bookmarkStart w:id="167" w:name="_Toc271794324"/>
      <w:r>
        <w:t>Element 9:  Program Evaluation</w:t>
      </w:r>
      <w:bookmarkEnd w:id="164"/>
      <w:bookmarkEnd w:id="165"/>
      <w:bookmarkEnd w:id="166"/>
      <w:bookmarkEnd w:id="167"/>
    </w:p>
    <w:p w:rsidR="00485094" w:rsidRDefault="00485094" w:rsidP="00EA3D58">
      <w:pPr>
        <w:pStyle w:val="Bodytext"/>
      </w:pPr>
      <w:r>
        <w:t>FDEP</w:t>
      </w:r>
      <w:r w:rsidRPr="00E47E1E">
        <w:t xml:space="preserve">, </w:t>
      </w:r>
      <w:r>
        <w:t xml:space="preserve">in consultation </w:t>
      </w:r>
      <w:r w:rsidRPr="00E47E1E">
        <w:t xml:space="preserve">with </w:t>
      </w:r>
      <w:r>
        <w:t xml:space="preserve">the </w:t>
      </w:r>
      <w:r w:rsidRPr="00E47E1E">
        <w:t xml:space="preserve">EPA, reviews each monitoring program to determine how well the program serves its </w:t>
      </w:r>
      <w:r>
        <w:t>water quality</w:t>
      </w:r>
      <w:r w:rsidRPr="00E47E1E">
        <w:t xml:space="preserve"> decision needs for all state waters. </w:t>
      </w:r>
      <w:r>
        <w:t xml:space="preserve"> </w:t>
      </w:r>
      <w:r w:rsidRPr="00E47E1E">
        <w:t>EPA and</w:t>
      </w:r>
      <w:r>
        <w:t xml:space="preserve"> FDEP</w:t>
      </w:r>
      <w:r w:rsidRPr="00E47E1E">
        <w:t xml:space="preserve"> QA audits </w:t>
      </w:r>
      <w:r>
        <w:t>are used in evaluating</w:t>
      </w:r>
      <w:r w:rsidRPr="00E47E1E">
        <w:t xml:space="preserve"> </w:t>
      </w:r>
      <w:r>
        <w:t>each</w:t>
      </w:r>
      <w:r w:rsidRPr="00E47E1E">
        <w:t xml:space="preserve"> program to determine how well each of the </w:t>
      </w:r>
      <w:r>
        <w:t xml:space="preserve">EPA’s recommended </w:t>
      </w:r>
      <w:r w:rsidRPr="00E47E1E">
        <w:t xml:space="preserve">elements is addressed and how </w:t>
      </w:r>
      <w:r>
        <w:t xml:space="preserve">to incorporate </w:t>
      </w:r>
      <w:r w:rsidRPr="00E47E1E">
        <w:t>needed changes and additions into future monitoring cycles.</w:t>
      </w:r>
      <w:r>
        <w:t xml:space="preserve">  Additionally, DEP 972 (QA Directive) outlines FDEP’s distributed responsibility for ensuring that FDEP programs and organizational units meet established data quality objectives.</w:t>
      </w:r>
    </w:p>
    <w:p w:rsidR="00485094" w:rsidRDefault="00485094" w:rsidP="00EA3D58">
      <w:pPr>
        <w:pStyle w:val="Bodytext"/>
      </w:pPr>
    </w:p>
    <w:p w:rsidR="00485094" w:rsidRDefault="00485094" w:rsidP="00EA3D58">
      <w:pPr>
        <w:pStyle w:val="Heading3"/>
      </w:pPr>
      <w:bookmarkStart w:id="168" w:name="_Toc254269875"/>
      <w:bookmarkStart w:id="169" w:name="_Toc255822516"/>
      <w:bookmarkStart w:id="170" w:name="_Toc262464133"/>
      <w:bookmarkStart w:id="171" w:name="_Toc271794325"/>
      <w:r>
        <w:t>Element 10:  General Support and Infrastructure Planning</w:t>
      </w:r>
      <w:bookmarkEnd w:id="168"/>
      <w:bookmarkEnd w:id="169"/>
      <w:bookmarkEnd w:id="170"/>
      <w:bookmarkEnd w:id="171"/>
      <w:r>
        <w:t xml:space="preserve"> </w:t>
      </w:r>
    </w:p>
    <w:p w:rsidR="00485094" w:rsidRDefault="00485094" w:rsidP="00EA3D58">
      <w:pPr>
        <w:pStyle w:val="Bodytext"/>
      </w:pPr>
      <w:r>
        <w:t xml:space="preserve">The EPA’s general support and infrastructure planning element is encompassed by a number of activities.  FDEP’s Central Laboratory provides laboratory support for all the core monitoring </w:t>
      </w:r>
      <w:r w:rsidRPr="0060286F">
        <w:t xml:space="preserve">programs.  </w:t>
      </w:r>
      <w:r>
        <w:t>Staff from all programs provide substantial support for planning and refining field logistics, and also provide data management, review, analysis and reporting.  The results are often used to pursue and implement management actions to address areas of concern via differing program mechanisms.</w:t>
      </w:r>
    </w:p>
    <w:p w:rsidR="00485094" w:rsidRDefault="00485094" w:rsidP="00EA3D58">
      <w:pPr>
        <w:pStyle w:val="Bodytext"/>
      </w:pPr>
    </w:p>
    <w:p w:rsidR="00485094" w:rsidRDefault="00485094" w:rsidP="00EA3D58">
      <w:pPr>
        <w:pStyle w:val="Heading2"/>
      </w:pPr>
      <w:bookmarkStart w:id="172" w:name="_Toc254269876"/>
      <w:bookmarkStart w:id="173" w:name="_Toc255822517"/>
      <w:bookmarkStart w:id="174" w:name="_Toc262464134"/>
      <w:bookmarkStart w:id="175" w:name="_Toc271794326"/>
      <w:r>
        <w:t>Evolving Approaches to Monitoring</w:t>
      </w:r>
      <w:bookmarkEnd w:id="172"/>
      <w:bookmarkEnd w:id="173"/>
      <w:bookmarkEnd w:id="174"/>
      <w:bookmarkEnd w:id="175"/>
    </w:p>
    <w:p w:rsidR="00485094" w:rsidRPr="00C5311F" w:rsidRDefault="00485094" w:rsidP="00EA3D58">
      <w:pPr>
        <w:pStyle w:val="Bodytext"/>
      </w:pPr>
      <w:r w:rsidRPr="00C5311F">
        <w:t>Florida</w:t>
      </w:r>
      <w:r>
        <w:t xml:space="preserve"> continues to develop new approaches to monitoring.  FDEP</w:t>
      </w:r>
      <w:r w:rsidRPr="00C5311F">
        <w:t xml:space="preserve"> has developed </w:t>
      </w:r>
      <w:r>
        <w:t xml:space="preserve">a number of </w:t>
      </w:r>
      <w:r w:rsidRPr="00C5311F">
        <w:t xml:space="preserve">biological indices to characterize the condition of surface waters and has adopted these indices for use in water resource assessments at all three </w:t>
      </w:r>
      <w:r>
        <w:t>tier</w:t>
      </w:r>
      <w:r w:rsidRPr="00C5311F">
        <w:t xml:space="preserve">s of monitoring.  </w:t>
      </w:r>
      <w:r>
        <w:t>FDEP currently uses t</w:t>
      </w:r>
      <w:r w:rsidRPr="00C5311F">
        <w:t>he</w:t>
      </w:r>
      <w:r>
        <w:t xml:space="preserve"> following</w:t>
      </w:r>
      <w:r w:rsidRPr="00C5311F">
        <w:t xml:space="preserve"> indicators</w:t>
      </w:r>
      <w:r>
        <w:t xml:space="preserve"> to measure the biological health of surface waters:</w:t>
      </w:r>
    </w:p>
    <w:p w:rsidR="00485094" w:rsidRPr="00480BBC" w:rsidRDefault="00485094" w:rsidP="00EA3D58">
      <w:pPr>
        <w:pStyle w:val="Bodytext"/>
      </w:pPr>
    </w:p>
    <w:p w:rsidR="00485094" w:rsidRPr="003A021B" w:rsidRDefault="00485094" w:rsidP="00EA3D58">
      <w:pPr>
        <w:pStyle w:val="StyleListBullet11pt"/>
      </w:pPr>
      <w:r w:rsidRPr="003A021B">
        <w:t xml:space="preserve">FDEP uses a macroinvertebrate-based index, BioReconnaissance (BioRecon), as a rapid assessment tool.  </w:t>
      </w:r>
      <w:r>
        <w:t xml:space="preserve">The BioRecon is a 6-metric index ranging from 0 to 10.  If a site scores less than 6 on the index, it is recommended for a further, more intensive study using the </w:t>
      </w:r>
      <w:hyperlink r:id="rId54" w:history="1">
        <w:r w:rsidRPr="008115DE">
          <w:rPr>
            <w:rStyle w:val="Hyperlink"/>
          </w:rPr>
          <w:t>Stream Condition Index (SCI)</w:t>
        </w:r>
      </w:hyperlink>
      <w:r>
        <w:t xml:space="preserve"> method. </w:t>
      </w:r>
      <w:r w:rsidRPr="003A021B">
        <w:t xml:space="preserve"> </w:t>
      </w:r>
    </w:p>
    <w:p w:rsidR="00485094" w:rsidRPr="003A021B" w:rsidRDefault="00485094" w:rsidP="00EA3D58">
      <w:pPr>
        <w:pStyle w:val="StyleListBullet11pt"/>
      </w:pPr>
      <w:r>
        <w:t>The SCI is a</w:t>
      </w:r>
      <w:r w:rsidRPr="003A021B">
        <w:t xml:space="preserve"> </w:t>
      </w:r>
      <w:r>
        <w:t>carefully calibrated</w:t>
      </w:r>
      <w:r w:rsidRPr="003A021B">
        <w:t xml:space="preserve"> macroinvertebrate index for use in flowing streams, </w:t>
      </w:r>
      <w:r>
        <w:t>and</w:t>
      </w:r>
      <w:r w:rsidRPr="003A021B">
        <w:t xml:space="preserve"> is used </w:t>
      </w:r>
      <w:r>
        <w:t>as a definitive measure of biological health for impairment.</w:t>
      </w:r>
      <w:r w:rsidRPr="003A021B">
        <w:t xml:space="preserve">  Data generated on the species </w:t>
      </w:r>
      <w:r>
        <w:t xml:space="preserve">composition </w:t>
      </w:r>
      <w:r w:rsidRPr="003A021B">
        <w:t xml:space="preserve">and abundance of organisms in a stream are used to calculate </w:t>
      </w:r>
      <w:r>
        <w:t>10</w:t>
      </w:r>
      <w:r w:rsidRPr="003A021B">
        <w:t xml:space="preserve"> biological metrics</w:t>
      </w:r>
      <w:r>
        <w:t xml:space="preserve"> (e.g., sensitive taxa, filter feeders, clingers, very tolerant taxa, Ephemeroptera and Trichoptera taxa)</w:t>
      </w:r>
      <w:r w:rsidRPr="003A021B">
        <w:t>.  Points are assigned for each metric</w:t>
      </w:r>
      <w:r>
        <w:t>,</w:t>
      </w:r>
      <w:r w:rsidRPr="003A021B">
        <w:t xml:space="preserve"> based on regionally calibrated criteria.</w:t>
      </w:r>
    </w:p>
    <w:p w:rsidR="00485094" w:rsidRPr="003A021B" w:rsidRDefault="00485094" w:rsidP="00EA3D58">
      <w:pPr>
        <w:pStyle w:val="StyleListBullet11pt"/>
      </w:pPr>
      <w:r w:rsidRPr="003A021B">
        <w:t xml:space="preserve">Florida </w:t>
      </w:r>
      <w:r>
        <w:t>conducts</w:t>
      </w:r>
      <w:r w:rsidRPr="003A021B">
        <w:t xml:space="preserve">, the Lake Vegetation Index (LVI), </w:t>
      </w:r>
      <w:r>
        <w:t>sampling to evaluate</w:t>
      </w:r>
      <w:r w:rsidRPr="003A021B">
        <w:t xml:space="preserve"> </w:t>
      </w:r>
      <w:r>
        <w:t xml:space="preserve">lake health based on </w:t>
      </w:r>
      <w:r w:rsidRPr="003A021B">
        <w:t>plant community (macrophyte) composition.  Using transects and a visual survey, the results can be compiled for a rapid assessment of lake condition.</w:t>
      </w:r>
    </w:p>
    <w:p w:rsidR="00485094" w:rsidRPr="003A021B" w:rsidRDefault="00485094" w:rsidP="00EA3D58">
      <w:pPr>
        <w:pStyle w:val="StyleListBullet11pt"/>
      </w:pPr>
      <w:r w:rsidRPr="003A021B">
        <w:t xml:space="preserve">A Wetland Condition Index, using vegetation, macroinvertebrates, and algae, has been developed for </w:t>
      </w:r>
      <w:r>
        <w:t xml:space="preserve">some </w:t>
      </w:r>
      <w:r w:rsidRPr="003A021B">
        <w:t>freshwater wetland systems</w:t>
      </w:r>
      <w:r>
        <w:t xml:space="preserve"> (</w:t>
      </w:r>
      <w:hyperlink r:id="rId55" w:history="1">
        <w:r w:rsidRPr="00EB41C5">
          <w:rPr>
            <w:rStyle w:val="Hyperlink"/>
          </w:rPr>
          <w:t>forested wetlands</w:t>
        </w:r>
      </w:hyperlink>
      <w:r>
        <w:t xml:space="preserve"> and </w:t>
      </w:r>
      <w:hyperlink r:id="rId56" w:history="1">
        <w:r>
          <w:rPr>
            <w:rStyle w:val="Hyperlink"/>
          </w:rPr>
          <w:t>depressional</w:t>
        </w:r>
        <w:r w:rsidRPr="00EB41C5">
          <w:rPr>
            <w:rStyle w:val="Hyperlink"/>
          </w:rPr>
          <w:t xml:space="preserve"> wetlands</w:t>
        </w:r>
      </w:hyperlink>
      <w:r>
        <w:t xml:space="preserve">; a pilot study for </w:t>
      </w:r>
      <w:hyperlink r:id="rId57" w:history="1">
        <w:r w:rsidRPr="00EB41C5">
          <w:rPr>
            <w:rStyle w:val="Hyperlink"/>
          </w:rPr>
          <w:t>strands and floodplains</w:t>
        </w:r>
      </w:hyperlink>
      <w:r>
        <w:t xml:space="preserve"> was completed in 2005)</w:t>
      </w:r>
      <w:r w:rsidRPr="003A021B">
        <w:t>.  This tool is being used to refine FDEP’s rapid wetland assessment methodology for permitting/mitigation and to assess the effectiveness of wetland restoration projects.</w:t>
      </w:r>
    </w:p>
    <w:p w:rsidR="00485094" w:rsidRPr="003A021B" w:rsidRDefault="00485094" w:rsidP="00EA3D58">
      <w:pPr>
        <w:pStyle w:val="StyleListBullet11pt"/>
      </w:pPr>
      <w:r w:rsidRPr="00473985">
        <w:t>Florida has developed geochemical- and biology-based tools to measure the quality of sediments in marine and freshwater systems.  For the 2010 Integrated Report, sediments were collected from a statistical sampling of lakes in the state as part of the Status Network.  The resulting sediment chemistry results were first evaluated with a geochemical tool that identifies anthropogenic metals pollution and distinguishes it from naturally occurring sediment metals concentrations.  Next</w:t>
      </w:r>
      <w:r>
        <w:t>,</w:t>
      </w:r>
      <w:r w:rsidRPr="00473985">
        <w:t xml:space="preserve"> a biology-based sediment quality tool was used to estimate the levels of potentially toxic contaminants in sediments.</w:t>
      </w:r>
      <w:r w:rsidRPr="003A021B">
        <w:t xml:space="preserve"> </w:t>
      </w:r>
    </w:p>
    <w:p w:rsidR="00485094" w:rsidRDefault="00485094" w:rsidP="00EA3D58">
      <w:pPr>
        <w:pStyle w:val="Bodytextreduced"/>
        <w:rPr>
          <w:highlight w:val="yellow"/>
        </w:rPr>
      </w:pPr>
      <w:r>
        <w:rPr>
          <w:highlight w:val="yellow"/>
        </w:rPr>
        <w:br w:type="page"/>
      </w:r>
    </w:p>
    <w:p w:rsidR="00FC6EE0" w:rsidRDefault="00FC6EE0" w:rsidP="00FC6EE0">
      <w:pPr>
        <w:pStyle w:val="Bodytextreduced"/>
      </w:pPr>
      <w:bookmarkStart w:id="176" w:name="_Chapter_5._"/>
      <w:bookmarkStart w:id="177" w:name="_Toc234030455"/>
      <w:bookmarkStart w:id="178" w:name="_Toc248209557"/>
      <w:bookmarkStart w:id="179" w:name="_Toc255822518"/>
      <w:bookmarkStart w:id="180" w:name="_Toc262464135"/>
      <w:bookmarkEnd w:id="176"/>
    </w:p>
    <w:p w:rsidR="00485094" w:rsidRPr="00A148EC" w:rsidRDefault="00485094" w:rsidP="00EA3D58">
      <w:pPr>
        <w:pStyle w:val="Heading1"/>
        <w:rPr>
          <w:rFonts w:cs="Arial"/>
          <w:szCs w:val="32"/>
        </w:rPr>
      </w:pPr>
      <w:bookmarkStart w:id="181" w:name="_Toc271794327"/>
      <w:r>
        <w:t>Chapter 5.  De</w:t>
      </w:r>
      <w:r w:rsidRPr="00F20187">
        <w:t>sign</w:t>
      </w:r>
      <w:bookmarkEnd w:id="177"/>
      <w:bookmarkEnd w:id="178"/>
      <w:r>
        <w:t xml:space="preserve"> for the Status and Trend Networks</w:t>
      </w:r>
      <w:bookmarkEnd w:id="179"/>
      <w:bookmarkEnd w:id="180"/>
      <w:bookmarkEnd w:id="181"/>
      <w:r w:rsidRPr="00F20187">
        <w:t xml:space="preserve"> </w:t>
      </w:r>
    </w:p>
    <w:p w:rsidR="00485094" w:rsidRDefault="00485094" w:rsidP="00EA3D58">
      <w:pPr>
        <w:pStyle w:val="Bodytextreduced"/>
      </w:pPr>
    </w:p>
    <w:p w:rsidR="00485094" w:rsidRPr="00F20187" w:rsidRDefault="00485094" w:rsidP="00EA3D58">
      <w:pPr>
        <w:pStyle w:val="Heading2"/>
      </w:pPr>
      <w:bookmarkStart w:id="182" w:name="_Toc262464136"/>
      <w:bookmarkStart w:id="183" w:name="_Toc271794328"/>
      <w:r>
        <w:t>Background</w:t>
      </w:r>
      <w:bookmarkEnd w:id="182"/>
      <w:bookmarkEnd w:id="183"/>
    </w:p>
    <w:p w:rsidR="00485094" w:rsidRDefault="00485094" w:rsidP="00EA3D58">
      <w:pPr>
        <w:pStyle w:val="Bodytext"/>
      </w:pPr>
      <w:r>
        <w:t xml:space="preserve">The </w:t>
      </w:r>
      <w:hyperlink r:id="rId58" w:history="1">
        <w:r w:rsidRPr="00044ABF">
          <w:rPr>
            <w:rStyle w:val="Hyperlink"/>
          </w:rPr>
          <w:t>2002 EPA Integrated Report guidance</w:t>
        </w:r>
      </w:hyperlink>
      <w:r w:rsidRPr="000036CC">
        <w:t xml:space="preserve"> on the requirements for water quality assessment, listing, and reporting under Sections 303(d) a</w:t>
      </w:r>
      <w:r>
        <w:t xml:space="preserve">nd 305(b) of the CWA states that “. . . </w:t>
      </w:r>
      <w:r w:rsidRPr="00044ABF">
        <w:t xml:space="preserve">a probabilistic monitoring design applied over large areas, such as a state or territory, is an excellent approach to producing, with known confidence, a </w:t>
      </w:r>
      <w:r>
        <w:t>‘</w:t>
      </w:r>
      <w:r w:rsidRPr="00044ABF">
        <w:t>snapshot</w:t>
      </w:r>
      <w:r>
        <w:t>’</w:t>
      </w:r>
      <w:r w:rsidRPr="00044ABF">
        <w:t xml:space="preserve"> or statistical representation of the extent of waters that may or may not be impaired. </w:t>
      </w:r>
      <w:r>
        <w:t xml:space="preserve"> </w:t>
      </w:r>
      <w:r w:rsidRPr="00044ABF">
        <w:t>A probabilistic monitoring design can assist a state or territory in determining monitoring priorities and in targeting monitoring activities</w:t>
      </w:r>
      <w:r>
        <w:t>” (EPA, November 19, 2001)</w:t>
      </w:r>
      <w:r w:rsidRPr="000036CC">
        <w:t xml:space="preserve">. </w:t>
      </w:r>
      <w:r>
        <w:t xml:space="preserve"> B</w:t>
      </w:r>
      <w:r w:rsidRPr="000036CC">
        <w:t>eginning in 2000</w:t>
      </w:r>
      <w:r>
        <w:t>, t</w:t>
      </w:r>
      <w:r w:rsidRPr="000036CC">
        <w:t xml:space="preserve">he </w:t>
      </w:r>
      <w:hyperlink r:id="rId59" w:history="1">
        <w:r w:rsidRPr="003D2CD6">
          <w:rPr>
            <w:rStyle w:val="Hyperlink"/>
          </w:rPr>
          <w:t>Status Monitoring Network</w:t>
        </w:r>
      </w:hyperlink>
      <w:r>
        <w:t xml:space="preserve"> (Status Network), based on this p</w:t>
      </w:r>
      <w:r>
        <w:rPr>
          <w:szCs w:val="22"/>
        </w:rPr>
        <w:t xml:space="preserve">robabilistic design, provided </w:t>
      </w:r>
      <w:r w:rsidRPr="00A13D53">
        <w:rPr>
          <w:szCs w:val="22"/>
        </w:rPr>
        <w:t>an unbiased</w:t>
      </w:r>
      <w:r>
        <w:rPr>
          <w:szCs w:val="22"/>
        </w:rPr>
        <w:t>,</w:t>
      </w:r>
      <w:r w:rsidRPr="00A13D53">
        <w:rPr>
          <w:szCs w:val="22"/>
        </w:rPr>
        <w:t xml:space="preserve"> </w:t>
      </w:r>
      <w:r>
        <w:t xml:space="preserve">cost-effective </w:t>
      </w:r>
      <w:r w:rsidRPr="00A13D53">
        <w:rPr>
          <w:szCs w:val="22"/>
        </w:rPr>
        <w:t xml:space="preserve">subsampling of these resources. </w:t>
      </w:r>
      <w:r>
        <w:t xml:space="preserve"> Florida adopted this approach </w:t>
      </w:r>
      <w:r w:rsidRPr="000036CC">
        <w:t xml:space="preserve">so that the condition of the state’s surface and ground water resources could be estimated with a known statistical confidence.  Data produced by the Status Network </w:t>
      </w:r>
      <w:r>
        <w:t>co</w:t>
      </w:r>
      <w:r w:rsidRPr="000036CC">
        <w:t>mplement</w:t>
      </w:r>
      <w:r>
        <w:t>s</w:t>
      </w:r>
      <w:r w:rsidRPr="000036CC">
        <w:t xml:space="preserve"> traditional CWA 305(b) </w:t>
      </w:r>
      <w:r>
        <w:t xml:space="preserve">and 303(d) </w:t>
      </w:r>
      <w:r w:rsidRPr="000036CC">
        <w:t>reporting.</w:t>
      </w:r>
    </w:p>
    <w:p w:rsidR="00485094" w:rsidRDefault="00485094" w:rsidP="00EA3D58">
      <w:pPr>
        <w:pStyle w:val="Bodytext"/>
        <w:rPr>
          <w:szCs w:val="22"/>
        </w:rPr>
      </w:pPr>
      <w:bookmarkStart w:id="184" w:name="_Toc234030456"/>
      <w:bookmarkStart w:id="185" w:name="_Toc248209558"/>
    </w:p>
    <w:p w:rsidR="00485094" w:rsidRDefault="00485094" w:rsidP="00EA3D58">
      <w:pPr>
        <w:pStyle w:val="Bodytext"/>
        <w:rPr>
          <w:szCs w:val="22"/>
        </w:rPr>
      </w:pPr>
      <w:r>
        <w:rPr>
          <w:szCs w:val="22"/>
        </w:rPr>
        <w:t xml:space="preserve">In addition, </w:t>
      </w:r>
      <w:r w:rsidRPr="00A13D53">
        <w:rPr>
          <w:szCs w:val="22"/>
        </w:rPr>
        <w:t xml:space="preserve">FDEP has designed </w:t>
      </w:r>
      <w:r>
        <w:rPr>
          <w:szCs w:val="22"/>
        </w:rPr>
        <w:t>a</w:t>
      </w:r>
      <w:r w:rsidRPr="00A13D53">
        <w:rPr>
          <w:szCs w:val="22"/>
        </w:rPr>
        <w:t xml:space="preserve"> </w:t>
      </w:r>
      <w:hyperlink r:id="rId60" w:history="1">
        <w:r w:rsidRPr="00EB41C5">
          <w:rPr>
            <w:rStyle w:val="Hyperlink"/>
            <w:szCs w:val="22"/>
          </w:rPr>
          <w:t>Trend Monitoring Network</w:t>
        </w:r>
      </w:hyperlink>
      <w:r w:rsidRPr="00A13D53">
        <w:rPr>
          <w:szCs w:val="22"/>
        </w:rPr>
        <w:t xml:space="preserve"> </w:t>
      </w:r>
      <w:r>
        <w:rPr>
          <w:szCs w:val="22"/>
        </w:rPr>
        <w:t xml:space="preserve">(Trend Network) </w:t>
      </w:r>
      <w:r w:rsidRPr="00A13D53">
        <w:rPr>
          <w:szCs w:val="22"/>
        </w:rPr>
        <w:t xml:space="preserve">to monitor changes in </w:t>
      </w:r>
      <w:r>
        <w:rPr>
          <w:szCs w:val="22"/>
        </w:rPr>
        <w:t xml:space="preserve">water quality in rivers, streams, and aquifers (via wells) </w:t>
      </w:r>
      <w:r w:rsidRPr="00A13D53">
        <w:rPr>
          <w:szCs w:val="22"/>
        </w:rPr>
        <w:t xml:space="preserve">over time.  To achieve this goal, </w:t>
      </w:r>
      <w:r>
        <w:rPr>
          <w:szCs w:val="22"/>
        </w:rPr>
        <w:t xml:space="preserve">sites </w:t>
      </w:r>
      <w:r w:rsidRPr="00A13D53">
        <w:rPr>
          <w:szCs w:val="22"/>
        </w:rPr>
        <w:t>at fixed locations</w:t>
      </w:r>
      <w:r>
        <w:rPr>
          <w:szCs w:val="22"/>
        </w:rPr>
        <w:t xml:space="preserve"> </w:t>
      </w:r>
      <w:r w:rsidRPr="00A13D53">
        <w:rPr>
          <w:szCs w:val="22"/>
        </w:rPr>
        <w:t>are sampled</w:t>
      </w:r>
      <w:r>
        <w:rPr>
          <w:szCs w:val="22"/>
        </w:rPr>
        <w:t xml:space="preserve"> monthly or quarterly</w:t>
      </w:r>
      <w:r w:rsidRPr="00A13D53">
        <w:rPr>
          <w:szCs w:val="22"/>
        </w:rPr>
        <w:t>.  The Trend Network complements the Status Network by providing spatial and temporal information about resources and potential changes from anthropogenic or natural influences</w:t>
      </w:r>
      <w:r>
        <w:rPr>
          <w:szCs w:val="22"/>
        </w:rPr>
        <w:t>,</w:t>
      </w:r>
      <w:r w:rsidRPr="00A13D53">
        <w:rPr>
          <w:szCs w:val="22"/>
        </w:rPr>
        <w:t xml:space="preserve"> including extreme events (i.e.</w:t>
      </w:r>
      <w:r>
        <w:rPr>
          <w:szCs w:val="22"/>
        </w:rPr>
        <w:t xml:space="preserve">, </w:t>
      </w:r>
      <w:r w:rsidRPr="00A13D53">
        <w:rPr>
          <w:szCs w:val="22"/>
        </w:rPr>
        <w:t>drought</w:t>
      </w:r>
      <w:r>
        <w:rPr>
          <w:szCs w:val="22"/>
        </w:rPr>
        <w:t>s</w:t>
      </w:r>
      <w:r w:rsidRPr="00A13D53">
        <w:rPr>
          <w:szCs w:val="22"/>
        </w:rPr>
        <w:t xml:space="preserve"> and hurricanes).</w:t>
      </w:r>
    </w:p>
    <w:p w:rsidR="00485094" w:rsidRPr="00A13D53" w:rsidRDefault="00485094" w:rsidP="00EA3D58">
      <w:pPr>
        <w:pStyle w:val="Bodytext"/>
        <w:rPr>
          <w:szCs w:val="22"/>
        </w:rPr>
      </w:pPr>
    </w:p>
    <w:bookmarkEnd w:id="184"/>
    <w:bookmarkEnd w:id="185"/>
    <w:p w:rsidR="00485094" w:rsidRDefault="00485094" w:rsidP="00EA3D58">
      <w:pPr>
        <w:pStyle w:val="Bodytext"/>
      </w:pPr>
      <w:r w:rsidRPr="000F332D">
        <w:t xml:space="preserve">The following resources are monitored </w:t>
      </w:r>
      <w:r>
        <w:t xml:space="preserve">in the </w:t>
      </w:r>
      <w:r w:rsidRPr="000F332D">
        <w:t xml:space="preserve">Status </w:t>
      </w:r>
      <w:r>
        <w:t xml:space="preserve">and/or Trend </w:t>
      </w:r>
      <w:r w:rsidRPr="000F332D">
        <w:t>Network</w:t>
      </w:r>
      <w:r>
        <w:t xml:space="preserve">s:  </w:t>
      </w:r>
    </w:p>
    <w:p w:rsidR="00485094" w:rsidRDefault="00485094" w:rsidP="00EA3D58">
      <w:pPr>
        <w:pStyle w:val="Bodytext"/>
      </w:pPr>
    </w:p>
    <w:p w:rsidR="00485094" w:rsidRPr="00BF0CA5" w:rsidRDefault="00485094" w:rsidP="00EA3D58">
      <w:pPr>
        <w:pStyle w:val="ListBullet"/>
        <w:rPr>
          <w:bCs/>
          <w:shadow/>
          <w:szCs w:val="22"/>
        </w:rPr>
      </w:pPr>
      <w:r w:rsidRPr="00BF0CA5">
        <w:rPr>
          <w:b/>
        </w:rPr>
        <w:t xml:space="preserve">Rivers and streams (including canals): </w:t>
      </w:r>
      <w:r>
        <w:t xml:space="preserve"> Rivers, streams, and canals that are sampled include linear</w:t>
      </w:r>
      <w:r w:rsidRPr="00BF0CA5">
        <w:t xml:space="preserve"> waterbodies with perennial flow that are waters of the state (Chapter</w:t>
      </w:r>
      <w:r w:rsidRPr="00BF0CA5">
        <w:rPr>
          <w:szCs w:val="22"/>
        </w:rPr>
        <w:t xml:space="preserve"> 403, F.S.</w:t>
      </w:r>
      <w:r w:rsidRPr="00BF0CA5">
        <w:t>)</w:t>
      </w:r>
      <w:r>
        <w:t xml:space="preserve"> or flow into waters of the state.</w:t>
      </w:r>
    </w:p>
    <w:p w:rsidR="00485094" w:rsidRPr="00BF0CA5" w:rsidRDefault="00485094" w:rsidP="00EA3D58">
      <w:pPr>
        <w:pStyle w:val="ListBullet"/>
        <w:rPr>
          <w:szCs w:val="22"/>
        </w:rPr>
      </w:pPr>
      <w:r w:rsidRPr="00BF0CA5">
        <w:rPr>
          <w:b/>
        </w:rPr>
        <w:t xml:space="preserve">Lakes (Status Network only):  </w:t>
      </w:r>
      <w:r w:rsidRPr="00BF0CA5">
        <w:t>Lakes include n</w:t>
      </w:r>
      <w:r w:rsidRPr="00BF0CA5">
        <w:rPr>
          <w:szCs w:val="22"/>
        </w:rPr>
        <w:t xml:space="preserve">atural bodies of standing water and reservoirs that are waters of the state and are designated as lakes on the USGS </w:t>
      </w:r>
      <w:r>
        <w:rPr>
          <w:szCs w:val="22"/>
        </w:rPr>
        <w:t xml:space="preserve">re-leveled </w:t>
      </w:r>
      <w:r w:rsidRPr="00BF0CA5">
        <w:rPr>
          <w:szCs w:val="22"/>
        </w:rPr>
        <w:t>National Hydrography Dataset (</w:t>
      </w:r>
      <w:r>
        <w:rPr>
          <w:szCs w:val="22"/>
        </w:rPr>
        <w:t>r</w:t>
      </w:r>
      <w:r w:rsidRPr="00BF0CA5">
        <w:rPr>
          <w:szCs w:val="22"/>
        </w:rPr>
        <w:t xml:space="preserve">NHD).  </w:t>
      </w:r>
      <w:r>
        <w:rPr>
          <w:szCs w:val="22"/>
        </w:rPr>
        <w:t xml:space="preserve">The lakes population </w:t>
      </w:r>
      <w:r w:rsidRPr="00BF0CA5">
        <w:rPr>
          <w:szCs w:val="22"/>
        </w:rPr>
        <w:t xml:space="preserve">does not include many types of artificially created waterbodies, or streams/rivers impounded for agricultural use or private water supply.  </w:t>
      </w:r>
    </w:p>
    <w:p w:rsidR="00485094" w:rsidRPr="00BF0CA5" w:rsidRDefault="00485094" w:rsidP="00EA3D58">
      <w:pPr>
        <w:pStyle w:val="ListBullet"/>
      </w:pPr>
      <w:r w:rsidRPr="00BF0CA5">
        <w:rPr>
          <w:b/>
        </w:rPr>
        <w:t xml:space="preserve">Ground water (confined and unconfined aquifers):  </w:t>
      </w:r>
      <w:r>
        <w:t>The term g</w:t>
      </w:r>
      <w:r w:rsidRPr="00BF0CA5">
        <w:t>round water</w:t>
      </w:r>
      <w:r>
        <w:t>, as used here, refers to</w:t>
      </w:r>
      <w:r w:rsidRPr="00BF0CA5">
        <w:t xml:space="preserve"> those portions of F</w:t>
      </w:r>
      <w:r>
        <w:t xml:space="preserve">lorida’s aquifers that have the </w:t>
      </w:r>
      <w:r w:rsidRPr="00BF0CA5">
        <w:t>potential for supplying potable water or affecting the quality of currently potable water.  However, this does not include ground water that lies directly within or beneath a permitted fac</w:t>
      </w:r>
      <w:r>
        <w:t xml:space="preserve">ility’s zone of discharge or </w:t>
      </w:r>
      <w:r w:rsidRPr="00BF0CA5">
        <w:t>water influenced by deep well injection (Class I and II wells).</w:t>
      </w:r>
    </w:p>
    <w:p w:rsidR="00485094" w:rsidRPr="00BF0CA5" w:rsidRDefault="00485094" w:rsidP="00EA3D58">
      <w:pPr>
        <w:pStyle w:val="Bodytextreduced"/>
      </w:pPr>
    </w:p>
    <w:p w:rsidR="00485094" w:rsidRPr="00BF0CA5" w:rsidRDefault="00485094" w:rsidP="00EA3D58">
      <w:pPr>
        <w:pStyle w:val="Bodytext"/>
      </w:pPr>
      <w:r w:rsidRPr="00BF0CA5">
        <w:t xml:space="preserve">Neither the Status </w:t>
      </w:r>
      <w:r>
        <w:t xml:space="preserve">Network </w:t>
      </w:r>
      <w:r w:rsidRPr="00BF0CA5">
        <w:t>nor</w:t>
      </w:r>
      <w:r>
        <w:t xml:space="preserve"> the</w:t>
      </w:r>
      <w:r w:rsidRPr="00BF0CA5">
        <w:t xml:space="preserve"> Trend Network is currently intended to monitor estuaries, springs, wetlands, or marine waters.</w:t>
      </w:r>
      <w:r>
        <w:t xml:space="preserve">  Other sections within FDEP regulate and monitor these resources.</w:t>
      </w:r>
    </w:p>
    <w:p w:rsidR="00485094" w:rsidRPr="00F20187" w:rsidRDefault="00485094" w:rsidP="00EA3D58">
      <w:pPr>
        <w:pStyle w:val="Heading2"/>
      </w:pPr>
      <w:bookmarkStart w:id="186" w:name="_Toc234030458"/>
      <w:bookmarkStart w:id="187" w:name="_Toc248209560"/>
      <w:bookmarkStart w:id="188" w:name="_Toc255822520"/>
      <w:bookmarkStart w:id="189" w:name="_Toc262464137"/>
      <w:bookmarkStart w:id="190" w:name="_Toc271794329"/>
      <w:r w:rsidRPr="00F20187">
        <w:lastRenderedPageBreak/>
        <w:t>Status Network</w:t>
      </w:r>
      <w:bookmarkEnd w:id="186"/>
      <w:bookmarkEnd w:id="187"/>
      <w:r>
        <w:t xml:space="preserve"> Monitoring</w:t>
      </w:r>
      <w:bookmarkEnd w:id="188"/>
      <w:bookmarkEnd w:id="189"/>
      <w:bookmarkEnd w:id="190"/>
    </w:p>
    <w:p w:rsidR="00485094" w:rsidRDefault="00485094" w:rsidP="00EA3D58">
      <w:pPr>
        <w:pStyle w:val="Bodytext"/>
      </w:pPr>
      <w:r>
        <w:t>S</w:t>
      </w:r>
      <w:r w:rsidRPr="00E47E1E">
        <w:t>tratified</w:t>
      </w:r>
      <w:r>
        <w:t>,</w:t>
      </w:r>
      <w:r w:rsidRPr="00E47E1E">
        <w:t xml:space="preserve"> random sampling</w:t>
      </w:r>
      <w:r>
        <w:t xml:space="preserve"> (probabilistic)</w:t>
      </w:r>
      <w:r w:rsidRPr="00E47E1E">
        <w:t xml:space="preserve"> networks</w:t>
      </w:r>
      <w:r>
        <w:t>, such as the Status Network, sample</w:t>
      </w:r>
      <w:r w:rsidRPr="00E47E1E">
        <w:t xml:space="preserve"> predefined geographic </w:t>
      </w:r>
      <w:r>
        <w:t>sub</w:t>
      </w:r>
      <w:r w:rsidRPr="00E47E1E">
        <w:t>units</w:t>
      </w:r>
      <w:r>
        <w:t xml:space="preserve"> (basins)</w:t>
      </w:r>
      <w:r w:rsidRPr="00E47E1E">
        <w:t xml:space="preserve"> that </w:t>
      </w:r>
      <w:r>
        <w:t xml:space="preserve">together </w:t>
      </w:r>
      <w:r w:rsidRPr="00E47E1E">
        <w:t>comprise the whole</w:t>
      </w:r>
      <w:r>
        <w:t xml:space="preserve"> state.</w:t>
      </w:r>
      <w:r w:rsidRPr="00E47E1E">
        <w:t xml:space="preserve"> </w:t>
      </w:r>
      <w:r>
        <w:t xml:space="preserve"> The</w:t>
      </w:r>
      <w:r w:rsidRPr="00E47E1E">
        <w:t xml:space="preserve"> resulting data can address questions at statewide and </w:t>
      </w:r>
      <w:r>
        <w:t xml:space="preserve">specific </w:t>
      </w:r>
      <w:r w:rsidRPr="00E47E1E">
        <w:t>basin scales.</w:t>
      </w:r>
      <w:r>
        <w:t xml:space="preserve">  </w:t>
      </w:r>
    </w:p>
    <w:p w:rsidR="00485094" w:rsidRDefault="00485094" w:rsidP="00EA3D58">
      <w:pPr>
        <w:pStyle w:val="Bodytext"/>
      </w:pPr>
    </w:p>
    <w:p w:rsidR="00485094" w:rsidRDefault="00485094" w:rsidP="00EA3D58">
      <w:pPr>
        <w:pStyle w:val="Bodytext"/>
      </w:pPr>
      <w:r>
        <w:t>The</w:t>
      </w:r>
      <w:r w:rsidRPr="00E47E1E">
        <w:t xml:space="preserve"> state is divided into 29 basins</w:t>
      </w:r>
      <w:r>
        <w:t xml:space="preserve"> as the foundation for the basin assessments (</w:t>
      </w:r>
      <w:r w:rsidRPr="008430DA">
        <w:rPr>
          <w:b/>
          <w:i/>
        </w:rPr>
        <w:t>Table 5.1</w:t>
      </w:r>
      <w:r>
        <w:t>)</w:t>
      </w:r>
      <w:r w:rsidRPr="00E47E1E">
        <w:t>.</w:t>
      </w:r>
      <w:r>
        <w:t xml:space="preserve">  </w:t>
      </w:r>
      <w:r w:rsidRPr="00E47E1E">
        <w:t xml:space="preserve">During the </w:t>
      </w:r>
      <w:r>
        <w:t>five</w:t>
      </w:r>
      <w:r w:rsidRPr="00E47E1E">
        <w:t xml:space="preserve">-year </w:t>
      </w:r>
      <w:r>
        <w:t>cycle of the Status Network (</w:t>
      </w:r>
      <w:r w:rsidRPr="00E47E1E">
        <w:t>January 2004 through December 2008</w:t>
      </w:r>
      <w:r>
        <w:t>)</w:t>
      </w:r>
      <w:r w:rsidRPr="00E47E1E">
        <w:t xml:space="preserve">, all </w:t>
      </w:r>
      <w:r w:rsidRPr="00E66886">
        <w:t xml:space="preserve">basins were sampled in a predetermined sequence, using the </w:t>
      </w:r>
      <w:r>
        <w:t>five</w:t>
      </w:r>
      <w:r w:rsidRPr="00E66886">
        <w:t xml:space="preserve">-year rotation design adopted by </w:t>
      </w:r>
      <w:r>
        <w:t>FDEP’s</w:t>
      </w:r>
      <w:r w:rsidRPr="00E66886">
        <w:t xml:space="preserve"> </w:t>
      </w:r>
      <w:hyperlink r:id="rId61" w:history="1">
        <w:r w:rsidR="0070466C" w:rsidRPr="0070466C">
          <w:rPr>
            <w:rStyle w:val="Hyperlink"/>
          </w:rPr>
          <w:t>Watershed Management Program</w:t>
        </w:r>
      </w:hyperlink>
      <w:r w:rsidRPr="00E66886">
        <w:t xml:space="preserve">. </w:t>
      </w:r>
      <w:r>
        <w:t xml:space="preserve"> </w:t>
      </w:r>
      <w:r w:rsidRPr="00E66886">
        <w:t xml:space="preserve">The basins were sampled in order; however, sampling was conducted </w:t>
      </w:r>
      <w:r>
        <w:t xml:space="preserve">one to two </w:t>
      </w:r>
      <w:r w:rsidRPr="00E66886">
        <w:t>years prior to the basin assessments to allow the Status Network data to be available for these assessments.</w:t>
      </w:r>
    </w:p>
    <w:p w:rsidR="00485094" w:rsidRDefault="00485094" w:rsidP="00EA3D58">
      <w:pPr>
        <w:pStyle w:val="Bodytext"/>
      </w:pPr>
    </w:p>
    <w:p w:rsidR="00485094" w:rsidRDefault="00485094" w:rsidP="00EA3D58">
      <w:pPr>
        <w:pStyle w:val="Tableheading"/>
      </w:pPr>
      <w:bookmarkStart w:id="191" w:name="_Toc255482793"/>
      <w:bookmarkStart w:id="192" w:name="_Toc255807453"/>
      <w:bookmarkStart w:id="193" w:name="_Toc262464223"/>
      <w:bookmarkStart w:id="194" w:name="_Toc271889818"/>
      <w:bookmarkStart w:id="195" w:name="_Toc134347538"/>
      <w:r>
        <w:t>Table 5.1.  Basin Groups for Implementing the 2004–08 Statewide Assessment</w:t>
      </w:r>
      <w:bookmarkEnd w:id="191"/>
      <w:bookmarkEnd w:id="192"/>
      <w:bookmarkEnd w:id="193"/>
      <w:bookmarkEnd w:id="194"/>
    </w:p>
    <w:p w:rsidR="00485094" w:rsidRDefault="00485094" w:rsidP="00EA3D58">
      <w:pPr>
        <w:pStyle w:val="TabledescriptionBF"/>
      </w:pPr>
      <w:r>
        <w:t>This is a six-column table.  Column 1 lists the FDEP districts and Columns 2 through 5 list the Group 1 through 5 basins, respectively.</w:t>
      </w:r>
    </w:p>
    <w:p w:rsidR="00485094" w:rsidRDefault="00485094" w:rsidP="00EA3D58">
      <w:pPr>
        <w:pStyle w:val="TabledescriptionBF"/>
      </w:pPr>
      <w:r>
        <w:t xml:space="preserve"> </w:t>
      </w:r>
      <w:bookmarkEnd w:id="195"/>
    </w:p>
    <w:p w:rsidR="00485094" w:rsidRDefault="00485094" w:rsidP="00EA3D58">
      <w:pPr>
        <w:pStyle w:val="Bodytextreduced"/>
      </w:pPr>
      <w:r w:rsidRPr="00EC4B99">
        <w:t xml:space="preserve">- = Empty cell/no </w:t>
      </w:r>
      <w:r>
        <w:t>basin sampled</w:t>
      </w:r>
    </w:p>
    <w:tbl>
      <w:tblPr>
        <w:tblW w:w="94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1098"/>
        <w:gridCol w:w="1710"/>
        <w:gridCol w:w="1710"/>
        <w:gridCol w:w="1710"/>
        <w:gridCol w:w="1800"/>
        <w:gridCol w:w="1440"/>
      </w:tblGrid>
      <w:tr w:rsidR="00485094" w:rsidRPr="005A1F92" w:rsidTr="000F2909">
        <w:trPr>
          <w:trHeight w:val="576"/>
          <w:jc w:val="center"/>
        </w:trPr>
        <w:tc>
          <w:tcPr>
            <w:tcW w:w="1098"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FDEP District</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1</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(2004)</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2</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(2005)</w:t>
            </w:r>
          </w:p>
        </w:tc>
        <w:tc>
          <w:tcPr>
            <w:tcW w:w="171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3</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(2006)</w:t>
            </w:r>
          </w:p>
        </w:tc>
        <w:tc>
          <w:tcPr>
            <w:tcW w:w="180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4</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w:t>
            </w:r>
            <w:r>
              <w:rPr>
                <w:b/>
                <w:i/>
              </w:rPr>
              <w:t>7</w:t>
            </w:r>
            <w:r w:rsidRPr="005A1F92">
              <w:rPr>
                <w:b/>
                <w:i/>
              </w:rPr>
              <w:t>)</w:t>
            </w:r>
          </w:p>
        </w:tc>
        <w:tc>
          <w:tcPr>
            <w:tcW w:w="1440" w:type="dxa"/>
            <w:tcBorders>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Group 5</w:t>
            </w:r>
          </w:p>
          <w:p w:rsidR="00485094" w:rsidRPr="005A1F92" w:rsidRDefault="00485094" w:rsidP="00453E80">
            <w:pPr>
              <w:pStyle w:val="TableText"/>
              <w:jc w:val="center"/>
              <w:rPr>
                <w:b/>
                <w:i/>
              </w:rPr>
            </w:pPr>
            <w:r w:rsidRPr="005A1F92">
              <w:rPr>
                <w:b/>
                <w:i/>
              </w:rPr>
              <w:t>Basins</w:t>
            </w:r>
          </w:p>
          <w:p w:rsidR="00485094" w:rsidRPr="005A1F92" w:rsidRDefault="00485094" w:rsidP="00453E80">
            <w:pPr>
              <w:pStyle w:val="TableText"/>
              <w:jc w:val="center"/>
              <w:rPr>
                <w:b/>
                <w:i/>
              </w:rPr>
            </w:pPr>
            <w:r w:rsidRPr="005A1F92">
              <w:rPr>
                <w:b/>
                <w:i/>
              </w:rPr>
              <w:t>(2008)</w:t>
            </w:r>
          </w:p>
        </w:tc>
      </w:tr>
      <w:tr w:rsidR="00485094" w:rsidTr="00453E80">
        <w:trPr>
          <w:jc w:val="center"/>
        </w:trPr>
        <w:tc>
          <w:tcPr>
            <w:tcW w:w="1098" w:type="dxa"/>
            <w:tcBorders>
              <w:top w:val="double" w:sz="4" w:space="0" w:color="auto"/>
            </w:tcBorders>
            <w:shd w:val="clear" w:color="auto" w:fill="FFFFCC"/>
            <w:vAlign w:val="center"/>
          </w:tcPr>
          <w:p w:rsidR="00485094" w:rsidRDefault="00485094" w:rsidP="00453E80">
            <w:pPr>
              <w:pStyle w:val="TableText"/>
              <w:jc w:val="center"/>
            </w:pPr>
            <w:r>
              <w:t>Northwest</w:t>
            </w:r>
          </w:p>
        </w:tc>
        <w:tc>
          <w:tcPr>
            <w:tcW w:w="1710" w:type="dxa"/>
            <w:tcBorders>
              <w:top w:val="double" w:sz="4" w:space="0" w:color="auto"/>
            </w:tcBorders>
            <w:vAlign w:val="center"/>
          </w:tcPr>
          <w:p w:rsidR="00485094" w:rsidRDefault="00485094" w:rsidP="00453E80">
            <w:pPr>
              <w:pStyle w:val="TableText"/>
              <w:jc w:val="center"/>
            </w:pPr>
            <w:r>
              <w:t>Ochlockonee–</w:t>
            </w:r>
          </w:p>
          <w:p w:rsidR="00485094" w:rsidRDefault="00485094" w:rsidP="00453E80">
            <w:pPr>
              <w:pStyle w:val="TableText"/>
              <w:jc w:val="center"/>
            </w:pPr>
            <w:r>
              <w:t>St. Marks</w:t>
            </w:r>
          </w:p>
        </w:tc>
        <w:tc>
          <w:tcPr>
            <w:tcW w:w="1710" w:type="dxa"/>
            <w:tcBorders>
              <w:top w:val="double" w:sz="4" w:space="0" w:color="auto"/>
            </w:tcBorders>
            <w:vAlign w:val="center"/>
          </w:tcPr>
          <w:p w:rsidR="00485094" w:rsidRDefault="00485094" w:rsidP="00453E80">
            <w:pPr>
              <w:pStyle w:val="TableText"/>
              <w:jc w:val="center"/>
            </w:pPr>
            <w:r>
              <w:t>Apalachicola–Chipola</w:t>
            </w:r>
          </w:p>
        </w:tc>
        <w:tc>
          <w:tcPr>
            <w:tcW w:w="1710" w:type="dxa"/>
            <w:tcBorders>
              <w:top w:val="double" w:sz="4" w:space="0" w:color="auto"/>
            </w:tcBorders>
            <w:vAlign w:val="center"/>
          </w:tcPr>
          <w:p w:rsidR="00485094" w:rsidRDefault="00485094" w:rsidP="00453E80">
            <w:pPr>
              <w:pStyle w:val="TableText"/>
              <w:jc w:val="center"/>
            </w:pPr>
            <w:r>
              <w:t>Choctawhatchee– St. Andrew</w:t>
            </w:r>
          </w:p>
        </w:tc>
        <w:tc>
          <w:tcPr>
            <w:tcW w:w="1800" w:type="dxa"/>
            <w:tcBorders>
              <w:top w:val="double" w:sz="4" w:space="0" w:color="auto"/>
            </w:tcBorders>
            <w:vAlign w:val="center"/>
          </w:tcPr>
          <w:p w:rsidR="00485094" w:rsidRDefault="00485094" w:rsidP="00453E80">
            <w:pPr>
              <w:pStyle w:val="TableText"/>
              <w:jc w:val="center"/>
            </w:pPr>
            <w:r>
              <w:t>Pensacola</w:t>
            </w:r>
          </w:p>
        </w:tc>
        <w:tc>
          <w:tcPr>
            <w:tcW w:w="1440" w:type="dxa"/>
            <w:tcBorders>
              <w:top w:val="double" w:sz="4" w:space="0" w:color="auto"/>
            </w:tcBorders>
            <w:vAlign w:val="center"/>
          </w:tcPr>
          <w:p w:rsidR="00485094" w:rsidRDefault="00485094" w:rsidP="00453E80">
            <w:pPr>
              <w:pStyle w:val="TableText"/>
              <w:jc w:val="center"/>
            </w:pPr>
            <w:r>
              <w:t>Perdido</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Northeast</w:t>
            </w:r>
          </w:p>
        </w:tc>
        <w:tc>
          <w:tcPr>
            <w:tcW w:w="1710" w:type="dxa"/>
            <w:vAlign w:val="center"/>
          </w:tcPr>
          <w:p w:rsidR="00485094" w:rsidRDefault="00485094" w:rsidP="00453E80">
            <w:pPr>
              <w:pStyle w:val="TableText"/>
              <w:jc w:val="center"/>
            </w:pPr>
            <w:r>
              <w:t>Suwannee</w:t>
            </w:r>
          </w:p>
        </w:tc>
        <w:tc>
          <w:tcPr>
            <w:tcW w:w="1710" w:type="dxa"/>
            <w:vAlign w:val="center"/>
          </w:tcPr>
          <w:p w:rsidR="00485094" w:rsidRDefault="00485094" w:rsidP="00453E80">
            <w:pPr>
              <w:pStyle w:val="TableText"/>
              <w:jc w:val="center"/>
            </w:pPr>
            <w:r>
              <w:t>Lower St. Johns</w:t>
            </w:r>
          </w:p>
        </w:tc>
        <w:tc>
          <w:tcPr>
            <w:tcW w:w="1710" w:type="dxa"/>
            <w:vAlign w:val="center"/>
          </w:tcPr>
          <w:p w:rsidR="00485094" w:rsidRDefault="00485094" w:rsidP="00453E80">
            <w:pPr>
              <w:pStyle w:val="TableText"/>
              <w:jc w:val="center"/>
            </w:pPr>
            <w:r>
              <w:t>-</w:t>
            </w:r>
          </w:p>
        </w:tc>
        <w:tc>
          <w:tcPr>
            <w:tcW w:w="1800" w:type="dxa"/>
            <w:vAlign w:val="center"/>
          </w:tcPr>
          <w:p w:rsidR="00485094" w:rsidRDefault="00485094" w:rsidP="00453E80">
            <w:pPr>
              <w:pStyle w:val="TableText"/>
              <w:jc w:val="center"/>
            </w:pPr>
            <w:r>
              <w:t>Nassau–St. Marys</w:t>
            </w:r>
          </w:p>
        </w:tc>
        <w:tc>
          <w:tcPr>
            <w:tcW w:w="1440" w:type="dxa"/>
            <w:vAlign w:val="center"/>
          </w:tcPr>
          <w:p w:rsidR="00485094" w:rsidRDefault="00485094" w:rsidP="00453E80">
            <w:pPr>
              <w:pStyle w:val="TableText"/>
              <w:jc w:val="center"/>
            </w:pPr>
            <w:r>
              <w:t>Upper East Coast</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Central</w:t>
            </w:r>
          </w:p>
        </w:tc>
        <w:tc>
          <w:tcPr>
            <w:tcW w:w="1710" w:type="dxa"/>
            <w:vAlign w:val="center"/>
          </w:tcPr>
          <w:p w:rsidR="00485094" w:rsidRDefault="00485094" w:rsidP="00453E80">
            <w:pPr>
              <w:pStyle w:val="TableText"/>
              <w:jc w:val="center"/>
            </w:pPr>
            <w:r>
              <w:t>Ocklawaha</w:t>
            </w:r>
          </w:p>
        </w:tc>
        <w:tc>
          <w:tcPr>
            <w:tcW w:w="1710" w:type="dxa"/>
            <w:vAlign w:val="center"/>
          </w:tcPr>
          <w:p w:rsidR="00485094" w:rsidRDefault="00485094" w:rsidP="00453E80">
            <w:pPr>
              <w:pStyle w:val="TableText"/>
              <w:jc w:val="center"/>
            </w:pPr>
            <w:r>
              <w:t>Middle St. Johns</w:t>
            </w:r>
          </w:p>
        </w:tc>
        <w:tc>
          <w:tcPr>
            <w:tcW w:w="1710" w:type="dxa"/>
            <w:vAlign w:val="center"/>
          </w:tcPr>
          <w:p w:rsidR="00485094" w:rsidRDefault="00485094" w:rsidP="00453E80">
            <w:pPr>
              <w:pStyle w:val="TableText"/>
              <w:jc w:val="center"/>
            </w:pPr>
            <w:r>
              <w:t>Upper St. Johns</w:t>
            </w:r>
          </w:p>
        </w:tc>
        <w:tc>
          <w:tcPr>
            <w:tcW w:w="1800" w:type="dxa"/>
            <w:vAlign w:val="center"/>
          </w:tcPr>
          <w:p w:rsidR="00485094" w:rsidRDefault="00485094" w:rsidP="00453E80">
            <w:pPr>
              <w:pStyle w:val="TableText"/>
              <w:jc w:val="center"/>
            </w:pPr>
            <w:r>
              <w:t>Kissimmee River</w:t>
            </w:r>
          </w:p>
        </w:tc>
        <w:tc>
          <w:tcPr>
            <w:tcW w:w="1440" w:type="dxa"/>
            <w:vAlign w:val="center"/>
          </w:tcPr>
          <w:p w:rsidR="00485094" w:rsidRDefault="00485094" w:rsidP="00453E80">
            <w:pPr>
              <w:pStyle w:val="TableText"/>
              <w:jc w:val="center"/>
            </w:pPr>
            <w:r>
              <w:t>Indian River Lagoon</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Southwest</w:t>
            </w:r>
          </w:p>
        </w:tc>
        <w:tc>
          <w:tcPr>
            <w:tcW w:w="1710" w:type="dxa"/>
            <w:vAlign w:val="center"/>
          </w:tcPr>
          <w:p w:rsidR="00485094" w:rsidRDefault="00485094" w:rsidP="00453E80">
            <w:pPr>
              <w:pStyle w:val="TableText"/>
              <w:jc w:val="center"/>
            </w:pPr>
            <w:r>
              <w:t>Tampa Bay</w:t>
            </w:r>
          </w:p>
        </w:tc>
        <w:tc>
          <w:tcPr>
            <w:tcW w:w="1710" w:type="dxa"/>
            <w:vAlign w:val="center"/>
          </w:tcPr>
          <w:p w:rsidR="00485094" w:rsidRDefault="00485094" w:rsidP="00453E80">
            <w:pPr>
              <w:pStyle w:val="TableText"/>
              <w:jc w:val="center"/>
            </w:pPr>
            <w:r>
              <w:t>Tampa Bay Tributaries</w:t>
            </w:r>
          </w:p>
        </w:tc>
        <w:tc>
          <w:tcPr>
            <w:tcW w:w="1710" w:type="dxa"/>
            <w:vAlign w:val="center"/>
          </w:tcPr>
          <w:p w:rsidR="00485094" w:rsidRDefault="00485094" w:rsidP="00453E80">
            <w:pPr>
              <w:pStyle w:val="TableText"/>
              <w:jc w:val="center"/>
            </w:pPr>
            <w:r>
              <w:t>Sarasota Bay–Peace–Myakka</w:t>
            </w:r>
          </w:p>
        </w:tc>
        <w:tc>
          <w:tcPr>
            <w:tcW w:w="1800" w:type="dxa"/>
            <w:vAlign w:val="center"/>
          </w:tcPr>
          <w:p w:rsidR="00485094" w:rsidRDefault="00485094" w:rsidP="00453E80">
            <w:pPr>
              <w:pStyle w:val="TableText"/>
              <w:jc w:val="center"/>
            </w:pPr>
            <w:r>
              <w:t>Withlacoochee</w:t>
            </w:r>
          </w:p>
        </w:tc>
        <w:tc>
          <w:tcPr>
            <w:tcW w:w="1440" w:type="dxa"/>
            <w:vAlign w:val="center"/>
          </w:tcPr>
          <w:p w:rsidR="00485094" w:rsidRDefault="00485094" w:rsidP="00453E80">
            <w:pPr>
              <w:pStyle w:val="TableText"/>
              <w:jc w:val="center"/>
            </w:pPr>
            <w:r>
              <w:t>Springs Coast</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w:t>
            </w:r>
          </w:p>
        </w:tc>
        <w:tc>
          <w:tcPr>
            <w:tcW w:w="1710" w:type="dxa"/>
            <w:vAlign w:val="center"/>
          </w:tcPr>
          <w:p w:rsidR="00485094" w:rsidRDefault="00485094" w:rsidP="00453E80">
            <w:pPr>
              <w:pStyle w:val="TableText"/>
              <w:jc w:val="center"/>
            </w:pPr>
            <w:r>
              <w:t>Everglades West</w:t>
            </w:r>
          </w:p>
          <w:p w:rsidR="00485094" w:rsidRDefault="00485094" w:rsidP="00453E80">
            <w:pPr>
              <w:pStyle w:val="TableText"/>
              <w:jc w:val="center"/>
            </w:pPr>
            <w:r>
              <w:t>Coast</w:t>
            </w:r>
          </w:p>
        </w:tc>
        <w:tc>
          <w:tcPr>
            <w:tcW w:w="1710" w:type="dxa"/>
            <w:vAlign w:val="center"/>
          </w:tcPr>
          <w:p w:rsidR="00485094" w:rsidRDefault="00485094" w:rsidP="00453E80">
            <w:pPr>
              <w:pStyle w:val="TableText"/>
              <w:jc w:val="center"/>
            </w:pPr>
            <w:r>
              <w:t>Charlotte Harbor</w:t>
            </w:r>
          </w:p>
        </w:tc>
        <w:tc>
          <w:tcPr>
            <w:tcW w:w="1710" w:type="dxa"/>
            <w:vAlign w:val="center"/>
          </w:tcPr>
          <w:p w:rsidR="00485094" w:rsidRDefault="00485094" w:rsidP="00453E80">
            <w:pPr>
              <w:pStyle w:val="TableText"/>
              <w:jc w:val="center"/>
            </w:pPr>
            <w:r>
              <w:t>Caloosahatchee</w:t>
            </w:r>
          </w:p>
        </w:tc>
        <w:tc>
          <w:tcPr>
            <w:tcW w:w="1800" w:type="dxa"/>
            <w:vAlign w:val="center"/>
          </w:tcPr>
          <w:p w:rsidR="00485094" w:rsidRDefault="00485094" w:rsidP="00453E80">
            <w:pPr>
              <w:pStyle w:val="TableText"/>
              <w:jc w:val="center"/>
            </w:pPr>
            <w:r>
              <w:t>Fisheating Creek</w:t>
            </w:r>
          </w:p>
        </w:tc>
        <w:tc>
          <w:tcPr>
            <w:tcW w:w="1440" w:type="dxa"/>
            <w:vAlign w:val="center"/>
          </w:tcPr>
          <w:p w:rsidR="00485094" w:rsidRDefault="00485094" w:rsidP="00453E80">
            <w:pPr>
              <w:pStyle w:val="TableText"/>
              <w:jc w:val="center"/>
            </w:pPr>
            <w:r>
              <w:t>Florida Keys</w:t>
            </w:r>
          </w:p>
        </w:tc>
      </w:tr>
      <w:tr w:rsidR="00485094" w:rsidTr="00453E80">
        <w:trPr>
          <w:jc w:val="center"/>
        </w:trPr>
        <w:tc>
          <w:tcPr>
            <w:tcW w:w="1098" w:type="dxa"/>
            <w:shd w:val="clear" w:color="auto" w:fill="FFFFCC"/>
            <w:vAlign w:val="center"/>
          </w:tcPr>
          <w:p w:rsidR="00485094" w:rsidRDefault="00485094" w:rsidP="00453E80">
            <w:pPr>
              <w:pStyle w:val="TableText"/>
              <w:jc w:val="center"/>
            </w:pPr>
            <w:r>
              <w:t>Southeast</w:t>
            </w:r>
          </w:p>
        </w:tc>
        <w:tc>
          <w:tcPr>
            <w:tcW w:w="1710" w:type="dxa"/>
            <w:vAlign w:val="center"/>
          </w:tcPr>
          <w:p w:rsidR="00485094" w:rsidRDefault="00485094" w:rsidP="00453E80">
            <w:pPr>
              <w:pStyle w:val="TableText"/>
              <w:jc w:val="center"/>
            </w:pPr>
            <w:r>
              <w:t>Lake Okeechobee</w:t>
            </w:r>
          </w:p>
        </w:tc>
        <w:tc>
          <w:tcPr>
            <w:tcW w:w="1710" w:type="dxa"/>
            <w:vAlign w:val="center"/>
          </w:tcPr>
          <w:p w:rsidR="00485094" w:rsidRDefault="00485094" w:rsidP="00453E80">
            <w:pPr>
              <w:pStyle w:val="TableText"/>
              <w:jc w:val="center"/>
            </w:pPr>
            <w:r>
              <w:t>St. Lucie–Loxahatchee</w:t>
            </w:r>
          </w:p>
        </w:tc>
        <w:tc>
          <w:tcPr>
            <w:tcW w:w="1710" w:type="dxa"/>
            <w:vAlign w:val="center"/>
          </w:tcPr>
          <w:p w:rsidR="00485094" w:rsidRDefault="00485094" w:rsidP="00453E80">
            <w:pPr>
              <w:pStyle w:val="TableText"/>
              <w:jc w:val="center"/>
            </w:pPr>
            <w:r>
              <w:t>Lake Worth Lagoon–</w:t>
            </w:r>
          </w:p>
          <w:p w:rsidR="00485094" w:rsidRDefault="00485094" w:rsidP="00453E80">
            <w:pPr>
              <w:pStyle w:val="TableText"/>
              <w:jc w:val="center"/>
            </w:pPr>
            <w:r>
              <w:t>Palm Beach Coast</w:t>
            </w:r>
          </w:p>
        </w:tc>
        <w:tc>
          <w:tcPr>
            <w:tcW w:w="1800" w:type="dxa"/>
            <w:vAlign w:val="center"/>
          </w:tcPr>
          <w:p w:rsidR="00485094" w:rsidRDefault="00485094" w:rsidP="00453E80">
            <w:pPr>
              <w:pStyle w:val="TableText"/>
              <w:jc w:val="center"/>
            </w:pPr>
            <w:r>
              <w:t>Southeast Coast–Biscayne Bay</w:t>
            </w:r>
          </w:p>
        </w:tc>
        <w:tc>
          <w:tcPr>
            <w:tcW w:w="1440" w:type="dxa"/>
            <w:vAlign w:val="center"/>
          </w:tcPr>
          <w:p w:rsidR="00485094" w:rsidRDefault="00485094" w:rsidP="00453E80">
            <w:pPr>
              <w:pStyle w:val="TableText"/>
              <w:jc w:val="center"/>
            </w:pPr>
            <w:r>
              <w:t>Everglades</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Bodytext"/>
        <w:rPr>
          <w:szCs w:val="22"/>
        </w:rPr>
      </w:pPr>
      <w:r w:rsidRPr="00A13D53">
        <w:rPr>
          <w:szCs w:val="22"/>
        </w:rPr>
        <w:t xml:space="preserve">The </w:t>
      </w:r>
      <w:r>
        <w:rPr>
          <w:szCs w:val="22"/>
        </w:rPr>
        <w:t xml:space="preserve">Status Network uses the </w:t>
      </w:r>
      <w:r w:rsidRPr="00A13D53">
        <w:rPr>
          <w:szCs w:val="22"/>
        </w:rPr>
        <w:t xml:space="preserve">Generalized Random Tessellation Stratified (GRTS) sampling design, supported by </w:t>
      </w:r>
      <w:r>
        <w:rPr>
          <w:szCs w:val="22"/>
        </w:rPr>
        <w:t>the EPA</w:t>
      </w:r>
      <w:r w:rsidRPr="00A13D53">
        <w:rPr>
          <w:szCs w:val="22"/>
        </w:rPr>
        <w:t xml:space="preserve">’s </w:t>
      </w:r>
      <w:hyperlink r:id="rId62" w:history="1">
        <w:r w:rsidRPr="00044ABF">
          <w:rPr>
            <w:rStyle w:val="Hyperlink"/>
            <w:szCs w:val="22"/>
          </w:rPr>
          <w:t>Environmental Monitoring and Assessment Program (EMAP)</w:t>
        </w:r>
      </w:hyperlink>
      <w:r w:rsidRPr="00A13D53">
        <w:rPr>
          <w:szCs w:val="22"/>
        </w:rPr>
        <w:t>, to select sampling sites</w:t>
      </w:r>
      <w:r>
        <w:rPr>
          <w:szCs w:val="22"/>
        </w:rPr>
        <w:t xml:space="preserve">.  Geographic stratification breaks the state into basins, from which the sample sites are chosen </w:t>
      </w:r>
      <w:r w:rsidRPr="00A13D53">
        <w:rPr>
          <w:szCs w:val="22"/>
        </w:rPr>
        <w:t>from a</w:t>
      </w:r>
      <w:r>
        <w:rPr>
          <w:szCs w:val="22"/>
        </w:rPr>
        <w:t xml:space="preserve"> target population </w:t>
      </w:r>
      <w:r w:rsidRPr="00A13D53">
        <w:rPr>
          <w:szCs w:val="22"/>
        </w:rPr>
        <w:t>(list frame)</w:t>
      </w:r>
      <w:r>
        <w:rPr>
          <w:szCs w:val="22"/>
        </w:rPr>
        <w:t xml:space="preserve"> using simple random selection</w:t>
      </w:r>
      <w:r w:rsidRPr="00A13D53">
        <w:rPr>
          <w:szCs w:val="22"/>
        </w:rPr>
        <w:t>.</w:t>
      </w:r>
      <w:r>
        <w:rPr>
          <w:szCs w:val="22"/>
        </w:rPr>
        <w:t xml:space="preserve">  GRTS</w:t>
      </w:r>
      <w:r w:rsidRPr="00A13D53">
        <w:rPr>
          <w:szCs w:val="22"/>
        </w:rPr>
        <w:t xml:space="preserve"> design ensures that the sites are representative of the target resources and that their s</w:t>
      </w:r>
      <w:r>
        <w:rPr>
          <w:szCs w:val="22"/>
        </w:rPr>
        <w:t xml:space="preserve">election is not biased.  </w:t>
      </w:r>
    </w:p>
    <w:p w:rsidR="00485094" w:rsidRDefault="00485094" w:rsidP="00EA3D58">
      <w:pPr>
        <w:pStyle w:val="Bodytext"/>
        <w:rPr>
          <w:szCs w:val="22"/>
        </w:rPr>
      </w:pPr>
    </w:p>
    <w:p w:rsidR="00485094" w:rsidRDefault="00485094" w:rsidP="00EA3D58">
      <w:pPr>
        <w:pStyle w:val="Bodytext"/>
      </w:pPr>
      <w:r>
        <w:t>FDEP made adjustments to</w:t>
      </w:r>
      <w:r w:rsidRPr="00FE5DFF">
        <w:t xml:space="preserve"> the GRTS sample design due to the unequal distribution of water resources.  For example, there are few lakes in the southern portion of the state</w:t>
      </w:r>
      <w:r>
        <w:t>, which is dominated by wetlands and canals</w:t>
      </w:r>
      <w:r w:rsidRPr="00FE5DFF">
        <w:t>.  Other factors, such as periods of drought or denials of access from large landowners, can limit the list of possible sites to sample.  Target resource lists are continually updated via field staff comments.</w:t>
      </w:r>
    </w:p>
    <w:p w:rsidR="00485094" w:rsidRPr="00FE5DFF" w:rsidRDefault="00485094" w:rsidP="00EA3D58">
      <w:pPr>
        <w:pStyle w:val="Bodytext"/>
      </w:pPr>
    </w:p>
    <w:p w:rsidR="00485094" w:rsidRPr="00FE5DFF" w:rsidRDefault="00485094" w:rsidP="00EA3D58">
      <w:pPr>
        <w:pStyle w:val="Heading3"/>
      </w:pPr>
      <w:bookmarkStart w:id="196" w:name="_Toc255822521"/>
      <w:bookmarkStart w:id="197" w:name="_Toc262464138"/>
      <w:bookmarkStart w:id="198" w:name="_Toc271794330"/>
      <w:bookmarkStart w:id="199" w:name="_Toc234030460"/>
      <w:bookmarkStart w:id="200" w:name="_Toc248209562"/>
      <w:r w:rsidRPr="00FE5DFF">
        <w:t>Water Resource Types</w:t>
      </w:r>
      <w:bookmarkEnd w:id="196"/>
      <w:bookmarkEnd w:id="197"/>
      <w:bookmarkEnd w:id="198"/>
    </w:p>
    <w:p w:rsidR="00485094" w:rsidRPr="002A79CF" w:rsidRDefault="00485094" w:rsidP="00EA3D58">
      <w:pPr>
        <w:pStyle w:val="Bodytext"/>
      </w:pPr>
      <w:r w:rsidRPr="002A79CF">
        <w:t xml:space="preserve">The parent populations for the Status Network are all statewide surface and ground waters.  The </w:t>
      </w:r>
      <w:r>
        <w:t xml:space="preserve">following </w:t>
      </w:r>
      <w:r w:rsidRPr="002A79CF">
        <w:t>water resources are the target populations</w:t>
      </w:r>
      <w:r>
        <w:t>:</w:t>
      </w:r>
      <w:r w:rsidRPr="002A79CF">
        <w:t xml:space="preserve">  </w:t>
      </w:r>
      <w:bookmarkEnd w:id="199"/>
      <w:bookmarkEnd w:id="200"/>
    </w:p>
    <w:p w:rsidR="00485094" w:rsidRPr="002A79CF" w:rsidRDefault="00485094" w:rsidP="00EA3D58">
      <w:pPr>
        <w:pStyle w:val="Bodytext"/>
      </w:pPr>
      <w:bookmarkStart w:id="201" w:name="_Toc248209564"/>
    </w:p>
    <w:p w:rsidR="00485094" w:rsidRDefault="00485094" w:rsidP="00EA3D58">
      <w:pPr>
        <w:pStyle w:val="ListBullet"/>
      </w:pPr>
      <w:r w:rsidRPr="00382EB4">
        <w:rPr>
          <w:b/>
        </w:rPr>
        <w:lastRenderedPageBreak/>
        <w:t>Surface Water</w:t>
      </w:r>
      <w:bookmarkEnd w:id="201"/>
      <w:r>
        <w:t>—</w:t>
      </w:r>
      <w:r w:rsidRPr="0066318D">
        <w:t>Florida’s surface waters are diverse and challenging to categorize.  Surface waters are divided into two groups</w:t>
      </w:r>
      <w:r>
        <w:t>:</w:t>
      </w:r>
      <w:r w:rsidRPr="0066318D">
        <w:t xml:space="preserve"> flowing (l</w:t>
      </w:r>
      <w:r>
        <w:t xml:space="preserve">otic) or still </w:t>
      </w:r>
      <w:r w:rsidRPr="0066318D">
        <w:t>(l</w:t>
      </w:r>
      <w:r>
        <w:t>en</w:t>
      </w:r>
      <w:r w:rsidRPr="0066318D">
        <w:t>tic).  The l</w:t>
      </w:r>
      <w:r>
        <w:t>o</w:t>
      </w:r>
      <w:r w:rsidRPr="0066318D">
        <w:t xml:space="preserve">tic group consists of rivers, </w:t>
      </w:r>
      <w:r>
        <w:t xml:space="preserve">streams, </w:t>
      </w:r>
      <w:r w:rsidRPr="0066318D">
        <w:t xml:space="preserve">springs, </w:t>
      </w:r>
      <w:r>
        <w:t xml:space="preserve">and canals.  </w:t>
      </w:r>
      <w:r w:rsidRPr="0066318D">
        <w:t xml:space="preserve"> In Florida, </w:t>
      </w:r>
      <w:r>
        <w:t xml:space="preserve">the lentic group consists of </w:t>
      </w:r>
      <w:r w:rsidRPr="0066318D">
        <w:t>many types of natural lakes, including sand</w:t>
      </w:r>
      <w:r>
        <w:t xml:space="preserve"> </w:t>
      </w:r>
      <w:r w:rsidRPr="0066318D">
        <w:t>hill lakes, sinkhole lakes, oxbow lakes</w:t>
      </w:r>
      <w:r>
        <w:t xml:space="preserve">, and established reservoirs.  </w:t>
      </w:r>
      <w:r w:rsidRPr="0066318D">
        <w:t xml:space="preserve">These range in size from less than an acre to over 500,000 acres. </w:t>
      </w:r>
      <w:r>
        <w:t xml:space="preserve"> </w:t>
      </w:r>
      <w:r w:rsidRPr="0066318D">
        <w:t xml:space="preserve">Artificial waterbodies, such as stormwater retention ponds, </w:t>
      </w:r>
      <w:r>
        <w:t xml:space="preserve">impoundments used for agriculture, </w:t>
      </w:r>
      <w:r w:rsidRPr="0066318D">
        <w:t>golf course ponds, or other man</w:t>
      </w:r>
      <w:r>
        <w:t>-</w:t>
      </w:r>
      <w:r w:rsidRPr="0066318D">
        <w:t xml:space="preserve">made water features </w:t>
      </w:r>
      <w:r>
        <w:t xml:space="preserve">that are not waters of the state </w:t>
      </w:r>
      <w:r w:rsidRPr="0066318D">
        <w:t xml:space="preserve">are </w:t>
      </w:r>
      <w:r>
        <w:t xml:space="preserve">common but are not part of the target population, and are </w:t>
      </w:r>
      <w:r w:rsidRPr="0066318D">
        <w:t>removed from the resource list</w:t>
      </w:r>
      <w:r>
        <w:t xml:space="preserve"> frame</w:t>
      </w:r>
      <w:r w:rsidRPr="0066318D">
        <w:t xml:space="preserve">.  </w:t>
      </w:r>
    </w:p>
    <w:p w:rsidR="00485094" w:rsidRDefault="00485094">
      <w:pPr>
        <w:pStyle w:val="Listbulletsub"/>
        <w:numPr>
          <w:ilvl w:val="0"/>
          <w:numId w:val="15"/>
        </w:numPr>
        <w:ind w:left="1008" w:hanging="288"/>
      </w:pPr>
      <w:r w:rsidRPr="00382EB4">
        <w:rPr>
          <w:b/>
        </w:rPr>
        <w:t>Rivers, Streams, and Canals</w:t>
      </w:r>
      <w:r>
        <w:t>—Flowing surface waters that are waters of the state</w:t>
      </w:r>
      <w:r w:rsidRPr="000F332D">
        <w:t xml:space="preserve"> </w:t>
      </w:r>
      <w:r>
        <w:t>are</w:t>
      </w:r>
      <w:r w:rsidRPr="000F332D">
        <w:t xml:space="preserve"> divided into rivers </w:t>
      </w:r>
      <w:r>
        <w:t>or</w:t>
      </w:r>
      <w:r w:rsidRPr="000F332D">
        <w:t xml:space="preserve"> stream</w:t>
      </w:r>
      <w:r>
        <w:t xml:space="preserve">s </w:t>
      </w:r>
      <w:r w:rsidRPr="000F332D">
        <w:t xml:space="preserve">based on </w:t>
      </w:r>
      <w:r>
        <w:t>size, as recommended by FDEP and</w:t>
      </w:r>
      <w:r w:rsidRPr="000F332D">
        <w:t xml:space="preserve"> </w:t>
      </w:r>
      <w:r>
        <w:t>water management district</w:t>
      </w:r>
      <w:r w:rsidRPr="000F332D">
        <w:t xml:space="preserve"> </w:t>
      </w:r>
      <w:r>
        <w:t>staff</w:t>
      </w:r>
      <w:r w:rsidRPr="000F332D">
        <w:t xml:space="preserve">. </w:t>
      </w:r>
      <w:r>
        <w:t xml:space="preserve"> Large ri</w:t>
      </w:r>
      <w:r w:rsidRPr="000F332D">
        <w:t xml:space="preserve">vers </w:t>
      </w:r>
      <w:r>
        <w:t>are initially identified, and</w:t>
      </w:r>
      <w:r w:rsidRPr="000F332D">
        <w:t xml:space="preserve"> the remaining</w:t>
      </w:r>
      <w:r>
        <w:t>, smaller</w:t>
      </w:r>
      <w:r w:rsidRPr="000F332D">
        <w:t xml:space="preserve"> </w:t>
      </w:r>
      <w:r>
        <w:t>flowing surface waters are</w:t>
      </w:r>
      <w:r w:rsidRPr="000F332D">
        <w:t xml:space="preserve"> </w:t>
      </w:r>
      <w:r>
        <w:t>classified as strea</w:t>
      </w:r>
      <w:r w:rsidRPr="000F332D">
        <w:t>ms</w:t>
      </w:r>
      <w:r>
        <w:t>.</w:t>
      </w:r>
      <w:r w:rsidRPr="000F332D">
        <w:t xml:space="preserve"> </w:t>
      </w:r>
      <w:r>
        <w:t xml:space="preserve"> Rivers and streams that are mostly or entirely channelized are deemed canals and are still considered part of the target population.  Segments of rivers and streams that are impounded are not included in this resource.  </w:t>
      </w:r>
    </w:p>
    <w:p w:rsidR="00485094" w:rsidRDefault="00485094">
      <w:pPr>
        <w:pStyle w:val="Listbulletsub"/>
        <w:numPr>
          <w:ilvl w:val="0"/>
          <w:numId w:val="15"/>
        </w:numPr>
        <w:ind w:left="1008" w:hanging="288"/>
      </w:pPr>
      <w:bookmarkStart w:id="202" w:name="_Toc248209563"/>
      <w:bookmarkStart w:id="203" w:name="_Toc248209565"/>
      <w:r w:rsidRPr="00382EB4">
        <w:rPr>
          <w:b/>
        </w:rPr>
        <w:t>Large and Small Lakes</w:t>
      </w:r>
      <w:r>
        <w:t>—</w:t>
      </w:r>
      <w:r w:rsidRPr="000F332D">
        <w:t xml:space="preserve">Lakes are subdivided into two </w:t>
      </w:r>
      <w:r>
        <w:t>populations</w:t>
      </w:r>
      <w:r w:rsidRPr="000F332D">
        <w:t>:</w:t>
      </w:r>
      <w:r>
        <w:t xml:space="preserve"> </w:t>
      </w:r>
      <w:r w:rsidRPr="000F332D">
        <w:t xml:space="preserve"> </w:t>
      </w:r>
      <w:r>
        <w:t>(1)</w:t>
      </w:r>
      <w:r w:rsidRPr="000F332D">
        <w:t xml:space="preserve"> small lakes</w:t>
      </w:r>
      <w:r>
        <w:t xml:space="preserve"> </w:t>
      </w:r>
      <w:r w:rsidRPr="000F332D">
        <w:t xml:space="preserve">between </w:t>
      </w:r>
      <w:r>
        <w:t>2.5</w:t>
      </w:r>
      <w:r w:rsidRPr="000F332D">
        <w:t xml:space="preserve"> and </w:t>
      </w:r>
      <w:r>
        <w:t>25 a</w:t>
      </w:r>
      <w:r w:rsidRPr="000F332D">
        <w:t>c</w:t>
      </w:r>
      <w:r>
        <w:t xml:space="preserve">res; and </w:t>
      </w:r>
      <w:r w:rsidRPr="00C234AF">
        <w:t>(2)</w:t>
      </w:r>
      <w:r w:rsidRPr="000F332D">
        <w:t xml:space="preserve"> </w:t>
      </w:r>
      <w:r>
        <w:t>large lakes over 25 acres</w:t>
      </w:r>
      <w:r w:rsidRPr="000F332D">
        <w:t xml:space="preserve">. </w:t>
      </w:r>
      <w:r>
        <w:t xml:space="preserve"> The</w:t>
      </w:r>
      <w:r w:rsidRPr="000F332D">
        <w:t xml:space="preserve"> differentiation on the basis of size is intended to accommodate different sampling strategies and allow</w:t>
      </w:r>
      <w:r>
        <w:t>s</w:t>
      </w:r>
      <w:r w:rsidRPr="000F332D">
        <w:t xml:space="preserve"> better representation of the resource</w:t>
      </w:r>
      <w:r>
        <w:t xml:space="preserve"> types.</w:t>
      </w:r>
      <w:r w:rsidRPr="004F5832">
        <w:t xml:space="preserve"> </w:t>
      </w:r>
      <w:r>
        <w:t xml:space="preserve"> If</w:t>
      </w:r>
      <w:r w:rsidRPr="000F332D">
        <w:t xml:space="preserve"> all lakes </w:t>
      </w:r>
      <w:r>
        <w:t>were</w:t>
      </w:r>
      <w:r w:rsidRPr="000F332D">
        <w:t xml:space="preserve"> in one category</w:t>
      </w:r>
      <w:r>
        <w:t>,</w:t>
      </w:r>
      <w:r w:rsidRPr="000F332D">
        <w:t xml:space="preserve"> </w:t>
      </w:r>
      <w:r>
        <w:t>t</w:t>
      </w:r>
      <w:r w:rsidRPr="000F332D">
        <w:t xml:space="preserve">he size of large lakes would skew </w:t>
      </w:r>
      <w:r>
        <w:t xml:space="preserve">site </w:t>
      </w:r>
      <w:r w:rsidRPr="000F332D">
        <w:t>selection and cause smal</w:t>
      </w:r>
      <w:r>
        <w:t>l lakes to be under-represented.</w:t>
      </w:r>
    </w:p>
    <w:p w:rsidR="00485094" w:rsidRPr="00D47239" w:rsidRDefault="00485094" w:rsidP="00D47239">
      <w:pPr>
        <w:pStyle w:val="Bodytextreduced"/>
      </w:pPr>
    </w:p>
    <w:p w:rsidR="00485094" w:rsidRDefault="00485094" w:rsidP="00EA3D58">
      <w:pPr>
        <w:pStyle w:val="ListBullet"/>
      </w:pPr>
      <w:r w:rsidRPr="00382EB4">
        <w:rPr>
          <w:b/>
        </w:rPr>
        <w:t>Ground Water</w:t>
      </w:r>
      <w:bookmarkEnd w:id="202"/>
      <w:r>
        <w:t xml:space="preserve">—Ground water resources are </w:t>
      </w:r>
      <w:r w:rsidRPr="000F332D">
        <w:t>subdivided into two target populations</w:t>
      </w:r>
      <w:r>
        <w:t xml:space="preserve"> </w:t>
      </w:r>
      <w:r w:rsidRPr="000F332D">
        <w:t>for the purposes of sampling and resource characterization:</w:t>
      </w:r>
      <w:r>
        <w:t xml:space="preserve"> </w:t>
      </w:r>
      <w:r w:rsidRPr="000F332D">
        <w:t xml:space="preserve"> (1) unconfined aquifers and (2) confined aquifers</w:t>
      </w:r>
      <w:r w:rsidRPr="00A74AFF">
        <w:t xml:space="preserve">. </w:t>
      </w:r>
      <w:r>
        <w:t xml:space="preserve"> U</w:t>
      </w:r>
      <w:r w:rsidRPr="00A74AFF">
        <w:t xml:space="preserve">nconfined </w:t>
      </w:r>
      <w:r>
        <w:t>aquifers are</w:t>
      </w:r>
      <w:r w:rsidRPr="00A74AFF">
        <w:t xml:space="preserve"> near the land surface</w:t>
      </w:r>
      <w:r>
        <w:t xml:space="preserve"> and</w:t>
      </w:r>
      <w:r w:rsidRPr="00A74AFF">
        <w:t xml:space="preserve"> can be readily affected by human activities. </w:t>
      </w:r>
      <w:r>
        <w:t xml:space="preserve"> </w:t>
      </w:r>
      <w:r w:rsidRPr="000F332D">
        <w:t>The confined</w:t>
      </w:r>
      <w:r>
        <w:t xml:space="preserve"> </w:t>
      </w:r>
      <w:r w:rsidRPr="000F332D">
        <w:t xml:space="preserve">aquifer target population includes </w:t>
      </w:r>
      <w:r>
        <w:t>aquifers that</w:t>
      </w:r>
      <w:r w:rsidRPr="000F332D">
        <w:t xml:space="preserve"> </w:t>
      </w:r>
      <w:r>
        <w:t>are</w:t>
      </w:r>
      <w:r w:rsidRPr="000F332D">
        <w:t xml:space="preserve"> </w:t>
      </w:r>
      <w:r>
        <w:t xml:space="preserve">below a confining unit and are </w:t>
      </w:r>
      <w:r w:rsidRPr="000F332D">
        <w:t>heavily used as a source of</w:t>
      </w:r>
      <w:r>
        <w:t xml:space="preserve"> </w:t>
      </w:r>
      <w:r w:rsidRPr="000F332D">
        <w:t>water.</w:t>
      </w:r>
      <w:r>
        <w:t xml:space="preserve">  I</w:t>
      </w:r>
      <w:r w:rsidRPr="000F332D">
        <w:t xml:space="preserve">ndividual wells </w:t>
      </w:r>
      <w:r>
        <w:t xml:space="preserve">are </w:t>
      </w:r>
      <w:r w:rsidRPr="000F332D">
        <w:t>selected from a</w:t>
      </w:r>
      <w:r>
        <w:t>n</w:t>
      </w:r>
      <w:r w:rsidRPr="000F332D">
        <w:t xml:space="preserve"> </w:t>
      </w:r>
      <w:r>
        <w:t>annually updated list provided to FDEP by the water management districts.</w:t>
      </w:r>
      <w:r w:rsidRPr="00EF4CB6">
        <w:t xml:space="preserve">  The ground water target population is chosen </w:t>
      </w:r>
      <w:r>
        <w:t xml:space="preserve">to represent ambient ground water conditions, avoiding wells </w:t>
      </w:r>
      <w:r w:rsidRPr="00EF4CB6">
        <w:t xml:space="preserve">in </w:t>
      </w:r>
      <w:r>
        <w:t xml:space="preserve">areas of known contamination </w:t>
      </w:r>
      <w:r w:rsidRPr="00EF4CB6">
        <w:t>and saltwater intrusion</w:t>
      </w:r>
      <w:r>
        <w:t>.</w:t>
      </w:r>
      <w:r w:rsidRPr="00EF4CB6">
        <w:t xml:space="preserve">  Only upgradient wells from FDEP-permitted facilities</w:t>
      </w:r>
      <w:r>
        <w:t>, such as regulated landfill or wastewater treatment plants,</w:t>
      </w:r>
      <w:r w:rsidRPr="00EF4CB6">
        <w:t xml:space="preserve"> are included on the list and considered for sampling.  The target population </w:t>
      </w:r>
      <w:r>
        <w:t xml:space="preserve">also </w:t>
      </w:r>
      <w:r w:rsidRPr="00EF4CB6">
        <w:t>includes public supply wells because pumping typicall</w:t>
      </w:r>
      <w:r>
        <w:t>y removes high volumes of water.</w:t>
      </w:r>
      <w:bookmarkStart w:id="204" w:name="_Toc243369007"/>
      <w:bookmarkEnd w:id="203"/>
    </w:p>
    <w:p w:rsidR="00485094" w:rsidRDefault="00485094" w:rsidP="00EA3D58">
      <w:pPr>
        <w:pStyle w:val="Bodytextreduced"/>
      </w:pPr>
    </w:p>
    <w:p w:rsidR="00485094" w:rsidRPr="002A79CF" w:rsidRDefault="00485094" w:rsidP="00EA3D58">
      <w:pPr>
        <w:pStyle w:val="Heading3"/>
      </w:pPr>
      <w:bookmarkStart w:id="205" w:name="_Geographic_Design"/>
      <w:bookmarkStart w:id="206" w:name="_Toc248209566"/>
      <w:bookmarkStart w:id="207" w:name="_Toc255822522"/>
      <w:bookmarkStart w:id="208" w:name="_Toc262464139"/>
      <w:bookmarkStart w:id="209" w:name="_Toc271794331"/>
      <w:bookmarkEnd w:id="204"/>
      <w:bookmarkEnd w:id="205"/>
      <w:r w:rsidRPr="002A79CF">
        <w:t>Geographic Design</w:t>
      </w:r>
      <w:bookmarkEnd w:id="206"/>
      <w:r w:rsidRPr="002A79CF">
        <w:t xml:space="preserve"> and Site Selection</w:t>
      </w:r>
      <w:bookmarkEnd w:id="207"/>
      <w:bookmarkEnd w:id="208"/>
      <w:bookmarkEnd w:id="209"/>
    </w:p>
    <w:p w:rsidR="00485094" w:rsidRDefault="00485094" w:rsidP="00EA3D58">
      <w:pPr>
        <w:pStyle w:val="Bodytext"/>
      </w:pPr>
      <w:r w:rsidRPr="003D745C">
        <w:t xml:space="preserve">Location information </w:t>
      </w:r>
      <w:r>
        <w:t xml:space="preserve">for the state’s </w:t>
      </w:r>
      <w:r w:rsidRPr="003D745C">
        <w:t xml:space="preserve">water resources </w:t>
      </w:r>
      <w:r>
        <w:t xml:space="preserve">resides in </w:t>
      </w:r>
      <w:r w:rsidRPr="003D745C">
        <w:t xml:space="preserve">a </w:t>
      </w:r>
      <w:r w:rsidR="009A402D">
        <w:t>Geographic Information System (</w:t>
      </w:r>
      <w:r>
        <w:t>GIS</w:t>
      </w:r>
      <w:r w:rsidR="009A402D">
        <w:t>)</w:t>
      </w:r>
      <w:r>
        <w:t xml:space="preserve"> database.  Spatial representations of the targeted water resources are sent in a GIS file with associated information (metadata</w:t>
      </w:r>
      <w:r w:rsidRPr="0097516D">
        <w:rPr>
          <w:rStyle w:val="FootnoteReference"/>
        </w:rPr>
        <w:footnoteReference w:id="3"/>
      </w:r>
      <w:r>
        <w:t xml:space="preserve">) to the EPA in Corvallis, Oregon, for site selections.  </w:t>
      </w:r>
      <w:r w:rsidRPr="00E61C8C">
        <w:t>T</w:t>
      </w:r>
      <w:r>
        <w:t>hirty</w:t>
      </w:r>
      <w:r w:rsidRPr="00E61C8C">
        <w:t xml:space="preserve"> random primary sites and a </w:t>
      </w:r>
      <w:r>
        <w:t>5</w:t>
      </w:r>
      <w:r w:rsidRPr="00E61C8C">
        <w:t>-time oversample (alternate sites), for a total of 1</w:t>
      </w:r>
      <w:r>
        <w:t>8</w:t>
      </w:r>
      <w:r w:rsidRPr="00E61C8C">
        <w:t xml:space="preserve">0 possible sites, are selected from each water resource </w:t>
      </w:r>
      <w:r>
        <w:t xml:space="preserve">type </w:t>
      </w:r>
      <w:r w:rsidRPr="00E61C8C">
        <w:t xml:space="preserve">in each </w:t>
      </w:r>
      <w:r>
        <w:t>basin</w:t>
      </w:r>
      <w:r w:rsidRPr="00E61C8C">
        <w:t xml:space="preserve">, resulting in </w:t>
      </w:r>
      <w:r>
        <w:t>1,08</w:t>
      </w:r>
      <w:r w:rsidRPr="00E61C8C">
        <w:t>0 potential sample sites statewide</w:t>
      </w:r>
      <w:r>
        <w:t xml:space="preserve">.  </w:t>
      </w:r>
      <w:r w:rsidRPr="00E61C8C">
        <w:t xml:space="preserve">The </w:t>
      </w:r>
      <w:r>
        <w:t>alternate sites are</w:t>
      </w:r>
      <w:r w:rsidRPr="00E61C8C">
        <w:t xml:space="preserve"> required </w:t>
      </w:r>
      <w:r>
        <w:t>due to</w:t>
      </w:r>
      <w:r w:rsidRPr="00E61C8C">
        <w:t xml:space="preserve"> the high probability of sampling problems, such as </w:t>
      </w:r>
      <w:r>
        <w:t xml:space="preserve">landowner denials of </w:t>
      </w:r>
      <w:r w:rsidRPr="00E61C8C">
        <w:t>access, dry resources, and other challenges associated with random versus fixed station sampling designs</w:t>
      </w:r>
      <w:r>
        <w:t>.</w:t>
      </w:r>
    </w:p>
    <w:p w:rsidR="00485094" w:rsidRPr="00D81E68" w:rsidRDefault="00485094" w:rsidP="00EA3D58">
      <w:pPr>
        <w:pStyle w:val="Bodytextreduced"/>
      </w:pPr>
      <w:r w:rsidRPr="00D81E68">
        <w:lastRenderedPageBreak/>
        <w:t xml:space="preserve"> </w:t>
      </w:r>
    </w:p>
    <w:p w:rsidR="00485094" w:rsidRPr="00586904" w:rsidRDefault="00485094" w:rsidP="00EA3D58">
      <w:pPr>
        <w:pStyle w:val="Heading3"/>
      </w:pPr>
      <w:bookmarkStart w:id="210" w:name="_Toc248209569"/>
      <w:bookmarkStart w:id="211" w:name="_Toc255822523"/>
      <w:bookmarkStart w:id="212" w:name="_Toc262464140"/>
      <w:bookmarkStart w:id="213" w:name="_Toc271794332"/>
      <w:r w:rsidRPr="00586904">
        <w:t>Sampling and Frequency</w:t>
      </w:r>
      <w:bookmarkEnd w:id="210"/>
      <w:bookmarkEnd w:id="211"/>
      <w:bookmarkEnd w:id="212"/>
      <w:bookmarkEnd w:id="213"/>
    </w:p>
    <w:p w:rsidR="00485094" w:rsidRDefault="00485094" w:rsidP="00EA3D58">
      <w:pPr>
        <w:pStyle w:val="Bodytext"/>
        <w:rPr>
          <w:sz w:val="18"/>
          <w:szCs w:val="18"/>
        </w:rPr>
      </w:pPr>
      <w:r>
        <w:t>The annual goal of the Status Network is to collect 30 samples f</w:t>
      </w:r>
      <w:r w:rsidRPr="000F332D">
        <w:t>r</w:t>
      </w:r>
      <w:r>
        <w:t>om</w:t>
      </w:r>
      <w:r w:rsidRPr="000F332D">
        <w:t xml:space="preserve"> each water resource </w:t>
      </w:r>
      <w:r>
        <w:t xml:space="preserve">type in the basin, for a total of 180 samples statewide.  </w:t>
      </w:r>
      <w:r w:rsidRPr="00A51190">
        <w:rPr>
          <w:b/>
          <w:i/>
        </w:rPr>
        <w:t>Figure 5.1</w:t>
      </w:r>
      <w:r w:rsidRPr="00C86F09">
        <w:t xml:space="preserve"> represents the sampling scheme used from 2004 to 2008.  Each water resource type was sampled over a two</w:t>
      </w:r>
      <w:r>
        <w:t>-</w:t>
      </w:r>
      <w:r w:rsidRPr="00C86F09">
        <w:t>month period</w:t>
      </w:r>
      <w:r>
        <w:t>,</w:t>
      </w:r>
      <w:r w:rsidRPr="00C86F09">
        <w:t xml:space="preserve"> with a third “overflow” month available if needed.  The</w:t>
      </w:r>
      <w:r>
        <w:t xml:space="preserve"> state is divided into two sections, Panhandle and Peninsula, and sample collection is scheduled when water quality indicators are expected to show the greatest response or the least variability.</w:t>
      </w:r>
      <w:r w:rsidRPr="001A4617">
        <w:rPr>
          <w:sz w:val="18"/>
          <w:szCs w:val="18"/>
        </w:rPr>
        <w:t xml:space="preserve">  </w:t>
      </w:r>
    </w:p>
    <w:p w:rsidR="00485094" w:rsidRPr="00355D9D" w:rsidRDefault="00485094" w:rsidP="00EA3D58">
      <w:pPr>
        <w:pStyle w:val="Bodytext"/>
      </w:pPr>
    </w:p>
    <w:p w:rsidR="00485094" w:rsidRDefault="00485094" w:rsidP="00FF4CBF">
      <w:pPr>
        <w:pStyle w:val="Caption"/>
      </w:pPr>
      <w:bookmarkStart w:id="214" w:name="_Toc262464224"/>
      <w:bookmarkStart w:id="215" w:name="_Toc271280142"/>
      <w:r>
        <w:t>Figure 5.1.  Status Network Sampling Periods</w:t>
      </w:r>
      <w:bookmarkEnd w:id="214"/>
      <w:r>
        <w:t xml:space="preserve"> for the Florida Panhandle and Florida Peninsula</w:t>
      </w:r>
      <w:bookmarkEnd w:id="215"/>
      <w:r>
        <w:t xml:space="preserve"> </w:t>
      </w:r>
    </w:p>
    <w:p w:rsidR="00485094" w:rsidRPr="00FF4CBF" w:rsidRDefault="00485094" w:rsidP="00FF4CBF">
      <w:pPr>
        <w:pStyle w:val="Bodytext"/>
      </w:pPr>
    </w:p>
    <w:p w:rsidR="00485094" w:rsidRDefault="001717CD" w:rsidP="00EA3D58">
      <w:pPr>
        <w:pStyle w:val="Bodytextreduced"/>
      </w:pPr>
      <w:r>
        <w:rPr>
          <w:noProof/>
        </w:rPr>
        <w:drawing>
          <wp:anchor distT="0" distB="0" distL="114300" distR="114300" simplePos="0" relativeHeight="251651584" behindDoc="0" locked="0" layoutInCell="1" allowOverlap="1">
            <wp:simplePos x="0" y="0"/>
            <wp:positionH relativeFrom="column">
              <wp:align>center</wp:align>
            </wp:positionH>
            <wp:positionV relativeFrom="paragraph">
              <wp:posOffset>1905</wp:posOffset>
            </wp:positionV>
            <wp:extent cx="5486400" cy="3571240"/>
            <wp:effectExtent l="19050" t="0" r="0" b="0"/>
            <wp:wrapTopAndBottom/>
            <wp:docPr id="50" name="Picture 0" descr="Figure 5.1.  Status Network Sampling Periods for the Florida Panhandle and Florida Peninsula.  This is a chart with the months of the year across the top with the resources sampled down the side of the chart.  Months of the year are shaded to show when samples were collected for each resource in two different areas of the state, the Florida panhandle and the Florida peninsul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5.1.  Status Network Sampling Periods for the Florida Panhandle and Florida Peninsula "/>
                    <pic:cNvPicPr>
                      <a:picLocks noChangeAspect="1" noChangeArrowheads="1"/>
                    </pic:cNvPicPr>
                  </pic:nvPicPr>
                  <pic:blipFill>
                    <a:blip r:embed="rId63"/>
                    <a:srcRect l="1801" t="1733" r="2901" b="15601"/>
                    <a:stretch>
                      <a:fillRect/>
                    </a:stretch>
                  </pic:blipFill>
                  <pic:spPr bwMode="auto">
                    <a:xfrm>
                      <a:off x="0" y="0"/>
                      <a:ext cx="5486400" cy="3571240"/>
                    </a:xfrm>
                    <a:prstGeom prst="rect">
                      <a:avLst/>
                    </a:prstGeom>
                    <a:noFill/>
                    <a:ln w="9525">
                      <a:noFill/>
                      <a:miter lim="800000"/>
                      <a:headEnd/>
                      <a:tailEnd/>
                    </a:ln>
                  </pic:spPr>
                </pic:pic>
              </a:graphicData>
            </a:graphic>
          </wp:anchor>
        </w:drawing>
      </w:r>
    </w:p>
    <w:p w:rsidR="00485094" w:rsidRDefault="00485094" w:rsidP="00EA3D58">
      <w:pPr>
        <w:pStyle w:val="Bodytextreduced"/>
      </w:pPr>
      <w:bookmarkStart w:id="216" w:name="_Toc243369009"/>
    </w:p>
    <w:p w:rsidR="00485094" w:rsidRPr="002A79CF" w:rsidRDefault="00485094" w:rsidP="00EA3D58">
      <w:pPr>
        <w:pStyle w:val="Heading3"/>
      </w:pPr>
      <w:bookmarkStart w:id="217" w:name="_Toc255822524"/>
      <w:bookmarkStart w:id="218" w:name="_Toc262464141"/>
      <w:bookmarkStart w:id="219" w:name="_Toc271794333"/>
      <w:r w:rsidRPr="002A79CF">
        <w:t>Status Network Core and Supplemental Indicators</w:t>
      </w:r>
      <w:bookmarkEnd w:id="217"/>
      <w:bookmarkEnd w:id="218"/>
      <w:bookmarkEnd w:id="219"/>
    </w:p>
    <w:p w:rsidR="00485094" w:rsidRDefault="00485094" w:rsidP="00EA3D58">
      <w:pPr>
        <w:pStyle w:val="Bodytext"/>
      </w:pPr>
      <w:r w:rsidRPr="000F332D">
        <w:rPr>
          <w:snapToGrid w:val="0"/>
        </w:rPr>
        <w:t xml:space="preserve">While most </w:t>
      </w:r>
      <w:r>
        <w:rPr>
          <w:snapToGrid w:val="0"/>
        </w:rPr>
        <w:t xml:space="preserve">water quality </w:t>
      </w:r>
      <w:r w:rsidRPr="000F332D">
        <w:rPr>
          <w:snapToGrid w:val="0"/>
        </w:rPr>
        <w:t xml:space="preserve">monitoring has historically focused on chemistry, </w:t>
      </w:r>
      <w:r w:rsidRPr="000F332D">
        <w:t xml:space="preserve">FDEP’s </w:t>
      </w:r>
      <w:r>
        <w:t>Status and Trend Networks</w:t>
      </w:r>
      <w:r w:rsidRPr="000F332D">
        <w:t xml:space="preserve"> expand th</w:t>
      </w:r>
      <w:r>
        <w:t>is</w:t>
      </w:r>
      <w:r w:rsidRPr="000F332D">
        <w:t xml:space="preserve"> scope to </w:t>
      </w:r>
      <w:r>
        <w:t>include</w:t>
      </w:r>
      <w:r w:rsidRPr="000F332D">
        <w:t xml:space="preserve"> biological and physical indicators</w:t>
      </w:r>
      <w:r>
        <w:t>.</w:t>
      </w:r>
      <w:r w:rsidRPr="000F332D">
        <w:t xml:space="preserve"> </w:t>
      </w:r>
      <w:r>
        <w:t xml:space="preserve"> Together, the chemical, physical, and biological </w:t>
      </w:r>
      <w:r w:rsidRPr="000F332D">
        <w:t xml:space="preserve">indicators provide scientific information </w:t>
      </w:r>
      <w:r>
        <w:t>about</w:t>
      </w:r>
      <w:r w:rsidRPr="000F332D">
        <w:t xml:space="preserve"> the condition of </w:t>
      </w:r>
      <w:r>
        <w:t>the state’s water resources and whether they meet their designated uses based on state and EPA guidance.</w:t>
      </w:r>
      <w:r w:rsidRPr="0010357F">
        <w:t xml:space="preserve"> </w:t>
      </w:r>
      <w:r>
        <w:t xml:space="preserve"> </w:t>
      </w:r>
      <w:r>
        <w:rPr>
          <w:rFonts w:cs="Arial"/>
          <w:szCs w:val="24"/>
        </w:rPr>
        <w:t>Core indicators</w:t>
      </w:r>
      <w:r w:rsidRPr="000F332D">
        <w:rPr>
          <w:rFonts w:cs="Arial"/>
          <w:szCs w:val="24"/>
        </w:rPr>
        <w:t xml:space="preserve"> provide information about the chemical</w:t>
      </w:r>
      <w:r>
        <w:rPr>
          <w:rFonts w:cs="Arial"/>
          <w:szCs w:val="24"/>
        </w:rPr>
        <w:t>, physical,</w:t>
      </w:r>
      <w:r w:rsidRPr="000F332D">
        <w:rPr>
          <w:rFonts w:cs="Arial"/>
          <w:szCs w:val="24"/>
        </w:rPr>
        <w:t xml:space="preserve"> and biological status of surface and ground water, including suitability for human and aquatic use</w:t>
      </w:r>
      <w:r>
        <w:rPr>
          <w:rFonts w:cs="Arial"/>
          <w:szCs w:val="24"/>
        </w:rPr>
        <w:t>s</w:t>
      </w:r>
      <w:r w:rsidRPr="000F332D">
        <w:rPr>
          <w:rFonts w:cs="Arial"/>
          <w:szCs w:val="24"/>
        </w:rPr>
        <w:t xml:space="preserve">. </w:t>
      </w:r>
      <w:r>
        <w:rPr>
          <w:rFonts w:cs="Arial"/>
          <w:szCs w:val="24"/>
        </w:rPr>
        <w:t xml:space="preserve"> </w:t>
      </w:r>
      <w:r w:rsidRPr="000F332D">
        <w:rPr>
          <w:rFonts w:cs="Arial"/>
          <w:szCs w:val="24"/>
        </w:rPr>
        <w:t xml:space="preserve">These </w:t>
      </w:r>
      <w:r>
        <w:rPr>
          <w:rFonts w:cs="Arial"/>
          <w:szCs w:val="24"/>
        </w:rPr>
        <w:t>data</w:t>
      </w:r>
      <w:r w:rsidRPr="000F332D">
        <w:rPr>
          <w:rFonts w:cs="Arial"/>
          <w:szCs w:val="24"/>
        </w:rPr>
        <w:t xml:space="preserve"> can be used </w:t>
      </w:r>
      <w:r>
        <w:rPr>
          <w:rFonts w:cs="Arial"/>
          <w:szCs w:val="24"/>
        </w:rPr>
        <w:t>to</w:t>
      </w:r>
      <w:r w:rsidRPr="000F332D">
        <w:rPr>
          <w:rFonts w:cs="Arial"/>
          <w:szCs w:val="24"/>
        </w:rPr>
        <w:t xml:space="preserve"> gage condition based on </w:t>
      </w:r>
      <w:r>
        <w:rPr>
          <w:rFonts w:cs="Arial"/>
          <w:szCs w:val="24"/>
        </w:rPr>
        <w:t xml:space="preserve">water quality </w:t>
      </w:r>
      <w:r w:rsidRPr="000F332D">
        <w:rPr>
          <w:rFonts w:cs="Arial"/>
          <w:szCs w:val="24"/>
        </w:rPr>
        <w:t>standard</w:t>
      </w:r>
      <w:r>
        <w:rPr>
          <w:rFonts w:cs="Arial"/>
          <w:szCs w:val="24"/>
        </w:rPr>
        <w:t>s</w:t>
      </w:r>
      <w:r w:rsidRPr="000F332D">
        <w:rPr>
          <w:rFonts w:cs="Arial"/>
          <w:szCs w:val="24"/>
        </w:rPr>
        <w:t xml:space="preserve"> or guidance.</w:t>
      </w:r>
      <w:r>
        <w:rPr>
          <w:rFonts w:cs="Arial"/>
          <w:szCs w:val="24"/>
        </w:rPr>
        <w:t xml:space="preserve"> </w:t>
      </w:r>
      <w:r w:rsidRPr="000F332D">
        <w:rPr>
          <w:rFonts w:cs="Arial"/>
          <w:szCs w:val="24"/>
        </w:rPr>
        <w:t xml:space="preserve"> </w:t>
      </w:r>
      <w:r>
        <w:rPr>
          <w:rFonts w:cs="Arial"/>
          <w:szCs w:val="24"/>
        </w:rPr>
        <w:t>Supplemental indicators</w:t>
      </w:r>
      <w:r w:rsidRPr="000F332D">
        <w:rPr>
          <w:rFonts w:cs="Arial"/>
          <w:szCs w:val="24"/>
        </w:rPr>
        <w:t xml:space="preserve"> provide </w:t>
      </w:r>
      <w:r>
        <w:rPr>
          <w:rFonts w:cs="Arial"/>
          <w:szCs w:val="24"/>
        </w:rPr>
        <w:t xml:space="preserve">additional </w:t>
      </w:r>
      <w:r w:rsidRPr="000F332D">
        <w:rPr>
          <w:rFonts w:cs="Arial"/>
          <w:szCs w:val="24"/>
        </w:rPr>
        <w:t xml:space="preserve">information </w:t>
      </w:r>
      <w:r>
        <w:rPr>
          <w:rFonts w:cs="Arial"/>
          <w:szCs w:val="24"/>
        </w:rPr>
        <w:t xml:space="preserve">and aid in screening for potential pollutants of concern.  </w:t>
      </w:r>
      <w:r>
        <w:t>Certain b</w:t>
      </w:r>
      <w:r w:rsidRPr="000F332D">
        <w:t xml:space="preserve">iological </w:t>
      </w:r>
      <w:r>
        <w:t>indicators are collected only in</w:t>
      </w:r>
      <w:r w:rsidRPr="000F332D">
        <w:t xml:space="preserve"> rivers</w:t>
      </w:r>
      <w:r>
        <w:t xml:space="preserve">, </w:t>
      </w:r>
      <w:r w:rsidRPr="000F332D">
        <w:t>streams</w:t>
      </w:r>
      <w:r>
        <w:t>,</w:t>
      </w:r>
      <w:r w:rsidRPr="000F332D">
        <w:t xml:space="preserve"> and</w:t>
      </w:r>
      <w:r>
        <w:t xml:space="preserve"> lakes (i.e., chlorophyll </w:t>
      </w:r>
      <w:r w:rsidRPr="00DA08C4">
        <w:rPr>
          <w:i/>
        </w:rPr>
        <w:t>a</w:t>
      </w:r>
      <w:r>
        <w:t>).</w:t>
      </w:r>
    </w:p>
    <w:p w:rsidR="00485094" w:rsidRDefault="00485094" w:rsidP="00EA3D58">
      <w:pPr>
        <w:pStyle w:val="Bodytext"/>
      </w:pPr>
    </w:p>
    <w:p w:rsidR="00485094" w:rsidRDefault="00485094" w:rsidP="00EA3D58">
      <w:pPr>
        <w:pStyle w:val="Bodytext"/>
      </w:pPr>
      <w:r>
        <w:rPr>
          <w:rFonts w:cs="Arial"/>
          <w:szCs w:val="24"/>
        </w:rPr>
        <w:t>These core and supplemental indicators</w:t>
      </w:r>
      <w:r w:rsidRPr="000F332D">
        <w:rPr>
          <w:rFonts w:cs="Arial"/>
          <w:szCs w:val="24"/>
        </w:rPr>
        <w:t xml:space="preserve"> </w:t>
      </w:r>
      <w:r>
        <w:rPr>
          <w:rFonts w:cs="Arial"/>
          <w:szCs w:val="24"/>
        </w:rPr>
        <w:t>are often chosen to support special projects or used to develop water quality criteria.</w:t>
      </w:r>
      <w:r w:rsidRPr="000F332D">
        <w:t xml:space="preserve"> </w:t>
      </w:r>
      <w:r>
        <w:t xml:space="preserve"> Some indicators are combined to form indices that evaluate </w:t>
      </w:r>
      <w:r>
        <w:lastRenderedPageBreak/>
        <w:t xml:space="preserve">waterbody condition—for example, the Trophic State Index (TSI) uses TN, TP, and chlorophyll </w:t>
      </w:r>
      <w:r w:rsidRPr="009D19A3">
        <w:rPr>
          <w:i/>
        </w:rPr>
        <w:t>a</w:t>
      </w:r>
      <w:r>
        <w:t xml:space="preserve"> values to provide a broader understanding of a waterbody’s status.  Selected i</w:t>
      </w:r>
      <w:r w:rsidRPr="000F332D">
        <w:t>ndicators,</w:t>
      </w:r>
      <w:r>
        <w:t xml:space="preserve"> such as</w:t>
      </w:r>
      <w:r w:rsidRPr="000F332D">
        <w:t xml:space="preserve"> chloride, nitrate, and bacteria</w:t>
      </w:r>
      <w:r>
        <w:t>,</w:t>
      </w:r>
      <w:r w:rsidRPr="000F332D">
        <w:t xml:space="preserve"> serve to assess the suitability of </w:t>
      </w:r>
      <w:r>
        <w:t>ground water</w:t>
      </w:r>
      <w:r w:rsidRPr="000F332D">
        <w:t xml:space="preserve"> for drinking water purposes.</w:t>
      </w:r>
      <w:r>
        <w:t xml:space="preserve"> </w:t>
      </w:r>
      <w:r w:rsidRPr="000F332D">
        <w:t xml:space="preserve"> Likewise, the indicator lists for surface water resources are </w:t>
      </w:r>
      <w:r>
        <w:t>selected</w:t>
      </w:r>
      <w:r w:rsidRPr="000F332D">
        <w:t xml:space="preserve"> to detect threats to water quality, such as</w:t>
      </w:r>
      <w:r>
        <w:t xml:space="preserve"> nutrient enrichment, which can lead to </w:t>
      </w:r>
      <w:r w:rsidRPr="000F332D">
        <w:t>eutrophication and habitat loss.</w:t>
      </w:r>
      <w:r>
        <w:t xml:space="preserve">  The Status Network has supported the development of biological indices to evaluate waterbody condition in Florida, and includes sampling for both the </w:t>
      </w:r>
      <w:hyperlink r:id="rId64" w:history="1">
        <w:r w:rsidRPr="00044ABF">
          <w:rPr>
            <w:rStyle w:val="Hyperlink"/>
          </w:rPr>
          <w:t>Stream Condition Index [SCI]</w:t>
        </w:r>
      </w:hyperlink>
      <w:r>
        <w:t xml:space="preserve"> and the </w:t>
      </w:r>
      <w:hyperlink r:id="rId65" w:history="1">
        <w:r>
          <w:rPr>
            <w:rStyle w:val="Hyperlink"/>
          </w:rPr>
          <w:t>Lake V</w:t>
        </w:r>
        <w:r w:rsidRPr="00044ABF">
          <w:rPr>
            <w:rStyle w:val="Hyperlink"/>
          </w:rPr>
          <w:t>egetation Index [LVI]</w:t>
        </w:r>
      </w:hyperlink>
      <w:r w:rsidRPr="001116E4">
        <w:t>)</w:t>
      </w:r>
      <w:r>
        <w:t>.</w:t>
      </w:r>
    </w:p>
    <w:p w:rsidR="00485094" w:rsidRPr="001116E4" w:rsidRDefault="00485094" w:rsidP="00EA3D58">
      <w:pPr>
        <w:pStyle w:val="Bodytext"/>
      </w:pPr>
    </w:p>
    <w:p w:rsidR="00485094" w:rsidRDefault="00485094" w:rsidP="00EA3D58">
      <w:pPr>
        <w:pStyle w:val="Bodytext"/>
        <w:rPr>
          <w:rFonts w:cs="Arial"/>
          <w:szCs w:val="22"/>
        </w:rPr>
      </w:pPr>
      <w:r w:rsidRPr="00F17C07">
        <w:rPr>
          <w:rFonts w:cs="Arial"/>
          <w:szCs w:val="22"/>
        </w:rPr>
        <w:t>In addition to the suite of water quality indicators (</w:t>
      </w:r>
      <w:r w:rsidRPr="00F17C07">
        <w:rPr>
          <w:rFonts w:cs="Arial"/>
          <w:b/>
          <w:i/>
          <w:szCs w:val="22"/>
        </w:rPr>
        <w:t xml:space="preserve">Tables 5.2a </w:t>
      </w:r>
      <w:r w:rsidRPr="00F17C07">
        <w:rPr>
          <w:rFonts w:cs="Arial"/>
          <w:szCs w:val="22"/>
        </w:rPr>
        <w:t>through</w:t>
      </w:r>
      <w:r w:rsidRPr="00F17C07">
        <w:rPr>
          <w:rFonts w:cs="Arial"/>
          <w:b/>
          <w:i/>
          <w:szCs w:val="22"/>
        </w:rPr>
        <w:t xml:space="preserve"> 5.2f</w:t>
      </w:r>
      <w:r w:rsidRPr="00F17C07">
        <w:rPr>
          <w:rFonts w:cs="Arial"/>
          <w:szCs w:val="22"/>
        </w:rPr>
        <w:t>), sediment chemistry is a useful supplemental indicator of an aquatic system’s ecological health (</w:t>
      </w:r>
      <w:r w:rsidRPr="00F17C07">
        <w:rPr>
          <w:rFonts w:cs="Arial"/>
          <w:b/>
          <w:i/>
          <w:szCs w:val="22"/>
        </w:rPr>
        <w:t xml:space="preserve">Tables 5.3a </w:t>
      </w:r>
      <w:r w:rsidRPr="00F17C07">
        <w:rPr>
          <w:rFonts w:cs="Arial"/>
          <w:szCs w:val="22"/>
        </w:rPr>
        <w:t>through</w:t>
      </w:r>
      <w:r w:rsidRPr="00F17C07">
        <w:rPr>
          <w:rFonts w:cs="Arial"/>
          <w:b/>
          <w:i/>
          <w:szCs w:val="22"/>
        </w:rPr>
        <w:t xml:space="preserve"> 5.3c</w:t>
      </w:r>
      <w:r w:rsidRPr="00F17C07">
        <w:rPr>
          <w:rFonts w:cs="Arial"/>
          <w:szCs w:val="22"/>
        </w:rPr>
        <w:t xml:space="preserve">).  Florida has developed geochemical and biological-based tools to assess sediment quality.  </w:t>
      </w:r>
      <w:r w:rsidRPr="00F17C07">
        <w:rPr>
          <w:rFonts w:cs="Arial"/>
          <w:snapToGrid w:val="0"/>
          <w:color w:val="000000"/>
          <w:szCs w:val="22"/>
        </w:rPr>
        <w:t xml:space="preserve">The interpretation of sediment metals data is not straightforward because </w:t>
      </w:r>
      <w:r w:rsidRPr="00AA6893">
        <w:rPr>
          <w:rFonts w:cs="Arial"/>
          <w:snapToGrid w:val="0"/>
          <w:color w:val="000000"/>
          <w:szCs w:val="22"/>
        </w:rPr>
        <w:t xml:space="preserve">metals </w:t>
      </w:r>
      <w:r>
        <w:rPr>
          <w:rFonts w:cs="Arial"/>
          <w:snapToGrid w:val="0"/>
          <w:color w:val="000000"/>
          <w:szCs w:val="22"/>
        </w:rPr>
        <w:t>occur</w:t>
      </w:r>
      <w:r w:rsidRPr="00AA6893">
        <w:rPr>
          <w:rFonts w:cs="Arial"/>
          <w:snapToGrid w:val="0"/>
          <w:color w:val="000000"/>
          <w:szCs w:val="22"/>
        </w:rPr>
        <w:t xml:space="preserve"> naturally in Florida sediment.</w:t>
      </w:r>
      <w:r>
        <w:rPr>
          <w:rFonts w:cs="Arial"/>
          <w:snapToGrid w:val="0"/>
          <w:color w:val="000000"/>
          <w:szCs w:val="22"/>
        </w:rPr>
        <w:t xml:space="preserve"> </w:t>
      </w:r>
      <w:r w:rsidRPr="00AA6893">
        <w:rPr>
          <w:rFonts w:cs="Arial"/>
          <w:snapToGrid w:val="0"/>
          <w:color w:val="000000"/>
          <w:szCs w:val="22"/>
        </w:rPr>
        <w:t xml:space="preserve"> Thus, depending on the source region, Florida sediment metal </w:t>
      </w:r>
      <w:r w:rsidRPr="00537EFE">
        <w:rPr>
          <w:rFonts w:cs="Arial"/>
          <w:snapToGrid w:val="0"/>
          <w:color w:val="000000"/>
          <w:szCs w:val="22"/>
        </w:rPr>
        <w:t xml:space="preserve">concentrations range by two orders of magnitude.  </w:t>
      </w:r>
      <w:r w:rsidRPr="00537EFE">
        <w:rPr>
          <w:rFonts w:cs="Arial"/>
          <w:szCs w:val="22"/>
        </w:rPr>
        <w:t xml:space="preserve">FDEP uses the guidance outlined in </w:t>
      </w:r>
      <w:hyperlink r:id="rId66" w:history="1">
        <w:r w:rsidRPr="00537EFE">
          <w:rPr>
            <w:rStyle w:val="Hyperlink"/>
            <w:rFonts w:cs="Arial"/>
            <w:i/>
            <w:snapToGrid w:val="0"/>
            <w:szCs w:val="22"/>
          </w:rPr>
          <w:t>An Interpret</w:t>
        </w:r>
        <w:r>
          <w:rPr>
            <w:rStyle w:val="Hyperlink"/>
            <w:rFonts w:cs="Arial"/>
            <w:i/>
            <w:snapToGrid w:val="0"/>
            <w:szCs w:val="22"/>
          </w:rPr>
          <w:t>at</w:t>
        </w:r>
        <w:r w:rsidRPr="00537EFE">
          <w:rPr>
            <w:rStyle w:val="Hyperlink"/>
            <w:rFonts w:cs="Arial"/>
            <w:i/>
            <w:snapToGrid w:val="0"/>
            <w:szCs w:val="22"/>
          </w:rPr>
          <w:t>ive Tool for the Assessment of Metal Enrichment in Florida Freshwater Sediment</w:t>
        </w:r>
      </w:hyperlink>
      <w:r>
        <w:t xml:space="preserve"> (Carvalho and Schropp et al., 2003)</w:t>
      </w:r>
      <w:r w:rsidRPr="00537EFE">
        <w:t>,</w:t>
      </w:r>
      <w:r w:rsidRPr="00537EFE">
        <w:rPr>
          <w:rFonts w:cs="Arial"/>
          <w:snapToGrid w:val="0"/>
          <w:szCs w:val="22"/>
          <w:vertAlign w:val="superscript"/>
        </w:rPr>
        <w:t xml:space="preserve"> </w:t>
      </w:r>
      <w:r w:rsidRPr="00537EFE">
        <w:rPr>
          <w:rFonts w:cs="Arial"/>
          <w:snapToGrid w:val="0"/>
          <w:szCs w:val="22"/>
        </w:rPr>
        <w:t>which</w:t>
      </w:r>
      <w:r w:rsidRPr="00537EFE">
        <w:rPr>
          <w:rFonts w:cs="Arial"/>
          <w:szCs w:val="22"/>
        </w:rPr>
        <w:t xml:space="preserve"> </w:t>
      </w:r>
      <w:r w:rsidRPr="00537EFE">
        <w:rPr>
          <w:rFonts w:cs="Arial"/>
          <w:snapToGrid w:val="0"/>
          <w:szCs w:val="22"/>
        </w:rPr>
        <w:t xml:space="preserve">estimates contamination through the use of a statistical normalizing technique.  </w:t>
      </w:r>
      <w:r w:rsidRPr="00537EFE">
        <w:rPr>
          <w:rFonts w:cs="Arial"/>
          <w:szCs w:val="22"/>
        </w:rPr>
        <w:t xml:space="preserve">Additionally, FDEP follows the guidance outlined in </w:t>
      </w:r>
      <w:hyperlink r:id="rId67" w:history="1">
        <w:r w:rsidRPr="00537EFE">
          <w:rPr>
            <w:rStyle w:val="Hyperlink"/>
            <w:rFonts w:cs="Arial"/>
            <w:i/>
            <w:szCs w:val="22"/>
          </w:rPr>
          <w:t>Development and Evaluation of Numerical Sediment Quality Assessment Guidelines for Florida Inland Waters</w:t>
        </w:r>
      </w:hyperlink>
      <w:r>
        <w:t xml:space="preserve"> (MacDonald Environmental Sciences Ltd. and USGS, 2003)</w:t>
      </w:r>
      <w:r w:rsidRPr="00537EFE">
        <w:rPr>
          <w:rFonts w:cs="Arial"/>
          <w:i/>
          <w:szCs w:val="22"/>
        </w:rPr>
        <w:t>,</w:t>
      </w:r>
      <w:r w:rsidRPr="00537EFE">
        <w:rPr>
          <w:rFonts w:cs="Arial"/>
          <w:snapToGrid w:val="0"/>
          <w:szCs w:val="22"/>
          <w:vertAlign w:val="superscript"/>
        </w:rPr>
        <w:t xml:space="preserve"> </w:t>
      </w:r>
      <w:r w:rsidRPr="00537EFE">
        <w:rPr>
          <w:rFonts w:cs="Arial"/>
          <w:szCs w:val="22"/>
        </w:rPr>
        <w:t>a biolog</w:t>
      </w:r>
      <w:r>
        <w:rPr>
          <w:rFonts w:cs="Arial"/>
          <w:szCs w:val="22"/>
        </w:rPr>
        <w:t>y</w:t>
      </w:r>
      <w:r w:rsidRPr="00537EFE">
        <w:rPr>
          <w:rFonts w:cs="Arial"/>
          <w:szCs w:val="22"/>
        </w:rPr>
        <w:t>-based tool that</w:t>
      </w:r>
      <w:r w:rsidRPr="00AA6893">
        <w:rPr>
          <w:rFonts w:cs="Arial"/>
          <w:szCs w:val="22"/>
        </w:rPr>
        <w:t xml:space="preserve"> estimates the </w:t>
      </w:r>
      <w:r>
        <w:rPr>
          <w:rFonts w:cs="Arial"/>
          <w:szCs w:val="22"/>
        </w:rPr>
        <w:t>effects</w:t>
      </w:r>
      <w:r w:rsidRPr="00AA6893">
        <w:rPr>
          <w:rFonts w:cs="Arial"/>
          <w:szCs w:val="22"/>
        </w:rPr>
        <w:t xml:space="preserve"> of potentially toxic</w:t>
      </w:r>
      <w:r>
        <w:rPr>
          <w:rFonts w:cs="Arial"/>
          <w:szCs w:val="22"/>
        </w:rPr>
        <w:t xml:space="preserve"> contaminants in lake sediments. </w:t>
      </w:r>
    </w:p>
    <w:p w:rsidR="00485094" w:rsidRDefault="00485094" w:rsidP="00EA3D58">
      <w:pPr>
        <w:pStyle w:val="Bodytext"/>
        <w:rPr>
          <w:rFonts w:cs="Arial"/>
          <w:szCs w:val="22"/>
        </w:rPr>
      </w:pPr>
    </w:p>
    <w:p w:rsidR="00485094" w:rsidRDefault="00485094" w:rsidP="00EA3D58">
      <w:pPr>
        <w:pStyle w:val="Tableheading"/>
      </w:pPr>
      <w:bookmarkStart w:id="220" w:name="_Toc255482794"/>
      <w:bookmarkStart w:id="221" w:name="_Toc255807454"/>
      <w:bookmarkStart w:id="222" w:name="_Toc262464225"/>
      <w:bookmarkStart w:id="223" w:name="_Toc271889819"/>
      <w:bookmarkStart w:id="224" w:name="_Toc243369002"/>
      <w:r>
        <w:t>Table 5.2a</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Field Measurements</w:t>
      </w:r>
      <w:bookmarkEnd w:id="220"/>
      <w:bookmarkEnd w:id="221"/>
      <w:bookmarkEnd w:id="222"/>
      <w:bookmarkEnd w:id="223"/>
    </w:p>
    <w:p w:rsidR="00485094" w:rsidRDefault="00485094" w:rsidP="00EA3D58">
      <w:pPr>
        <w:pStyle w:val="Bodytextreduced"/>
        <w:rPr>
          <w:highlight w:val="yellow"/>
        </w:rPr>
      </w:pPr>
    </w:p>
    <w:p w:rsidR="00485094" w:rsidRDefault="00485094" w:rsidP="00EA3D58">
      <w:pPr>
        <w:pStyle w:val="Bodytextreduced"/>
      </w:pPr>
      <w:bookmarkStart w:id="225" w:name="_Toc255482795"/>
      <w:bookmarkEnd w:id="224"/>
      <w:r w:rsidRPr="005A1F92">
        <w:rPr>
          <w:b/>
        </w:rPr>
        <w:t>Note:</w:t>
      </w:r>
      <w:r>
        <w:t xml:space="preserve">  </w:t>
      </w:r>
      <w:r w:rsidRPr="005A1F92">
        <w:t>For</w:t>
      </w:r>
      <w:r w:rsidRPr="005A1F92">
        <w:rPr>
          <w:b/>
        </w:rPr>
        <w:t xml:space="preserve"> </w:t>
      </w:r>
      <w:r w:rsidRPr="005A1F92">
        <w:rPr>
          <w:b/>
          <w:i/>
        </w:rPr>
        <w:t xml:space="preserve">Tables </w:t>
      </w:r>
      <w:r>
        <w:rPr>
          <w:b/>
          <w:i/>
        </w:rPr>
        <w:t>5.2a</w:t>
      </w:r>
      <w:r>
        <w:t xml:space="preserve"> through </w:t>
      </w:r>
      <w:r w:rsidR="008A5E02" w:rsidRPr="008A5E02">
        <w:rPr>
          <w:b/>
          <w:i/>
        </w:rPr>
        <w:t>5.</w:t>
      </w:r>
      <w:r w:rsidRPr="005A1F92">
        <w:rPr>
          <w:b/>
          <w:i/>
        </w:rPr>
        <w:t>2f</w:t>
      </w:r>
      <w:r>
        <w:t xml:space="preserve">, all samples are unfiltered unless stated.  All methods, unless otherwise stated, are based on </w:t>
      </w:r>
      <w:r w:rsidRPr="00D278AF">
        <w:rPr>
          <w:i/>
        </w:rPr>
        <w:t>EPA 600, Methods for Chemical Analysis of Water and Wastes</w:t>
      </w:r>
      <w:r>
        <w:t>.</w:t>
      </w:r>
    </w:p>
    <w:p w:rsidR="00485094" w:rsidRPr="00EE47B8" w:rsidRDefault="00485094" w:rsidP="00EA3D58">
      <w:pPr>
        <w:pStyle w:val="Bodytextreduced"/>
      </w:pPr>
    </w:p>
    <w:p w:rsidR="00485094" w:rsidRDefault="00485094" w:rsidP="00EA3D58">
      <w:pPr>
        <w:pStyle w:val="TabledescriptionBF"/>
      </w:pPr>
      <w:r w:rsidRPr="00EE47B8">
        <w:t>This is a three-column table</w:t>
      </w:r>
      <w:r>
        <w:t xml:space="preserve">. </w:t>
      </w:r>
      <w:r w:rsidRPr="00EE47B8">
        <w:t xml:space="preserve"> Column 1 list</w:t>
      </w:r>
      <w:r>
        <w:t>s</w:t>
      </w:r>
      <w:r w:rsidRPr="00EE47B8">
        <w:t xml:space="preserve"> the indicator, Column 2 </w:t>
      </w:r>
      <w:r>
        <w:t>lists</w:t>
      </w:r>
      <w:r w:rsidRPr="00EE47B8">
        <w:t xml:space="preserve"> the analytical method numbers, and Column 3 </w:t>
      </w:r>
      <w:r>
        <w:t>lists</w:t>
      </w:r>
      <w:r w:rsidRPr="00EE47B8">
        <w:t xml:space="preserve"> the sampled resource</w:t>
      </w:r>
      <w:r w:rsidR="00F01F27">
        <w:t>(s)</w:t>
      </w:r>
      <w:r w:rsidRPr="00EE47B8">
        <w:t>.</w:t>
      </w:r>
      <w:bookmarkEnd w:id="225"/>
    </w:p>
    <w:p w:rsidR="00485094" w:rsidRPr="00EE47B8" w:rsidRDefault="00485094" w:rsidP="00EA3D58">
      <w:pPr>
        <w:pStyle w:val="TabledescriptionBF"/>
        <w:rPr>
          <w:b/>
        </w:rPr>
      </w:pP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88"/>
          <w:tblHeader/>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bookmarkStart w:id="226" w:name="OLE_LINK9"/>
            <w:r w:rsidRPr="005A1F92">
              <w:rPr>
                <w:b/>
                <w:i/>
              </w:rPr>
              <w:t>Field Measurement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Sampled Resource</w:t>
            </w:r>
            <w:r w:rsidR="00F01F27">
              <w:rPr>
                <w:b/>
                <w:i/>
              </w:rPr>
              <w:t>(</w:t>
            </w:r>
            <w:r w:rsidRPr="005A1F92">
              <w:rPr>
                <w:b/>
                <w:i/>
              </w:rPr>
              <w:t>s</w:t>
            </w:r>
            <w:r w:rsidR="00F01F27">
              <w:rPr>
                <w:b/>
                <w:i/>
              </w:rPr>
              <w:t>)</w:t>
            </w:r>
          </w:p>
        </w:tc>
      </w:tr>
      <w:tr w:rsidR="00485094" w:rsidRPr="000F352A" w:rsidTr="008F1C14">
        <w:trPr>
          <w:trHeight w:val="288"/>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pH</w:t>
            </w:r>
          </w:p>
        </w:tc>
        <w:tc>
          <w:tcPr>
            <w:tcW w:w="3037" w:type="dxa"/>
            <w:tcBorders>
              <w:top w:val="double" w:sz="4" w:space="0" w:color="auto"/>
            </w:tcBorders>
            <w:vAlign w:val="center"/>
          </w:tcPr>
          <w:p w:rsidR="00485094" w:rsidRPr="00590B64" w:rsidRDefault="00485094" w:rsidP="00453E80">
            <w:pPr>
              <w:pStyle w:val="TableText"/>
              <w:jc w:val="center"/>
            </w:pPr>
            <w:r w:rsidRPr="00590B64">
              <w:t>Method 150.1</w:t>
            </w:r>
          </w:p>
        </w:tc>
        <w:tc>
          <w:tcPr>
            <w:tcW w:w="2925" w:type="dxa"/>
            <w:tcBorders>
              <w:top w:val="double" w:sz="4" w:space="0" w:color="auto"/>
            </w:tcBorders>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Temperature</w:t>
            </w:r>
          </w:p>
        </w:tc>
        <w:tc>
          <w:tcPr>
            <w:tcW w:w="3037" w:type="dxa"/>
            <w:vAlign w:val="center"/>
          </w:tcPr>
          <w:p w:rsidR="00485094" w:rsidRPr="00590B64" w:rsidRDefault="00485094" w:rsidP="00453E80">
            <w:pPr>
              <w:pStyle w:val="TableText"/>
              <w:jc w:val="center"/>
            </w:pPr>
            <w:r w:rsidRPr="00590B64">
              <w:t>Method 170.1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Specific Conductance</w:t>
            </w:r>
          </w:p>
        </w:tc>
        <w:tc>
          <w:tcPr>
            <w:tcW w:w="3037" w:type="dxa"/>
            <w:vAlign w:val="center"/>
          </w:tcPr>
          <w:p w:rsidR="00485094" w:rsidRPr="00590B64" w:rsidRDefault="00485094" w:rsidP="00453E80">
            <w:pPr>
              <w:pStyle w:val="TableText"/>
              <w:jc w:val="center"/>
            </w:pPr>
            <w:r w:rsidRPr="00590B64">
              <w:t>Method 120.1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t>DO</w:t>
            </w:r>
          </w:p>
        </w:tc>
        <w:tc>
          <w:tcPr>
            <w:tcW w:w="3037" w:type="dxa"/>
            <w:vAlign w:val="center"/>
          </w:tcPr>
          <w:p w:rsidR="00485094" w:rsidRPr="00590B64" w:rsidRDefault="00485094" w:rsidP="00453E80">
            <w:pPr>
              <w:pStyle w:val="TableText"/>
              <w:jc w:val="center"/>
            </w:pPr>
            <w:r w:rsidRPr="00590B64">
              <w:t>Method 360.1</w:t>
            </w:r>
          </w:p>
        </w:tc>
        <w:tc>
          <w:tcPr>
            <w:tcW w:w="2925" w:type="dxa"/>
            <w:vAlign w:val="center"/>
          </w:tcPr>
          <w:p w:rsidR="00485094" w:rsidRPr="00590B64" w:rsidRDefault="00485094" w:rsidP="00453E80">
            <w:pPr>
              <w:pStyle w:val="TableText"/>
              <w:jc w:val="center"/>
            </w:pPr>
            <w:r>
              <w:t>Lakes, Streams/Rivers, 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t>Turbidity</w:t>
            </w:r>
          </w:p>
        </w:tc>
        <w:tc>
          <w:tcPr>
            <w:tcW w:w="3037" w:type="dxa"/>
            <w:vAlign w:val="center"/>
          </w:tcPr>
          <w:p w:rsidR="00485094" w:rsidRPr="00590B64" w:rsidRDefault="00485094" w:rsidP="00453E80">
            <w:pPr>
              <w:pStyle w:val="TableText"/>
              <w:jc w:val="center"/>
            </w:pPr>
            <w:r>
              <w:t>DEP-SOP-001/01 FT 1600</w:t>
            </w:r>
          </w:p>
        </w:tc>
        <w:tc>
          <w:tcPr>
            <w:tcW w:w="2925" w:type="dxa"/>
            <w:vAlign w:val="center"/>
          </w:tcPr>
          <w:p w:rsidR="00485094" w:rsidRPr="00590B64" w:rsidRDefault="00485094" w:rsidP="00453E80">
            <w:pPr>
              <w:pStyle w:val="TableText"/>
              <w:jc w:val="center"/>
            </w:pPr>
            <w:r>
              <w:t>Aquifers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Secchi Depth</w:t>
            </w:r>
          </w:p>
        </w:tc>
        <w:tc>
          <w:tcPr>
            <w:tcW w:w="3037" w:type="dxa"/>
            <w:vAlign w:val="center"/>
          </w:tcPr>
          <w:p w:rsidR="00485094" w:rsidRPr="00590B64" w:rsidRDefault="00485094" w:rsidP="00453E80">
            <w:pPr>
              <w:pStyle w:val="TableText"/>
              <w:jc w:val="center"/>
            </w:pPr>
            <w:r w:rsidRPr="00590B64">
              <w:t>Welch (1948); EPA 620/R-97/001</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Total Depth</w:t>
            </w:r>
          </w:p>
        </w:tc>
        <w:tc>
          <w:tcPr>
            <w:tcW w:w="3037"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Sample Depth</w:t>
            </w:r>
          </w:p>
        </w:tc>
        <w:tc>
          <w:tcPr>
            <w:tcW w:w="3037"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2925" w:type="dxa"/>
            <w:vAlign w:val="center"/>
          </w:tcPr>
          <w:p w:rsidR="00485094" w:rsidRPr="00590B64" w:rsidRDefault="00485094" w:rsidP="00453E80">
            <w:pPr>
              <w:pStyle w:val="TableText"/>
              <w:jc w:val="center"/>
            </w:pPr>
            <w:r>
              <w:t>Lakes, Streams/Rivers</w:t>
            </w:r>
          </w:p>
        </w:tc>
      </w:tr>
      <w:tr w:rsidR="00485094" w:rsidRPr="000F352A" w:rsidTr="008F1C14">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Micro Land Use</w:t>
            </w:r>
          </w:p>
        </w:tc>
        <w:tc>
          <w:tcPr>
            <w:tcW w:w="3037" w:type="dxa"/>
            <w:vAlign w:val="center"/>
          </w:tcPr>
          <w:p w:rsidR="00485094" w:rsidRPr="00590B64" w:rsidRDefault="00485094" w:rsidP="00453E80">
            <w:pPr>
              <w:pStyle w:val="TableText"/>
              <w:jc w:val="center"/>
            </w:pPr>
            <w:r>
              <w:t>Sampling manual (01/09), Section 4</w:t>
            </w:r>
          </w:p>
        </w:tc>
        <w:tc>
          <w:tcPr>
            <w:tcW w:w="2925" w:type="dxa"/>
            <w:vAlign w:val="center"/>
          </w:tcPr>
          <w:p w:rsidR="00485094" w:rsidRPr="00590B64" w:rsidRDefault="00485094" w:rsidP="00453E80">
            <w:pPr>
              <w:pStyle w:val="TableText"/>
              <w:jc w:val="center"/>
            </w:pPr>
            <w:r>
              <w:t>Aquifers</w:t>
            </w:r>
          </w:p>
        </w:tc>
      </w:tr>
      <w:tr w:rsidR="00485094" w:rsidRPr="000F352A" w:rsidTr="008F1C14">
        <w:trPr>
          <w:trHeight w:val="288"/>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Depth to Water</w:t>
            </w:r>
          </w:p>
        </w:tc>
        <w:tc>
          <w:tcPr>
            <w:tcW w:w="3037" w:type="dxa"/>
            <w:tcBorders>
              <w:bottom w:val="single" w:sz="2" w:space="0" w:color="auto"/>
            </w:tcBorders>
            <w:vAlign w:val="center"/>
          </w:tcPr>
          <w:p w:rsidR="00485094" w:rsidRPr="00590B64" w:rsidRDefault="00485094" w:rsidP="00453E80">
            <w:pPr>
              <w:pStyle w:val="TableText"/>
              <w:jc w:val="center"/>
            </w:pPr>
            <w:r>
              <w:t>Steel tape and/or chalk</w:t>
            </w:r>
          </w:p>
        </w:tc>
        <w:tc>
          <w:tcPr>
            <w:tcW w:w="2925" w:type="dxa"/>
            <w:tcBorders>
              <w:bottom w:val="single" w:sz="2" w:space="0" w:color="auto"/>
            </w:tcBorders>
            <w:vAlign w:val="center"/>
          </w:tcPr>
          <w:p w:rsidR="00485094" w:rsidRPr="00590B64" w:rsidRDefault="00485094" w:rsidP="00453E80">
            <w:pPr>
              <w:pStyle w:val="TableText"/>
              <w:jc w:val="center"/>
            </w:pPr>
            <w:r>
              <w:t>Aquifers</w:t>
            </w:r>
          </w:p>
        </w:tc>
      </w:tr>
      <w:bookmarkEnd w:id="226"/>
    </w:tbl>
    <w:p w:rsidR="00485094" w:rsidRDefault="00485094" w:rsidP="00EA3D58">
      <w:pPr>
        <w:pStyle w:val="Bodytextreduced"/>
      </w:pPr>
    </w:p>
    <w:p w:rsidR="00485094" w:rsidRPr="00065DA9" w:rsidRDefault="00485094" w:rsidP="00EA3D58">
      <w:pPr>
        <w:pStyle w:val="Bodytextreduced"/>
      </w:pPr>
      <w:r>
        <w:br w:type="page"/>
      </w:r>
    </w:p>
    <w:p w:rsidR="00485094" w:rsidRDefault="00485094" w:rsidP="00EA3D58">
      <w:pPr>
        <w:pStyle w:val="Tableheading"/>
      </w:pPr>
      <w:bookmarkStart w:id="227" w:name="_Toc255482796"/>
      <w:bookmarkStart w:id="228" w:name="_Toc255807455"/>
      <w:bookmarkStart w:id="229" w:name="_Toc262464226"/>
      <w:bookmarkStart w:id="230" w:name="_Toc271889820"/>
      <w:r>
        <w:lastRenderedPageBreak/>
        <w:t>Table 5.2b</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Biological and Microbiological Indicators</w:t>
      </w:r>
      <w:bookmarkEnd w:id="227"/>
      <w:bookmarkEnd w:id="228"/>
      <w:bookmarkEnd w:id="229"/>
      <w:bookmarkEnd w:id="230"/>
    </w:p>
    <w:p w:rsidR="00485094" w:rsidRDefault="00485094" w:rsidP="00EA3D58">
      <w:pPr>
        <w:pStyle w:val="TabledescriptionBF"/>
      </w:pPr>
      <w:bookmarkStart w:id="231" w:name="_Toc255482797"/>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bookmarkEnd w:id="231"/>
    </w:p>
    <w:p w:rsidR="00485094" w:rsidRDefault="00485094" w:rsidP="00EA3D58">
      <w:pPr>
        <w:pStyle w:val="Tabledescription"/>
      </w:pPr>
    </w:p>
    <w:p w:rsidR="00485094" w:rsidRDefault="00485094" w:rsidP="00EA3D58">
      <w:pPr>
        <w:rPr>
          <w:rFonts w:ascii="Arial" w:hAnsi="Arial" w:cs="Arial"/>
          <w:sz w:val="16"/>
          <w:szCs w:val="16"/>
        </w:rPr>
      </w:pPr>
      <w:r w:rsidRPr="00DB3E80">
        <w:rPr>
          <w:rFonts w:ascii="Arial" w:hAnsi="Arial" w:cs="Arial"/>
          <w:sz w:val="16"/>
          <w:szCs w:val="16"/>
          <w:vertAlign w:val="superscript"/>
        </w:rPr>
        <w:t>1</w:t>
      </w:r>
      <w:r>
        <w:rPr>
          <w:rFonts w:ascii="Arial" w:hAnsi="Arial" w:cs="Arial"/>
          <w:sz w:val="16"/>
          <w:szCs w:val="16"/>
          <w:vertAlign w:val="superscript"/>
        </w:rPr>
        <w:t xml:space="preserve"> </w:t>
      </w:r>
      <w:r>
        <w:rPr>
          <w:rFonts w:ascii="Arial" w:hAnsi="Arial" w:cs="Arial"/>
          <w:sz w:val="16"/>
          <w:szCs w:val="16"/>
        </w:rPr>
        <w:t>Dropped in 2005</w:t>
      </w:r>
    </w:p>
    <w:p w:rsidR="00485094" w:rsidRDefault="00485094" w:rsidP="00EA3D58">
      <w:r w:rsidRPr="00DB3E80">
        <w:rPr>
          <w:rFonts w:ascii="Arial" w:hAnsi="Arial" w:cs="Arial"/>
          <w:sz w:val="16"/>
          <w:szCs w:val="16"/>
          <w:vertAlign w:val="superscript"/>
        </w:rPr>
        <w:t>2</w:t>
      </w:r>
      <w:r>
        <w:rPr>
          <w:rFonts w:ascii="Arial" w:hAnsi="Arial" w:cs="Arial"/>
          <w:sz w:val="16"/>
          <w:szCs w:val="16"/>
          <w:vertAlign w:val="superscript"/>
        </w:rPr>
        <w:t xml:space="preserve"> </w:t>
      </w:r>
      <w:r w:rsidRPr="00DB3E80">
        <w:rPr>
          <w:rFonts w:ascii="Arial" w:hAnsi="Arial" w:cs="Arial"/>
          <w:sz w:val="16"/>
          <w:szCs w:val="16"/>
        </w:rPr>
        <w:t>2004</w:t>
      </w:r>
      <w:r>
        <w:rPr>
          <w:rFonts w:ascii="Arial" w:hAnsi="Arial" w:cs="Arial"/>
          <w:sz w:val="16"/>
          <w:szCs w:val="16"/>
        </w:rPr>
        <w:t>–</w:t>
      </w:r>
      <w:r w:rsidRPr="00DB3E80">
        <w:rPr>
          <w:rFonts w:ascii="Arial" w:hAnsi="Arial" w:cs="Arial"/>
          <w:sz w:val="16"/>
          <w:szCs w:val="16"/>
        </w:rPr>
        <w:t>2007 SM 9230C</w:t>
      </w:r>
      <w:r>
        <w:rPr>
          <w:rFonts w:ascii="Arial" w:hAnsi="Arial" w:cs="Arial"/>
          <w:sz w:val="16"/>
          <w:szCs w:val="16"/>
        </w:rPr>
        <w:t xml:space="preserve">  </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Biological/Microbiological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Chlorophyll</w:t>
            </w:r>
            <w:r>
              <w:t xml:space="preserve"> </w:t>
            </w:r>
            <w:r w:rsidRPr="00D278AF">
              <w:rPr>
                <w:i/>
              </w:rPr>
              <w:t>a</w:t>
            </w:r>
          </w:p>
        </w:tc>
        <w:tc>
          <w:tcPr>
            <w:tcW w:w="3037" w:type="dxa"/>
            <w:tcBorders>
              <w:top w:val="double" w:sz="4" w:space="0" w:color="auto"/>
            </w:tcBorders>
            <w:vAlign w:val="center"/>
          </w:tcPr>
          <w:p w:rsidR="00485094" w:rsidRPr="00590B64" w:rsidRDefault="00485094" w:rsidP="00453E80">
            <w:pPr>
              <w:pStyle w:val="TableText"/>
              <w:jc w:val="center"/>
            </w:pPr>
            <w:r w:rsidRPr="00590B64">
              <w:t>SM 10200 H (modified)</w:t>
            </w:r>
          </w:p>
        </w:tc>
        <w:tc>
          <w:tcPr>
            <w:tcW w:w="2925" w:type="dxa"/>
            <w:tcBorders>
              <w:top w:val="double" w:sz="4" w:space="0" w:color="auto"/>
            </w:tcBorders>
            <w:vAlign w:val="center"/>
          </w:tcPr>
          <w:p w:rsidR="00485094" w:rsidRPr="00590B64" w:rsidRDefault="00485094" w:rsidP="00453E80">
            <w:pPr>
              <w:pStyle w:val="TableText"/>
              <w:jc w:val="center"/>
            </w:pPr>
            <w:r>
              <w:t>Lakes, 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Biological Community (SCI)</w:t>
            </w:r>
          </w:p>
        </w:tc>
        <w:tc>
          <w:tcPr>
            <w:tcW w:w="3037" w:type="dxa"/>
            <w:vAlign w:val="center"/>
          </w:tcPr>
          <w:p w:rsidR="00485094" w:rsidRPr="00590B64" w:rsidRDefault="00485094" w:rsidP="00453E80">
            <w:pPr>
              <w:pStyle w:val="TableText"/>
              <w:jc w:val="center"/>
            </w:pPr>
            <w:r w:rsidRPr="00590B64">
              <w:t>SM 10500 C (modified)</w:t>
            </w:r>
          </w:p>
        </w:tc>
        <w:tc>
          <w:tcPr>
            <w:tcW w:w="2925" w:type="dxa"/>
            <w:vAlign w:val="center"/>
          </w:tcPr>
          <w:p w:rsidR="00485094" w:rsidRPr="00590B64" w:rsidRDefault="00485094" w:rsidP="00453E80">
            <w:pPr>
              <w:pStyle w:val="TableText"/>
              <w:jc w:val="center"/>
            </w:pPr>
            <w:r>
              <w:t>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t>Algal Growth Potential</w:t>
            </w:r>
            <w:r w:rsidRPr="00DB3E80">
              <w:rPr>
                <w:vertAlign w:val="superscript"/>
              </w:rPr>
              <w:t>1</w:t>
            </w:r>
          </w:p>
        </w:tc>
        <w:tc>
          <w:tcPr>
            <w:tcW w:w="3037" w:type="dxa"/>
            <w:vAlign w:val="center"/>
          </w:tcPr>
          <w:p w:rsidR="00485094" w:rsidRPr="00590B64" w:rsidRDefault="00485094" w:rsidP="00453E80">
            <w:pPr>
              <w:pStyle w:val="TableText"/>
              <w:jc w:val="center"/>
            </w:pPr>
            <w:r>
              <w:t>Method 9-78-018 (modified)</w:t>
            </w:r>
          </w:p>
        </w:tc>
        <w:tc>
          <w:tcPr>
            <w:tcW w:w="2925" w:type="dxa"/>
            <w:vAlign w:val="center"/>
          </w:tcPr>
          <w:p w:rsidR="00485094" w:rsidRDefault="00485094" w:rsidP="00453E80">
            <w:pPr>
              <w:pStyle w:val="TableText"/>
              <w:jc w:val="center"/>
            </w:pPr>
            <w:r>
              <w:t>Small 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t>Phytoplankton</w:t>
            </w:r>
          </w:p>
        </w:tc>
        <w:tc>
          <w:tcPr>
            <w:tcW w:w="3037" w:type="dxa"/>
            <w:vAlign w:val="center"/>
          </w:tcPr>
          <w:p w:rsidR="00485094" w:rsidRPr="00590B64" w:rsidRDefault="00485094" w:rsidP="00453E80">
            <w:pPr>
              <w:pStyle w:val="TableText"/>
              <w:jc w:val="center"/>
            </w:pPr>
            <w:r>
              <w:t>SM 10200 F.1; 10200 F.2</w:t>
            </w:r>
          </w:p>
        </w:tc>
        <w:tc>
          <w:tcPr>
            <w:tcW w:w="2925" w:type="dxa"/>
            <w:vAlign w:val="center"/>
          </w:tcPr>
          <w:p w:rsidR="00485094" w:rsidRDefault="00485094" w:rsidP="00453E80">
            <w:pPr>
              <w:pStyle w:val="TableText"/>
              <w:jc w:val="center"/>
            </w:pPr>
            <w:r>
              <w:t>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Habitat Assessment</w:t>
            </w:r>
          </w:p>
        </w:tc>
        <w:tc>
          <w:tcPr>
            <w:tcW w:w="3037" w:type="dxa"/>
            <w:vAlign w:val="center"/>
          </w:tcPr>
          <w:p w:rsidR="00485094" w:rsidRPr="00590B64" w:rsidRDefault="00485094" w:rsidP="00453E80">
            <w:pPr>
              <w:pStyle w:val="TableText"/>
              <w:jc w:val="center"/>
            </w:pPr>
            <w:r>
              <w:t>DEP-SOP-001/01 FT 3000</w:t>
            </w:r>
          </w:p>
        </w:tc>
        <w:tc>
          <w:tcPr>
            <w:tcW w:w="2925" w:type="dxa"/>
            <w:vAlign w:val="center"/>
          </w:tcPr>
          <w:p w:rsidR="00485094" w:rsidRPr="00590B64" w:rsidRDefault="00485094" w:rsidP="00453E80">
            <w:pPr>
              <w:pStyle w:val="TableText"/>
              <w:jc w:val="center"/>
            </w:pPr>
            <w:r>
              <w:t>Streams/Rivers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L</w:t>
            </w:r>
            <w:r>
              <w:t>VI</w:t>
            </w:r>
          </w:p>
        </w:tc>
        <w:tc>
          <w:tcPr>
            <w:tcW w:w="3037" w:type="dxa"/>
            <w:vAlign w:val="center"/>
          </w:tcPr>
          <w:p w:rsidR="00485094" w:rsidRPr="00590B64" w:rsidRDefault="00485094" w:rsidP="00453E80">
            <w:pPr>
              <w:pStyle w:val="TableText"/>
              <w:jc w:val="center"/>
            </w:pPr>
            <w:r>
              <w:t>DEP-SOP-001/01 FS 7220</w:t>
            </w:r>
          </w:p>
        </w:tc>
        <w:tc>
          <w:tcPr>
            <w:tcW w:w="2925" w:type="dxa"/>
            <w:vAlign w:val="center"/>
          </w:tcPr>
          <w:p w:rsidR="00485094" w:rsidRPr="00590B64" w:rsidRDefault="00485094" w:rsidP="00453E80">
            <w:pPr>
              <w:pStyle w:val="TableText"/>
              <w:jc w:val="center"/>
            </w:pPr>
            <w:r>
              <w:t>Small Lakes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Total Coliform</w:t>
            </w:r>
          </w:p>
        </w:tc>
        <w:tc>
          <w:tcPr>
            <w:tcW w:w="3037" w:type="dxa"/>
            <w:vAlign w:val="center"/>
          </w:tcPr>
          <w:p w:rsidR="00485094" w:rsidRPr="00590B64" w:rsidRDefault="00485094" w:rsidP="00453E80">
            <w:pPr>
              <w:pStyle w:val="TableText"/>
              <w:jc w:val="center"/>
            </w:pPr>
            <w:r w:rsidRPr="00590B64">
              <w:t xml:space="preserve">SM </w:t>
            </w:r>
            <w:r>
              <w:t>9222</w:t>
            </w:r>
            <w:r w:rsidRPr="00590B64">
              <w:t>B</w:t>
            </w:r>
          </w:p>
        </w:tc>
        <w:tc>
          <w:tcPr>
            <w:tcW w:w="2925" w:type="dxa"/>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Fecal Coliform</w:t>
            </w:r>
          </w:p>
        </w:tc>
        <w:tc>
          <w:tcPr>
            <w:tcW w:w="3037" w:type="dxa"/>
            <w:vAlign w:val="center"/>
          </w:tcPr>
          <w:p w:rsidR="00485094" w:rsidRPr="00590B64" w:rsidRDefault="00485094" w:rsidP="00453E80">
            <w:pPr>
              <w:pStyle w:val="TableText"/>
              <w:jc w:val="center"/>
            </w:pPr>
            <w:r>
              <w:t>SM 9222</w:t>
            </w:r>
            <w:r w:rsidRPr="00590B64">
              <w:t>D</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6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Enterococci</w:t>
            </w:r>
          </w:p>
        </w:tc>
        <w:tc>
          <w:tcPr>
            <w:tcW w:w="3037" w:type="dxa"/>
            <w:tcBorders>
              <w:bottom w:val="single" w:sz="2" w:space="0" w:color="auto"/>
            </w:tcBorders>
            <w:vAlign w:val="center"/>
          </w:tcPr>
          <w:p w:rsidR="00485094" w:rsidRPr="00590B64" w:rsidRDefault="00485094" w:rsidP="00453E80">
            <w:pPr>
              <w:pStyle w:val="TableText"/>
              <w:jc w:val="center"/>
            </w:pPr>
            <w:r w:rsidRPr="00590B64">
              <w:t>EPA 1600</w:t>
            </w:r>
            <w:r w:rsidRPr="00821D52">
              <w:rPr>
                <w:vertAlign w:val="superscript"/>
              </w:rPr>
              <w:t>2</w:t>
            </w:r>
          </w:p>
        </w:tc>
        <w:tc>
          <w:tcPr>
            <w:tcW w:w="2925" w:type="dxa"/>
            <w:tcBorders>
              <w:bottom w:val="single" w:sz="2" w:space="0" w:color="auto"/>
            </w:tcBorders>
            <w:vAlign w:val="center"/>
          </w:tcPr>
          <w:p w:rsidR="00485094" w:rsidRPr="00590B64" w:rsidRDefault="00485094" w:rsidP="00453E80">
            <w:pPr>
              <w:pStyle w:val="TableText"/>
              <w:jc w:val="center"/>
            </w:pPr>
            <w:r>
              <w:t>Lakes, Streams/Rivers</w:t>
            </w:r>
          </w:p>
        </w:tc>
      </w:tr>
    </w:tbl>
    <w:p w:rsidR="00485094" w:rsidRDefault="00485094" w:rsidP="00EA3D58">
      <w:pPr>
        <w:pStyle w:val="Bodytextreduced"/>
      </w:pPr>
    </w:p>
    <w:p w:rsidR="00485094" w:rsidRPr="00065DA9" w:rsidRDefault="00485094" w:rsidP="00EA3D58">
      <w:pPr>
        <w:pStyle w:val="Bodytextreduced"/>
      </w:pPr>
    </w:p>
    <w:p w:rsidR="00485094" w:rsidRDefault="00485094" w:rsidP="00EA3D58">
      <w:pPr>
        <w:pStyle w:val="Tableheading"/>
      </w:pPr>
      <w:bookmarkStart w:id="232" w:name="_Toc255482798"/>
      <w:bookmarkStart w:id="233" w:name="_Toc255807456"/>
      <w:bookmarkStart w:id="234" w:name="_Toc262464227"/>
      <w:bookmarkStart w:id="235" w:name="_Toc271889821"/>
      <w:r>
        <w:t>Table 5.2c</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Organic and Nutrient Indicators</w:t>
      </w:r>
      <w:bookmarkEnd w:id="232"/>
      <w:bookmarkEnd w:id="233"/>
      <w:bookmarkEnd w:id="234"/>
      <w:bookmarkEnd w:id="235"/>
    </w:p>
    <w:p w:rsidR="00485094" w:rsidRDefault="00485094" w:rsidP="00EA3D58">
      <w:pPr>
        <w:pStyle w:val="Bodytextreduced"/>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Organic/Nutrient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Nitrate + Nitrite</w:t>
            </w:r>
          </w:p>
        </w:tc>
        <w:tc>
          <w:tcPr>
            <w:tcW w:w="3037" w:type="dxa"/>
            <w:tcBorders>
              <w:top w:val="double" w:sz="4" w:space="0" w:color="auto"/>
            </w:tcBorders>
            <w:vAlign w:val="center"/>
          </w:tcPr>
          <w:p w:rsidR="00485094" w:rsidRPr="00590B64" w:rsidRDefault="00485094" w:rsidP="00453E80">
            <w:pPr>
              <w:pStyle w:val="TableText"/>
              <w:jc w:val="center"/>
            </w:pPr>
            <w:r w:rsidRPr="00590B64">
              <w:t>Method 353.2</w:t>
            </w:r>
          </w:p>
        </w:tc>
        <w:tc>
          <w:tcPr>
            <w:tcW w:w="2925" w:type="dxa"/>
            <w:tcBorders>
              <w:top w:val="double" w:sz="4" w:space="0" w:color="auto"/>
            </w:tcBorders>
            <w:vAlign w:val="center"/>
          </w:tcPr>
          <w:p w:rsidR="00485094" w:rsidRPr="00590B64" w:rsidRDefault="00485094" w:rsidP="00453E80">
            <w:pPr>
              <w:pStyle w:val="TableText"/>
              <w:jc w:val="center"/>
            </w:pPr>
            <w:r>
              <w:t>Lakes, Streams/Rivers, Aquifers</w:t>
            </w:r>
          </w:p>
        </w:tc>
      </w:tr>
      <w:tr w:rsidR="00485094" w:rsidRPr="00590B64" w:rsidTr="00453E80">
        <w:trPr>
          <w:trHeight w:val="288"/>
          <w:jc w:val="center"/>
        </w:trPr>
        <w:tc>
          <w:tcPr>
            <w:tcW w:w="3263" w:type="dxa"/>
            <w:shd w:val="clear" w:color="auto" w:fill="FFFFCC"/>
            <w:vAlign w:val="center"/>
          </w:tcPr>
          <w:p w:rsidR="00485094" w:rsidRPr="00590B64" w:rsidRDefault="00485094" w:rsidP="00453E80">
            <w:pPr>
              <w:pStyle w:val="TableText"/>
              <w:jc w:val="center"/>
            </w:pPr>
            <w:r w:rsidRPr="00590B64">
              <w:t>Ammonia</w:t>
            </w:r>
          </w:p>
        </w:tc>
        <w:tc>
          <w:tcPr>
            <w:tcW w:w="3037" w:type="dxa"/>
            <w:vAlign w:val="center"/>
          </w:tcPr>
          <w:p w:rsidR="00485094" w:rsidRPr="00590B64" w:rsidRDefault="00485094" w:rsidP="00453E80">
            <w:pPr>
              <w:pStyle w:val="TableText"/>
              <w:jc w:val="center"/>
            </w:pPr>
            <w:r w:rsidRPr="00590B64">
              <w:t>Method 350.1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3C6692" w:rsidP="00453E80">
            <w:pPr>
              <w:pStyle w:val="TableText"/>
              <w:jc w:val="center"/>
            </w:pPr>
            <w:r w:rsidRPr="00590B64">
              <w:t>Total Kjeldahl Nitrogen</w:t>
            </w:r>
            <w:r>
              <w:t xml:space="preserve"> (</w:t>
            </w:r>
            <w:r w:rsidR="00485094" w:rsidRPr="00590B64">
              <w:t>T</w:t>
            </w:r>
            <w:r w:rsidR="00485094">
              <w:t>KN</w:t>
            </w:r>
            <w:r>
              <w:t>)</w:t>
            </w:r>
          </w:p>
        </w:tc>
        <w:tc>
          <w:tcPr>
            <w:tcW w:w="3037" w:type="dxa"/>
            <w:vAlign w:val="center"/>
          </w:tcPr>
          <w:p w:rsidR="00485094" w:rsidRPr="00590B64" w:rsidRDefault="00485094" w:rsidP="00453E80">
            <w:pPr>
              <w:pStyle w:val="TableText"/>
              <w:jc w:val="center"/>
            </w:pPr>
            <w:r w:rsidRPr="00590B64">
              <w:t>Method 351.2</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Phosphorus</w:t>
            </w:r>
          </w:p>
        </w:tc>
        <w:tc>
          <w:tcPr>
            <w:tcW w:w="3037" w:type="dxa"/>
            <w:tcBorders>
              <w:bottom w:val="single" w:sz="2" w:space="0" w:color="auto"/>
            </w:tcBorders>
            <w:vAlign w:val="center"/>
          </w:tcPr>
          <w:p w:rsidR="00485094" w:rsidRPr="00590B64" w:rsidRDefault="00485094" w:rsidP="00453E80">
            <w:pPr>
              <w:pStyle w:val="TableText"/>
              <w:jc w:val="center"/>
            </w:pPr>
            <w:r w:rsidRPr="00590B64">
              <w:t>Method 365.1</w:t>
            </w:r>
            <w:r>
              <w:t>/365.4</w:t>
            </w:r>
          </w:p>
        </w:tc>
        <w:tc>
          <w:tcPr>
            <w:tcW w:w="2925" w:type="dxa"/>
            <w:tcBorders>
              <w:bottom w:val="single" w:sz="2" w:space="0" w:color="auto"/>
            </w:tcBorders>
            <w:vAlign w:val="center"/>
          </w:tcPr>
          <w:p w:rsidR="00485094" w:rsidRPr="00590B64" w:rsidRDefault="00485094" w:rsidP="00453E80">
            <w:pPr>
              <w:pStyle w:val="TableText"/>
              <w:jc w:val="center"/>
            </w:pPr>
            <w:r>
              <w:t>Lakes, Streams/Rivers, Aquifers</w:t>
            </w:r>
          </w:p>
        </w:tc>
      </w:tr>
    </w:tbl>
    <w:p w:rsidR="00485094" w:rsidRDefault="00485094" w:rsidP="00EA3D58">
      <w:pPr>
        <w:pStyle w:val="Bodytextreduced"/>
      </w:pPr>
    </w:p>
    <w:p w:rsidR="00485094" w:rsidRPr="00065DA9" w:rsidRDefault="00485094" w:rsidP="00EA3D58">
      <w:pPr>
        <w:pStyle w:val="Bodytextreduced"/>
      </w:pPr>
    </w:p>
    <w:p w:rsidR="00485094" w:rsidRDefault="00485094" w:rsidP="00EA3D58">
      <w:pPr>
        <w:pStyle w:val="Tableheading"/>
      </w:pPr>
      <w:bookmarkStart w:id="236" w:name="_Toc255482800"/>
      <w:bookmarkStart w:id="237" w:name="_Toc255807458"/>
      <w:bookmarkStart w:id="238" w:name="_Toc262464228"/>
      <w:bookmarkStart w:id="239" w:name="_Toc271889822"/>
      <w:r>
        <w:t>Table 5.2d</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Major Ion Indicators</w:t>
      </w:r>
      <w:bookmarkEnd w:id="236"/>
      <w:bookmarkEnd w:id="237"/>
      <w:bookmarkEnd w:id="238"/>
      <w:bookmarkEnd w:id="239"/>
    </w:p>
    <w:p w:rsidR="00485094" w:rsidRDefault="00485094" w:rsidP="00EA3D58">
      <w:pPr>
        <w:pStyle w:val="Bodytextreduced"/>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Major Ion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Chloride</w:t>
            </w:r>
          </w:p>
        </w:tc>
        <w:tc>
          <w:tcPr>
            <w:tcW w:w="3037" w:type="dxa"/>
            <w:tcBorders>
              <w:top w:val="double" w:sz="4" w:space="0" w:color="auto"/>
            </w:tcBorders>
            <w:vAlign w:val="center"/>
          </w:tcPr>
          <w:p w:rsidR="00485094" w:rsidRPr="00590B64" w:rsidRDefault="00485094" w:rsidP="00453E80">
            <w:pPr>
              <w:pStyle w:val="TableText"/>
              <w:jc w:val="center"/>
            </w:pPr>
            <w:r w:rsidRPr="00590B64">
              <w:t>Method 300</w:t>
            </w:r>
          </w:p>
        </w:tc>
        <w:tc>
          <w:tcPr>
            <w:tcW w:w="2925" w:type="dxa"/>
            <w:tcBorders>
              <w:top w:val="double" w:sz="4" w:space="0" w:color="auto"/>
            </w:tcBorders>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Sulfate</w:t>
            </w:r>
          </w:p>
        </w:tc>
        <w:tc>
          <w:tcPr>
            <w:tcW w:w="3037" w:type="dxa"/>
            <w:vAlign w:val="center"/>
          </w:tcPr>
          <w:p w:rsidR="00485094" w:rsidRPr="00590B64" w:rsidRDefault="00485094" w:rsidP="00453E80">
            <w:pPr>
              <w:pStyle w:val="TableText"/>
              <w:jc w:val="center"/>
            </w:pPr>
            <w:r w:rsidRPr="00590B64">
              <w:t>Method 300</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Fluoride</w:t>
            </w:r>
          </w:p>
        </w:tc>
        <w:tc>
          <w:tcPr>
            <w:tcW w:w="3037" w:type="dxa"/>
            <w:vAlign w:val="center"/>
          </w:tcPr>
          <w:p w:rsidR="00485094" w:rsidRPr="00590B64" w:rsidRDefault="00485094" w:rsidP="00453E80">
            <w:pPr>
              <w:pStyle w:val="TableText"/>
              <w:jc w:val="center"/>
            </w:pPr>
            <w:r>
              <w:t>Method 340.2</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Calcium</w:t>
            </w:r>
          </w:p>
        </w:tc>
        <w:tc>
          <w:tcPr>
            <w:tcW w:w="3037" w:type="dxa"/>
            <w:vAlign w:val="center"/>
          </w:tcPr>
          <w:p w:rsidR="00485094" w:rsidRPr="00590B64" w:rsidRDefault="00485094" w:rsidP="00453E80">
            <w:pPr>
              <w:pStyle w:val="TableText"/>
              <w:jc w:val="center"/>
            </w:pPr>
            <w:r w:rsidRPr="00590B64">
              <w:t>Method 200.7</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Magnesium</w:t>
            </w:r>
          </w:p>
        </w:tc>
        <w:tc>
          <w:tcPr>
            <w:tcW w:w="3037" w:type="dxa"/>
            <w:vAlign w:val="center"/>
          </w:tcPr>
          <w:p w:rsidR="00485094" w:rsidRPr="00590B64" w:rsidRDefault="00485094" w:rsidP="00453E80">
            <w:pPr>
              <w:pStyle w:val="TableText"/>
              <w:jc w:val="center"/>
            </w:pPr>
            <w:r w:rsidRPr="00590B64">
              <w:t>Method 200.7</w:t>
            </w:r>
          </w:p>
        </w:tc>
        <w:tc>
          <w:tcPr>
            <w:tcW w:w="2925" w:type="dxa"/>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Sodium</w:t>
            </w:r>
          </w:p>
        </w:tc>
        <w:tc>
          <w:tcPr>
            <w:tcW w:w="3037" w:type="dxa"/>
            <w:tcBorders>
              <w:bottom w:val="single" w:sz="2" w:space="0" w:color="auto"/>
            </w:tcBorders>
            <w:vAlign w:val="center"/>
          </w:tcPr>
          <w:p w:rsidR="00485094" w:rsidRPr="00590B64" w:rsidRDefault="00485094" w:rsidP="00453E80">
            <w:pPr>
              <w:pStyle w:val="TableText"/>
              <w:jc w:val="center"/>
            </w:pPr>
            <w:r w:rsidRPr="00590B64">
              <w:t>Method 200.7</w:t>
            </w:r>
          </w:p>
        </w:tc>
        <w:tc>
          <w:tcPr>
            <w:tcW w:w="2925" w:type="dxa"/>
            <w:tcBorders>
              <w:bottom w:val="single" w:sz="2" w:space="0" w:color="auto"/>
            </w:tcBorders>
            <w:vAlign w:val="center"/>
          </w:tcPr>
          <w:p w:rsidR="00485094" w:rsidRPr="00821D52" w:rsidRDefault="00485094" w:rsidP="00453E80">
            <w:pPr>
              <w:jc w:val="center"/>
              <w:rPr>
                <w:rFonts w:ascii="Arial" w:hAnsi="Arial" w:cs="Arial"/>
                <w:sz w:val="18"/>
                <w:szCs w:val="18"/>
              </w:rPr>
            </w:pPr>
            <w:r w:rsidRPr="00821D52">
              <w:rPr>
                <w:rFonts w:ascii="Arial" w:hAnsi="Arial" w:cs="Arial"/>
                <w:sz w:val="18"/>
                <w:szCs w:val="18"/>
              </w:rPr>
              <w:t>Aquifers</w:t>
            </w:r>
          </w:p>
        </w:tc>
      </w:tr>
    </w:tbl>
    <w:p w:rsidR="00485094" w:rsidRDefault="00485094" w:rsidP="00EA3D58">
      <w:pPr>
        <w:pStyle w:val="Bodytext"/>
        <w:rPr>
          <w:sz w:val="18"/>
          <w:szCs w:val="18"/>
        </w:rPr>
      </w:pPr>
    </w:p>
    <w:p w:rsidR="00485094" w:rsidRDefault="00485094" w:rsidP="00EA3D58">
      <w:pPr>
        <w:pStyle w:val="Bodytext"/>
        <w:rPr>
          <w:sz w:val="18"/>
          <w:szCs w:val="18"/>
        </w:rPr>
      </w:pPr>
    </w:p>
    <w:p w:rsidR="00485094" w:rsidRDefault="00485094" w:rsidP="00EA3D58">
      <w:pPr>
        <w:pStyle w:val="Tableheading"/>
      </w:pPr>
      <w:bookmarkStart w:id="240" w:name="_Toc255482802"/>
      <w:bookmarkStart w:id="241" w:name="_Toc255807460"/>
      <w:bookmarkStart w:id="242" w:name="_Toc262464229"/>
      <w:bookmarkStart w:id="243" w:name="_Toc271889823"/>
      <w:r>
        <w:t>Table 5.2e</w:t>
      </w:r>
      <w:r w:rsidRPr="00D33C11">
        <w:t>.</w:t>
      </w:r>
      <w:r>
        <w:t xml:space="preserve">  </w:t>
      </w:r>
      <w:r w:rsidRPr="00D33C11">
        <w:t xml:space="preserve">Status Network </w:t>
      </w:r>
      <w:r>
        <w:t>C</w:t>
      </w:r>
      <w:r w:rsidRPr="00D33C11">
        <w:t xml:space="preserve">ore and </w:t>
      </w:r>
      <w:r>
        <w:t>S</w:t>
      </w:r>
      <w:r w:rsidRPr="00D33C11">
        <w:t xml:space="preserve">upplemental </w:t>
      </w:r>
      <w:r>
        <w:t>I</w:t>
      </w:r>
      <w:r w:rsidRPr="00D33C11">
        <w:t>ndicators</w:t>
      </w:r>
      <w:r>
        <w:t xml:space="preserve"> for Metal Indicators</w:t>
      </w:r>
      <w:bookmarkEnd w:id="240"/>
      <w:bookmarkEnd w:id="241"/>
      <w:bookmarkEnd w:id="242"/>
      <w:bookmarkEnd w:id="243"/>
    </w:p>
    <w:p w:rsidR="00485094" w:rsidRDefault="00485094" w:rsidP="00EA3D58">
      <w:pPr>
        <w:pStyle w:val="Bodytext"/>
        <w:rPr>
          <w:sz w:val="18"/>
          <w:szCs w:val="18"/>
        </w:rPr>
      </w:pPr>
    </w:p>
    <w:p w:rsidR="00485094" w:rsidRDefault="00485094" w:rsidP="00EA3D58">
      <w:pPr>
        <w:pStyle w:val="TabledescriptionBF"/>
      </w:pPr>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lang w:val="pt-BR"/>
              </w:rPr>
            </w:pPr>
            <w:r w:rsidRPr="005A1F92">
              <w:rPr>
                <w:b/>
                <w:i/>
                <w:lang w:val="pt-BR"/>
              </w:rPr>
              <w:t>Metal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bottom w:val="single" w:sz="2" w:space="0" w:color="auto"/>
            </w:tcBorders>
            <w:shd w:val="clear" w:color="auto" w:fill="FFFFCC"/>
            <w:vAlign w:val="center"/>
          </w:tcPr>
          <w:p w:rsidR="00485094" w:rsidRPr="00590B64" w:rsidRDefault="00485094" w:rsidP="00453E80">
            <w:pPr>
              <w:pStyle w:val="TableText"/>
              <w:jc w:val="center"/>
              <w:rPr>
                <w:lang w:val="pt-BR"/>
              </w:rPr>
            </w:pPr>
            <w:r w:rsidRPr="00590B64">
              <w:rPr>
                <w:lang w:val="pt-BR"/>
              </w:rPr>
              <w:t>Al</w:t>
            </w:r>
            <w:r>
              <w:rPr>
                <w:lang w:val="pt-BR"/>
              </w:rPr>
              <w:t>uminum</w:t>
            </w:r>
            <w:r w:rsidRPr="00590B64">
              <w:rPr>
                <w:lang w:val="pt-BR"/>
              </w:rPr>
              <w:t>,</w:t>
            </w:r>
            <w:r>
              <w:rPr>
                <w:lang w:val="pt-BR"/>
              </w:rPr>
              <w:t xml:space="preserve"> </w:t>
            </w: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w:t>
            </w:r>
            <w:r w:rsidRPr="00590B64">
              <w:rPr>
                <w:lang w:val="pt-BR"/>
              </w:rPr>
              <w:t>Ca</w:t>
            </w:r>
            <w:r>
              <w:rPr>
                <w:lang w:val="pt-BR"/>
              </w:rPr>
              <w:t>lcium, Ca</w:t>
            </w:r>
            <w:r w:rsidRPr="00590B64">
              <w:rPr>
                <w:lang w:val="pt-BR"/>
              </w:rPr>
              <w:t>d</w:t>
            </w:r>
            <w:r>
              <w:rPr>
                <w:lang w:val="pt-BR"/>
              </w:rPr>
              <w:t>mium</w:t>
            </w:r>
            <w:r w:rsidRPr="00590B64">
              <w:rPr>
                <w:lang w:val="pt-BR"/>
              </w:rPr>
              <w:t>,</w:t>
            </w:r>
            <w:r>
              <w:rPr>
                <w:lang w:val="pt-BR"/>
              </w:rPr>
              <w:t xml:space="preserve"> </w:t>
            </w:r>
            <w:r w:rsidRPr="00590B64">
              <w:rPr>
                <w:lang w:val="pt-BR"/>
              </w:rPr>
              <w:t>C</w:t>
            </w:r>
            <w:r>
              <w:rPr>
                <w:lang w:val="pt-BR"/>
              </w:rPr>
              <w:t>h</w:t>
            </w:r>
            <w:r w:rsidRPr="00590B64">
              <w:rPr>
                <w:lang w:val="pt-BR"/>
              </w:rPr>
              <w:t>r</w:t>
            </w:r>
            <w:r>
              <w:rPr>
                <w:lang w:val="pt-BR"/>
              </w:rPr>
              <w:t>omium</w:t>
            </w:r>
            <w:r w:rsidRPr="00590B64">
              <w:rPr>
                <w:lang w:val="pt-BR"/>
              </w:rPr>
              <w:t>,</w:t>
            </w:r>
            <w:r>
              <w:rPr>
                <w:lang w:val="pt-BR"/>
              </w:rPr>
              <w:t xml:space="preserve"> </w:t>
            </w:r>
            <w:r w:rsidRPr="00590B64">
              <w:rPr>
                <w:lang w:val="pt-BR"/>
              </w:rPr>
              <w:t>C</w:t>
            </w:r>
            <w:r>
              <w:rPr>
                <w:lang w:val="pt-BR"/>
              </w:rPr>
              <w:t>opper</w:t>
            </w:r>
            <w:r w:rsidRPr="00590B64">
              <w:rPr>
                <w:lang w:val="pt-BR"/>
              </w:rPr>
              <w:t>,</w:t>
            </w:r>
            <w:r>
              <w:rPr>
                <w:lang w:val="pt-BR"/>
              </w:rPr>
              <w:t xml:space="preserve"> Iron</w:t>
            </w:r>
            <w:r w:rsidRPr="00590B64">
              <w:rPr>
                <w:lang w:val="pt-BR"/>
              </w:rPr>
              <w:t>,</w:t>
            </w:r>
            <w:r>
              <w:rPr>
                <w:lang w:val="pt-BR"/>
              </w:rPr>
              <w:t xml:space="preserve"> Lead</w:t>
            </w:r>
            <w:r w:rsidRPr="00590B64">
              <w:rPr>
                <w:lang w:val="pt-BR"/>
              </w:rPr>
              <w:t>,</w:t>
            </w:r>
            <w:r>
              <w:rPr>
                <w:lang w:val="pt-BR"/>
              </w:rPr>
              <w:t xml:space="preserve"> </w:t>
            </w:r>
            <w:r w:rsidRPr="00590B64">
              <w:rPr>
                <w:lang w:val="pt-BR"/>
              </w:rPr>
              <w:t>M</w:t>
            </w:r>
            <w:r>
              <w:rPr>
                <w:lang w:val="pt-BR"/>
              </w:rPr>
              <w:t>a</w:t>
            </w:r>
            <w:r w:rsidRPr="00590B64">
              <w:rPr>
                <w:lang w:val="pt-BR"/>
              </w:rPr>
              <w:t>g</w:t>
            </w:r>
            <w:r>
              <w:rPr>
                <w:lang w:val="pt-BR"/>
              </w:rPr>
              <w:t>nesium</w:t>
            </w:r>
            <w:r w:rsidRPr="00590B64">
              <w:rPr>
                <w:lang w:val="pt-BR"/>
              </w:rPr>
              <w:t>,</w:t>
            </w:r>
            <w:r>
              <w:rPr>
                <w:lang w:val="pt-BR"/>
              </w:rPr>
              <w:t xml:space="preserve"> </w:t>
            </w:r>
            <w:r w:rsidRPr="00590B64">
              <w:rPr>
                <w:lang w:val="pt-BR"/>
              </w:rPr>
              <w:t>M</w:t>
            </w:r>
            <w:r>
              <w:rPr>
                <w:lang w:val="pt-BR"/>
              </w:rPr>
              <w:t>anganese</w:t>
            </w:r>
            <w:r w:rsidRPr="00590B64">
              <w:rPr>
                <w:lang w:val="pt-BR"/>
              </w:rPr>
              <w:t>,</w:t>
            </w:r>
            <w:r>
              <w:rPr>
                <w:lang w:val="pt-BR"/>
              </w:rPr>
              <w:t xml:space="preserve"> Sodium</w:t>
            </w:r>
            <w:r w:rsidRPr="00590B64">
              <w:rPr>
                <w:lang w:val="pt-BR"/>
              </w:rPr>
              <w:t>,</w:t>
            </w:r>
            <w:r>
              <w:rPr>
                <w:lang w:val="pt-BR"/>
              </w:rPr>
              <w:t xml:space="preserve"> </w:t>
            </w:r>
            <w:r w:rsidRPr="00590B64">
              <w:rPr>
                <w:lang w:val="pt-BR"/>
              </w:rPr>
              <w:t>Z</w:t>
            </w:r>
            <w:r>
              <w:rPr>
                <w:lang w:val="pt-BR"/>
              </w:rPr>
              <w:t>i</w:t>
            </w:r>
            <w:r w:rsidRPr="00590B64">
              <w:rPr>
                <w:lang w:val="pt-BR"/>
              </w:rPr>
              <w:t>n</w:t>
            </w:r>
            <w:r>
              <w:rPr>
                <w:lang w:val="pt-BR"/>
              </w:rPr>
              <w:t>c</w:t>
            </w:r>
          </w:p>
        </w:tc>
        <w:tc>
          <w:tcPr>
            <w:tcW w:w="3037" w:type="dxa"/>
            <w:tcBorders>
              <w:top w:val="double" w:sz="4" w:space="0" w:color="auto"/>
              <w:bottom w:val="single" w:sz="2" w:space="0" w:color="auto"/>
            </w:tcBorders>
            <w:vAlign w:val="center"/>
          </w:tcPr>
          <w:p w:rsidR="00485094" w:rsidRPr="00590B64" w:rsidRDefault="00485094" w:rsidP="00453E80">
            <w:pPr>
              <w:pStyle w:val="TableText"/>
              <w:jc w:val="center"/>
              <w:rPr>
                <w:lang w:val="pt-BR"/>
              </w:rPr>
            </w:pPr>
            <w:r w:rsidRPr="00590B64">
              <w:t xml:space="preserve">Method </w:t>
            </w:r>
            <w:r>
              <w:t>200.7/200.8</w:t>
            </w:r>
          </w:p>
        </w:tc>
        <w:tc>
          <w:tcPr>
            <w:tcW w:w="2925" w:type="dxa"/>
            <w:tcBorders>
              <w:top w:val="double" w:sz="4" w:space="0" w:color="auto"/>
              <w:bottom w:val="single" w:sz="2" w:space="0" w:color="auto"/>
            </w:tcBorders>
            <w:vAlign w:val="center"/>
          </w:tcPr>
          <w:p w:rsidR="00485094" w:rsidRPr="00590B64" w:rsidRDefault="00485094" w:rsidP="00453E80">
            <w:pPr>
              <w:pStyle w:val="TableText"/>
              <w:jc w:val="center"/>
            </w:pPr>
            <w:r>
              <w:t>Aquifers</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244" w:name="_Toc255482804"/>
      <w:bookmarkStart w:id="245" w:name="_Toc255807462"/>
      <w:bookmarkStart w:id="246" w:name="_Toc262464230"/>
      <w:bookmarkStart w:id="247" w:name="_Toc271889824"/>
      <w:r>
        <w:lastRenderedPageBreak/>
        <w:t xml:space="preserve">Table 5.2f.  </w:t>
      </w:r>
      <w:r w:rsidRPr="00D33C11">
        <w:t xml:space="preserve">Status Network </w:t>
      </w:r>
      <w:r>
        <w:t>C</w:t>
      </w:r>
      <w:r w:rsidRPr="00D33C11">
        <w:t xml:space="preserve">ore and </w:t>
      </w:r>
      <w:r>
        <w:t>S</w:t>
      </w:r>
      <w:r w:rsidRPr="00D33C11">
        <w:t xml:space="preserve">upplemental </w:t>
      </w:r>
      <w:r>
        <w:t>I</w:t>
      </w:r>
      <w:r w:rsidRPr="00D33C11">
        <w:t>ndicators</w:t>
      </w:r>
      <w:r>
        <w:t xml:space="preserve"> for Physical Property Indicators</w:t>
      </w:r>
      <w:bookmarkEnd w:id="244"/>
      <w:bookmarkEnd w:id="245"/>
      <w:bookmarkEnd w:id="246"/>
      <w:bookmarkEnd w:id="247"/>
    </w:p>
    <w:p w:rsidR="00485094" w:rsidRDefault="00485094" w:rsidP="00EA3D58">
      <w:pPr>
        <w:pStyle w:val="TabledescriptionBF"/>
      </w:pPr>
      <w:bookmarkStart w:id="248" w:name="_Toc255482805"/>
      <w:bookmarkStart w:id="249" w:name="_Toc255807463"/>
      <w:r>
        <w:t>This is a three-</w:t>
      </w:r>
      <w:r w:rsidRPr="00065DA9">
        <w:t>column table</w:t>
      </w:r>
      <w:r>
        <w:t>.  Column 1 lists t</w:t>
      </w:r>
      <w:r w:rsidRPr="00065DA9">
        <w:t xml:space="preserve">he indicator, </w:t>
      </w:r>
      <w:r>
        <w:t>Column 2</w:t>
      </w:r>
      <w:r w:rsidRPr="00065DA9">
        <w:t xml:space="preserve"> </w:t>
      </w:r>
      <w:r>
        <w:t xml:space="preserve">lists </w:t>
      </w:r>
      <w:r w:rsidRPr="00065DA9">
        <w:t xml:space="preserve">the analytical method numbers, and </w:t>
      </w:r>
      <w:r>
        <w:t xml:space="preserve">Column 3 lists the </w:t>
      </w:r>
      <w:r w:rsidRPr="00065DA9">
        <w:t xml:space="preserve">sampled </w:t>
      </w:r>
      <w:r w:rsidR="00F01F27" w:rsidRPr="00EE47B8">
        <w:t>resource</w:t>
      </w:r>
      <w:r w:rsidR="00F01F27">
        <w:t>(s)</w:t>
      </w:r>
      <w:r>
        <w:t>.</w:t>
      </w:r>
      <w:bookmarkEnd w:id="248"/>
      <w:bookmarkEnd w:id="249"/>
    </w:p>
    <w:p w:rsidR="00485094" w:rsidRDefault="00485094" w:rsidP="00EA3D58">
      <w:pPr>
        <w:pStyle w:val="Tableheading"/>
        <w:rPr>
          <w:b w:val="0"/>
          <w:sz w:val="18"/>
          <w:szCs w:val="18"/>
        </w:rPr>
      </w:pPr>
    </w:p>
    <w:p w:rsidR="00485094" w:rsidRPr="00DB3E80" w:rsidRDefault="00485094" w:rsidP="00EA3D58">
      <w:pPr>
        <w:rPr>
          <w:rFonts w:ascii="Arial" w:hAnsi="Arial" w:cs="Arial"/>
          <w:sz w:val="16"/>
          <w:szCs w:val="16"/>
        </w:rPr>
      </w:pPr>
      <w:r w:rsidRPr="00DB3E80">
        <w:rPr>
          <w:rFonts w:ascii="Arial" w:hAnsi="Arial" w:cs="Arial"/>
          <w:sz w:val="16"/>
          <w:szCs w:val="16"/>
          <w:vertAlign w:val="superscript"/>
        </w:rPr>
        <w:t>1</w:t>
      </w:r>
      <w:r>
        <w:rPr>
          <w:rFonts w:ascii="Arial" w:hAnsi="Arial" w:cs="Arial"/>
          <w:sz w:val="16"/>
          <w:szCs w:val="16"/>
          <w:vertAlign w:val="superscript"/>
        </w:rPr>
        <w:t xml:space="preserve"> </w:t>
      </w:r>
      <w:r>
        <w:rPr>
          <w:rFonts w:ascii="Arial" w:hAnsi="Arial" w:cs="Arial"/>
          <w:sz w:val="16"/>
          <w:szCs w:val="16"/>
        </w:rPr>
        <w:t xml:space="preserve">Added in </w:t>
      </w:r>
      <w:r w:rsidRPr="00DB3E80">
        <w:rPr>
          <w:rFonts w:ascii="Arial" w:hAnsi="Arial" w:cs="Arial"/>
          <w:sz w:val="16"/>
          <w:szCs w:val="16"/>
        </w:rPr>
        <w:t>2006</w:t>
      </w:r>
      <w:r>
        <w:rPr>
          <w:rFonts w:ascii="Arial" w:hAnsi="Arial" w:cs="Arial"/>
          <w:sz w:val="16"/>
          <w:szCs w:val="16"/>
        </w:rPr>
        <w:t xml:space="preserve">  </w:t>
      </w:r>
    </w:p>
    <w:tbl>
      <w:tblPr>
        <w:tblW w:w="9225" w:type="dxa"/>
        <w:jc w:val="center"/>
        <w:tblInd w:w="-360"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263"/>
        <w:gridCol w:w="3037"/>
        <w:gridCol w:w="2925"/>
      </w:tblGrid>
      <w:tr w:rsidR="00485094" w:rsidRPr="005A1F92" w:rsidTr="000F2909">
        <w:trPr>
          <w:trHeight w:val="235"/>
          <w:jc w:val="center"/>
        </w:trPr>
        <w:tc>
          <w:tcPr>
            <w:tcW w:w="3263"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Physical Property Indicator</w:t>
            </w:r>
          </w:p>
        </w:tc>
        <w:tc>
          <w:tcPr>
            <w:tcW w:w="30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c>
          <w:tcPr>
            <w:tcW w:w="2925"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 xml:space="preserve">Sampled </w:t>
            </w:r>
            <w:r w:rsidR="00F01F27" w:rsidRPr="005A1F92">
              <w:rPr>
                <w:b/>
                <w:i/>
              </w:rPr>
              <w:t>Resource</w:t>
            </w:r>
            <w:r w:rsidR="00F01F27">
              <w:rPr>
                <w:b/>
                <w:i/>
              </w:rPr>
              <w:t>(</w:t>
            </w:r>
            <w:r w:rsidR="00F01F27" w:rsidRPr="005A1F92">
              <w:rPr>
                <w:b/>
                <w:i/>
              </w:rPr>
              <w:t>s</w:t>
            </w:r>
            <w:r w:rsidR="00F01F27">
              <w:rPr>
                <w:b/>
                <w:i/>
              </w:rPr>
              <w:t>)</w:t>
            </w:r>
          </w:p>
        </w:tc>
      </w:tr>
      <w:tr w:rsidR="00485094" w:rsidRPr="00590B64" w:rsidTr="00453E80">
        <w:trPr>
          <w:trHeight w:val="235"/>
          <w:jc w:val="center"/>
        </w:trPr>
        <w:tc>
          <w:tcPr>
            <w:tcW w:w="3263" w:type="dxa"/>
            <w:tcBorders>
              <w:top w:val="double" w:sz="4" w:space="0" w:color="auto"/>
            </w:tcBorders>
            <w:shd w:val="clear" w:color="auto" w:fill="FFFFCC"/>
            <w:vAlign w:val="center"/>
          </w:tcPr>
          <w:p w:rsidR="00485094" w:rsidRPr="00590B64" w:rsidRDefault="00485094" w:rsidP="00453E80">
            <w:pPr>
              <w:pStyle w:val="TableText"/>
              <w:jc w:val="center"/>
            </w:pPr>
            <w:r w:rsidRPr="00590B64">
              <w:t>Alkalinity</w:t>
            </w:r>
          </w:p>
        </w:tc>
        <w:tc>
          <w:tcPr>
            <w:tcW w:w="3037" w:type="dxa"/>
            <w:tcBorders>
              <w:top w:val="double" w:sz="4" w:space="0" w:color="auto"/>
            </w:tcBorders>
            <w:vAlign w:val="center"/>
          </w:tcPr>
          <w:p w:rsidR="00485094" w:rsidRPr="00590B64" w:rsidRDefault="00485094" w:rsidP="00453E80">
            <w:pPr>
              <w:pStyle w:val="TableText"/>
              <w:jc w:val="center"/>
            </w:pPr>
            <w:r>
              <w:t>Method 310.1</w:t>
            </w:r>
          </w:p>
        </w:tc>
        <w:tc>
          <w:tcPr>
            <w:tcW w:w="2925" w:type="dxa"/>
            <w:tcBorders>
              <w:top w:val="double" w:sz="4" w:space="0" w:color="auto"/>
            </w:tcBorders>
            <w:vAlign w:val="center"/>
          </w:tcPr>
          <w:p w:rsidR="00485094" w:rsidRPr="00590B64" w:rsidRDefault="00485094" w:rsidP="00453E80">
            <w:pPr>
              <w:pStyle w:val="TableText"/>
              <w:jc w:val="center"/>
            </w:pPr>
            <w:r>
              <w:t>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Turbidity</w:t>
            </w:r>
            <w:r>
              <w:t xml:space="preserve"> (Lab)</w:t>
            </w:r>
          </w:p>
        </w:tc>
        <w:tc>
          <w:tcPr>
            <w:tcW w:w="3037" w:type="dxa"/>
            <w:vAlign w:val="center"/>
          </w:tcPr>
          <w:p w:rsidR="00485094" w:rsidRPr="00590B64" w:rsidRDefault="00485094" w:rsidP="00453E80">
            <w:pPr>
              <w:pStyle w:val="TableText"/>
              <w:jc w:val="center"/>
            </w:pPr>
            <w:r w:rsidRPr="00590B64">
              <w:t>Method 180.1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Specific Conductance (Lab)</w:t>
            </w:r>
            <w:r>
              <w:rPr>
                <w:vertAlign w:val="superscript"/>
              </w:rPr>
              <w:t>1</w:t>
            </w:r>
          </w:p>
        </w:tc>
        <w:tc>
          <w:tcPr>
            <w:tcW w:w="3037" w:type="dxa"/>
            <w:vAlign w:val="center"/>
          </w:tcPr>
          <w:p w:rsidR="00485094" w:rsidRPr="00590B64" w:rsidRDefault="00485094" w:rsidP="00453E80">
            <w:pPr>
              <w:pStyle w:val="TableText"/>
              <w:jc w:val="center"/>
            </w:pPr>
            <w:r>
              <w:t>M</w:t>
            </w:r>
            <w:r w:rsidRPr="00590B64">
              <w:t>ethod 120.1</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shd w:val="clear" w:color="auto" w:fill="FFFFCC"/>
            <w:vAlign w:val="center"/>
          </w:tcPr>
          <w:p w:rsidR="00485094" w:rsidRPr="00590B64" w:rsidRDefault="00485094" w:rsidP="00453E80">
            <w:pPr>
              <w:pStyle w:val="TableText"/>
              <w:jc w:val="center"/>
            </w:pPr>
            <w:r w:rsidRPr="00590B64">
              <w:t>Color</w:t>
            </w:r>
          </w:p>
        </w:tc>
        <w:tc>
          <w:tcPr>
            <w:tcW w:w="3037" w:type="dxa"/>
            <w:vAlign w:val="center"/>
          </w:tcPr>
          <w:p w:rsidR="00485094" w:rsidRPr="00590B64" w:rsidRDefault="00485094" w:rsidP="00453E80">
            <w:pPr>
              <w:pStyle w:val="TableText"/>
              <w:jc w:val="center"/>
            </w:pPr>
            <w:r>
              <w:t>Method 110.2</w:t>
            </w:r>
          </w:p>
        </w:tc>
        <w:tc>
          <w:tcPr>
            <w:tcW w:w="2925" w:type="dxa"/>
            <w:vAlign w:val="center"/>
          </w:tcPr>
          <w:p w:rsidR="00485094" w:rsidRPr="00590B64" w:rsidRDefault="00485094" w:rsidP="00453E80">
            <w:pPr>
              <w:pStyle w:val="TableText"/>
              <w:jc w:val="center"/>
            </w:pPr>
            <w:r>
              <w:t>Lakes, Streams/Rivers, Aquifers</w:t>
            </w:r>
          </w:p>
        </w:tc>
      </w:tr>
      <w:tr w:rsidR="00485094" w:rsidRPr="00590B64" w:rsidTr="00453E80">
        <w:trPr>
          <w:trHeight w:val="235"/>
          <w:jc w:val="center"/>
        </w:trPr>
        <w:tc>
          <w:tcPr>
            <w:tcW w:w="3263" w:type="dxa"/>
            <w:tcBorders>
              <w:bottom w:val="single" w:sz="2" w:space="0" w:color="auto"/>
            </w:tcBorders>
            <w:shd w:val="clear" w:color="auto" w:fill="FFFFCC"/>
            <w:vAlign w:val="center"/>
          </w:tcPr>
          <w:p w:rsidR="00485094" w:rsidRPr="00590B64" w:rsidRDefault="00485094" w:rsidP="00453E80">
            <w:pPr>
              <w:pStyle w:val="TableText"/>
              <w:jc w:val="center"/>
            </w:pPr>
            <w:r w:rsidRPr="00590B64">
              <w:t>Total Dissolved Solids</w:t>
            </w:r>
          </w:p>
        </w:tc>
        <w:tc>
          <w:tcPr>
            <w:tcW w:w="3037" w:type="dxa"/>
            <w:tcBorders>
              <w:bottom w:val="single" w:sz="2" w:space="0" w:color="auto"/>
            </w:tcBorders>
            <w:vAlign w:val="center"/>
          </w:tcPr>
          <w:p w:rsidR="00485094" w:rsidRPr="00590B64" w:rsidRDefault="00485094" w:rsidP="00453E80">
            <w:pPr>
              <w:pStyle w:val="TableText"/>
              <w:jc w:val="center"/>
            </w:pPr>
            <w:r>
              <w:t>Method 160.2</w:t>
            </w:r>
          </w:p>
        </w:tc>
        <w:tc>
          <w:tcPr>
            <w:tcW w:w="2925" w:type="dxa"/>
            <w:tcBorders>
              <w:bottom w:val="single" w:sz="2" w:space="0" w:color="auto"/>
            </w:tcBorders>
            <w:vAlign w:val="center"/>
          </w:tcPr>
          <w:p w:rsidR="00485094" w:rsidRPr="00590B64" w:rsidRDefault="00485094" w:rsidP="00453E80">
            <w:pPr>
              <w:pStyle w:val="TableText"/>
              <w:jc w:val="center"/>
            </w:pPr>
            <w:r>
              <w:t>Aquifers</w:t>
            </w:r>
          </w:p>
        </w:tc>
      </w:tr>
    </w:tbl>
    <w:p w:rsidR="00485094" w:rsidRDefault="00485094" w:rsidP="00EA3D58">
      <w:pPr>
        <w:pStyle w:val="Bodytextreduced"/>
      </w:pPr>
      <w:bookmarkStart w:id="250" w:name="_Toc243369001"/>
    </w:p>
    <w:p w:rsidR="00485094" w:rsidRDefault="00485094" w:rsidP="00EA3D58">
      <w:pPr>
        <w:pStyle w:val="Bodytextreduced"/>
      </w:pPr>
    </w:p>
    <w:p w:rsidR="00485094" w:rsidRDefault="00485094" w:rsidP="00EA3D58">
      <w:pPr>
        <w:pStyle w:val="Tableheading"/>
      </w:pPr>
      <w:bookmarkStart w:id="251" w:name="_Toc255482806"/>
      <w:bookmarkStart w:id="252" w:name="_Toc255807464"/>
      <w:bookmarkStart w:id="253" w:name="_Toc262464231"/>
      <w:bookmarkStart w:id="254" w:name="_Toc271889825"/>
      <w:r>
        <w:t>Table 5.3a</w:t>
      </w:r>
      <w:r w:rsidRPr="00D33C11">
        <w:t>.</w:t>
      </w:r>
      <w:r>
        <w:t xml:space="preserve">  </w:t>
      </w:r>
      <w:r w:rsidRPr="00D33C11">
        <w:t xml:space="preserve">Status Network </w:t>
      </w:r>
      <w:r>
        <w:t>Organic and Nutrient I</w:t>
      </w:r>
      <w:r w:rsidRPr="00D33C11">
        <w:t>ndicators</w:t>
      </w:r>
      <w:r>
        <w:t xml:space="preserve"> for Sediment Analysis in Lakes</w:t>
      </w:r>
      <w:bookmarkEnd w:id="251"/>
      <w:bookmarkEnd w:id="252"/>
      <w:bookmarkEnd w:id="253"/>
      <w:bookmarkEnd w:id="254"/>
    </w:p>
    <w:p w:rsidR="00485094" w:rsidRDefault="00485094" w:rsidP="00EA3D58">
      <w:pPr>
        <w:pStyle w:val="Bodytext"/>
        <w:rPr>
          <w:sz w:val="18"/>
          <w:szCs w:val="18"/>
        </w:rPr>
      </w:pPr>
    </w:p>
    <w:p w:rsidR="00485094" w:rsidRPr="00111008" w:rsidRDefault="00485094" w:rsidP="00EA3D58">
      <w:pPr>
        <w:pStyle w:val="Bodytextreduced"/>
      </w:pPr>
      <w:bookmarkStart w:id="255" w:name="_Toc255482807"/>
      <w:r w:rsidRPr="00111008">
        <w:rPr>
          <w:b/>
        </w:rPr>
        <w:t>Note:</w:t>
      </w:r>
      <w:r w:rsidRPr="00111008">
        <w:t xml:space="preserve">  For </w:t>
      </w:r>
      <w:r w:rsidRPr="00111008">
        <w:rPr>
          <w:b/>
          <w:i/>
        </w:rPr>
        <w:t xml:space="preserve">Tables </w:t>
      </w:r>
      <w:r>
        <w:rPr>
          <w:b/>
          <w:i/>
        </w:rPr>
        <w:t>5.3</w:t>
      </w:r>
      <w:r w:rsidRPr="00111008">
        <w:rPr>
          <w:b/>
          <w:i/>
        </w:rPr>
        <w:t>a</w:t>
      </w:r>
      <w:r w:rsidRPr="00111008">
        <w:t xml:space="preserve"> through </w:t>
      </w:r>
      <w:r>
        <w:t>5.3</w:t>
      </w:r>
      <w:r w:rsidRPr="00111008">
        <w:rPr>
          <w:b/>
          <w:i/>
        </w:rPr>
        <w:t>c</w:t>
      </w:r>
      <w:r w:rsidRPr="00111008">
        <w:t>, all methods, unless otherwise stated, are based on EPA 600, Methods for Chemical Analysis of Water and Wastes.</w:t>
      </w:r>
    </w:p>
    <w:p w:rsidR="00485094" w:rsidRPr="00065DA9" w:rsidRDefault="00485094" w:rsidP="00EA3D58">
      <w:pPr>
        <w:pStyle w:val="Tableheading"/>
        <w:rPr>
          <w:b w:val="0"/>
          <w:sz w:val="18"/>
          <w:szCs w:val="18"/>
        </w:rPr>
      </w:pPr>
    </w:p>
    <w:p w:rsidR="00485094" w:rsidRDefault="00485094" w:rsidP="00EA3D58">
      <w:pPr>
        <w:pStyle w:val="TabledescriptionBF"/>
      </w:pPr>
      <w:bookmarkStart w:id="256" w:name="_Toc255807465"/>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bookmarkEnd w:id="250"/>
      <w:r w:rsidRPr="00065DA9">
        <w:t>.</w:t>
      </w:r>
      <w:bookmarkEnd w:id="255"/>
      <w:bookmarkEnd w:id="256"/>
    </w:p>
    <w:tbl>
      <w:tblPr>
        <w:tblW w:w="6577" w:type="dxa"/>
        <w:jc w:val="center"/>
        <w:tblInd w:w="-178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39"/>
        <w:gridCol w:w="2838"/>
      </w:tblGrid>
      <w:tr w:rsidR="00485094" w:rsidRPr="005A1F92" w:rsidTr="000F2909">
        <w:trPr>
          <w:trHeight w:val="235"/>
          <w:jc w:val="center"/>
        </w:trPr>
        <w:tc>
          <w:tcPr>
            <w:tcW w:w="3739"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Sediment Organic/Nutrient Indicator</w:t>
            </w:r>
          </w:p>
        </w:tc>
        <w:tc>
          <w:tcPr>
            <w:tcW w:w="2838"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39" w:type="dxa"/>
            <w:tcBorders>
              <w:top w:val="double" w:sz="4" w:space="0" w:color="auto"/>
            </w:tcBorders>
            <w:shd w:val="clear" w:color="auto" w:fill="FFFFCC"/>
            <w:vAlign w:val="center"/>
          </w:tcPr>
          <w:p w:rsidR="00485094" w:rsidRPr="00590B64" w:rsidRDefault="00485094" w:rsidP="00453E80">
            <w:pPr>
              <w:pStyle w:val="TableText"/>
              <w:jc w:val="center"/>
            </w:pPr>
            <w:r w:rsidRPr="00590B64">
              <w:t>Total Organic Carbon</w:t>
            </w:r>
            <w:r w:rsidR="008C37FA">
              <w:t xml:space="preserve"> (TOC)</w:t>
            </w:r>
          </w:p>
        </w:tc>
        <w:tc>
          <w:tcPr>
            <w:tcW w:w="2838" w:type="dxa"/>
            <w:tcBorders>
              <w:top w:val="double" w:sz="4" w:space="0" w:color="auto"/>
            </w:tcBorders>
            <w:vAlign w:val="center"/>
          </w:tcPr>
          <w:p w:rsidR="00485094" w:rsidRPr="00590B64" w:rsidRDefault="00485094" w:rsidP="00453E80">
            <w:pPr>
              <w:pStyle w:val="TableText"/>
              <w:jc w:val="center"/>
            </w:pPr>
            <w:r>
              <w:t>In-house based on 415.1</w:t>
            </w:r>
          </w:p>
        </w:tc>
      </w:tr>
      <w:tr w:rsidR="00485094" w:rsidRPr="000F352A" w:rsidTr="00453E80">
        <w:trPr>
          <w:trHeight w:val="193"/>
          <w:jc w:val="center"/>
        </w:trPr>
        <w:tc>
          <w:tcPr>
            <w:tcW w:w="3739" w:type="dxa"/>
            <w:shd w:val="clear" w:color="auto" w:fill="FFFFCC"/>
            <w:vAlign w:val="center"/>
          </w:tcPr>
          <w:p w:rsidR="00485094" w:rsidRPr="00590B64" w:rsidRDefault="008C37FA" w:rsidP="00453E80">
            <w:pPr>
              <w:pStyle w:val="TableText"/>
              <w:jc w:val="center"/>
            </w:pPr>
            <w:r>
              <w:t>TP</w:t>
            </w:r>
          </w:p>
        </w:tc>
        <w:tc>
          <w:tcPr>
            <w:tcW w:w="2838" w:type="dxa"/>
            <w:vAlign w:val="center"/>
          </w:tcPr>
          <w:p w:rsidR="00485094" w:rsidRPr="00590B64" w:rsidRDefault="00485094" w:rsidP="00453E80">
            <w:pPr>
              <w:pStyle w:val="TableText"/>
              <w:jc w:val="center"/>
            </w:pPr>
            <w:r w:rsidRPr="00590B64">
              <w:t>Method 365.4</w:t>
            </w:r>
          </w:p>
        </w:tc>
      </w:tr>
      <w:tr w:rsidR="00485094" w:rsidRPr="000F352A" w:rsidTr="00453E80">
        <w:trPr>
          <w:trHeight w:val="235"/>
          <w:jc w:val="center"/>
        </w:trPr>
        <w:tc>
          <w:tcPr>
            <w:tcW w:w="3739" w:type="dxa"/>
            <w:tcBorders>
              <w:bottom w:val="single" w:sz="2" w:space="0" w:color="auto"/>
            </w:tcBorders>
            <w:shd w:val="clear" w:color="auto" w:fill="FFFFCC"/>
            <w:vAlign w:val="center"/>
          </w:tcPr>
          <w:p w:rsidR="00485094" w:rsidRPr="00590B64" w:rsidRDefault="008C37FA" w:rsidP="003C6692">
            <w:pPr>
              <w:pStyle w:val="TableText"/>
              <w:jc w:val="center"/>
            </w:pPr>
            <w:r>
              <w:t>TKN</w:t>
            </w:r>
          </w:p>
        </w:tc>
        <w:tc>
          <w:tcPr>
            <w:tcW w:w="2838" w:type="dxa"/>
            <w:tcBorders>
              <w:bottom w:val="single" w:sz="2" w:space="0" w:color="auto"/>
            </w:tcBorders>
            <w:vAlign w:val="center"/>
          </w:tcPr>
          <w:p w:rsidR="00485094" w:rsidRPr="00590B64" w:rsidRDefault="00485094" w:rsidP="00453E80">
            <w:pPr>
              <w:pStyle w:val="TableText"/>
              <w:jc w:val="center"/>
            </w:pPr>
            <w:r w:rsidRPr="00590B64">
              <w:t>Method 351.2</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57" w:name="_Toc255482808"/>
      <w:bookmarkStart w:id="258" w:name="_Toc255807466"/>
      <w:bookmarkStart w:id="259" w:name="_Toc262464232"/>
      <w:bookmarkStart w:id="260" w:name="_Toc271889826"/>
      <w:r>
        <w:t>Table 5.3b</w:t>
      </w:r>
      <w:r w:rsidRPr="00D33C11">
        <w:t>.</w:t>
      </w:r>
      <w:r>
        <w:t xml:space="preserve">  </w:t>
      </w:r>
      <w:r w:rsidRPr="00D33C11">
        <w:t xml:space="preserve">Status Network </w:t>
      </w:r>
      <w:r>
        <w:t>Metal I</w:t>
      </w:r>
      <w:r w:rsidRPr="00D33C11">
        <w:t>ndicators</w:t>
      </w:r>
      <w:r>
        <w:t xml:space="preserve"> for Sediment Analysis in Lakes</w:t>
      </w:r>
      <w:bookmarkEnd w:id="257"/>
      <w:bookmarkEnd w:id="258"/>
      <w:bookmarkEnd w:id="259"/>
      <w:bookmarkEnd w:id="260"/>
    </w:p>
    <w:p w:rsidR="00485094" w:rsidRPr="00065DA9" w:rsidRDefault="00485094" w:rsidP="00EA3D58">
      <w:pPr>
        <w:pStyle w:val="TabledescriptionBF"/>
      </w:pPr>
      <w:bookmarkStart w:id="261" w:name="_Toc255482809"/>
      <w:bookmarkStart w:id="262" w:name="_Toc255807467"/>
      <w:r w:rsidRPr="00065DA9">
        <w:t xml:space="preserve">This </w:t>
      </w:r>
      <w:bookmarkEnd w:id="261"/>
      <w:bookmarkEnd w:id="262"/>
      <w:r w:rsidRPr="00065DA9">
        <w:t>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p>
    <w:tbl>
      <w:tblPr>
        <w:tblW w:w="6617" w:type="dxa"/>
        <w:jc w:val="center"/>
        <w:tblInd w:w="-1779"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59"/>
        <w:gridCol w:w="2858"/>
      </w:tblGrid>
      <w:tr w:rsidR="00485094" w:rsidRPr="005A1F92" w:rsidTr="000F2909">
        <w:trPr>
          <w:trHeight w:val="235"/>
          <w:jc w:val="center"/>
        </w:trPr>
        <w:tc>
          <w:tcPr>
            <w:tcW w:w="3759"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Sediment Metal Indicator</w:t>
            </w:r>
          </w:p>
        </w:tc>
        <w:tc>
          <w:tcPr>
            <w:tcW w:w="2858"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59" w:type="dxa"/>
            <w:tcBorders>
              <w:top w:val="double" w:sz="4" w:space="0" w:color="auto"/>
            </w:tcBorders>
            <w:shd w:val="clear" w:color="auto" w:fill="FFFFCC"/>
            <w:vAlign w:val="center"/>
          </w:tcPr>
          <w:p w:rsidR="00485094" w:rsidRPr="002370A4" w:rsidRDefault="00485094" w:rsidP="00453E80">
            <w:pPr>
              <w:pStyle w:val="TableText"/>
              <w:jc w:val="center"/>
            </w:pPr>
            <w:r w:rsidRPr="002370A4">
              <w:t>Aluminum, Arsenic, Cadmium, Chromium, Copper, Iron, Lead, Nickel, Silver, Zinc</w:t>
            </w:r>
          </w:p>
        </w:tc>
        <w:tc>
          <w:tcPr>
            <w:tcW w:w="2858" w:type="dxa"/>
            <w:tcBorders>
              <w:top w:val="double" w:sz="4" w:space="0" w:color="auto"/>
            </w:tcBorders>
            <w:vAlign w:val="center"/>
          </w:tcPr>
          <w:p w:rsidR="00485094" w:rsidRPr="00590B64" w:rsidRDefault="00485094" w:rsidP="00453E80">
            <w:pPr>
              <w:pStyle w:val="TableText"/>
              <w:jc w:val="center"/>
              <w:rPr>
                <w:lang w:val="pt-BR"/>
              </w:rPr>
            </w:pPr>
            <w:r w:rsidRPr="00590B64">
              <w:t>Method 6010</w:t>
            </w:r>
            <w:r>
              <w:t>B/6020</w:t>
            </w:r>
          </w:p>
        </w:tc>
      </w:tr>
      <w:tr w:rsidR="00485094" w:rsidRPr="000F352A" w:rsidTr="00453E80">
        <w:trPr>
          <w:trHeight w:val="235"/>
          <w:jc w:val="center"/>
        </w:trPr>
        <w:tc>
          <w:tcPr>
            <w:tcW w:w="3759" w:type="dxa"/>
            <w:tcBorders>
              <w:bottom w:val="single" w:sz="2" w:space="0" w:color="auto"/>
            </w:tcBorders>
            <w:shd w:val="clear" w:color="auto" w:fill="FFFFCC"/>
            <w:vAlign w:val="center"/>
          </w:tcPr>
          <w:p w:rsidR="00485094" w:rsidRPr="00590B64" w:rsidRDefault="00485094" w:rsidP="00453E80">
            <w:pPr>
              <w:pStyle w:val="TableText"/>
              <w:jc w:val="center"/>
            </w:pPr>
            <w:r w:rsidRPr="00590B64">
              <w:t>Mercury</w:t>
            </w:r>
          </w:p>
        </w:tc>
        <w:tc>
          <w:tcPr>
            <w:tcW w:w="2858" w:type="dxa"/>
            <w:tcBorders>
              <w:bottom w:val="single" w:sz="2" w:space="0" w:color="auto"/>
            </w:tcBorders>
            <w:vAlign w:val="center"/>
          </w:tcPr>
          <w:p w:rsidR="00485094" w:rsidRPr="00590B64" w:rsidRDefault="00485094" w:rsidP="00453E80">
            <w:pPr>
              <w:pStyle w:val="TableText"/>
              <w:jc w:val="center"/>
            </w:pPr>
            <w:r>
              <w:t>DEP-SOP-001/01</w:t>
            </w:r>
            <w:r w:rsidRPr="00590B64">
              <w:t xml:space="preserve"> Hg-008-3 (based on EPA 7471)</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63" w:name="_Toc255482810"/>
      <w:bookmarkStart w:id="264" w:name="_Toc255807468"/>
      <w:bookmarkStart w:id="265" w:name="_Toc262464233"/>
      <w:bookmarkStart w:id="266" w:name="_Toc271889827"/>
      <w:r>
        <w:t>Table 5.3c</w:t>
      </w:r>
      <w:r w:rsidRPr="00D33C11">
        <w:t>.</w:t>
      </w:r>
      <w:r>
        <w:t xml:space="preserve">  </w:t>
      </w:r>
      <w:r w:rsidRPr="00D33C11">
        <w:t xml:space="preserve">Status Network </w:t>
      </w:r>
      <w:r>
        <w:t>Organic I</w:t>
      </w:r>
      <w:r w:rsidRPr="00D33C11">
        <w:t>ndicators</w:t>
      </w:r>
      <w:r>
        <w:t xml:space="preserve"> for Sediment Analysis in Lakes</w:t>
      </w:r>
      <w:bookmarkEnd w:id="263"/>
      <w:bookmarkEnd w:id="264"/>
      <w:bookmarkEnd w:id="265"/>
      <w:bookmarkEnd w:id="266"/>
    </w:p>
    <w:p w:rsidR="00485094" w:rsidRDefault="00485094" w:rsidP="00EA3D58">
      <w:pPr>
        <w:pStyle w:val="Bodytextreduced"/>
      </w:pPr>
    </w:p>
    <w:p w:rsidR="00485094" w:rsidRPr="00065DA9" w:rsidRDefault="00485094" w:rsidP="00EA3D58">
      <w:pPr>
        <w:pStyle w:val="TabledescriptionBF"/>
      </w:pPr>
      <w:bookmarkStart w:id="267" w:name="_Toc255482811"/>
      <w:bookmarkStart w:id="268" w:name="_Toc255807469"/>
      <w:r w:rsidRPr="00065DA9">
        <w:t>This is a two</w:t>
      </w:r>
      <w:r>
        <w:t>-</w:t>
      </w:r>
      <w:r w:rsidRPr="00065DA9">
        <w:t>column table</w:t>
      </w:r>
      <w:r>
        <w:t xml:space="preserve">.  Column 1 lists </w:t>
      </w:r>
      <w:r w:rsidRPr="00065DA9">
        <w:t xml:space="preserve">the indicators and </w:t>
      </w:r>
      <w:r>
        <w:t>Column 2</w:t>
      </w:r>
      <w:r w:rsidRPr="00065DA9">
        <w:t xml:space="preserve"> </w:t>
      </w:r>
      <w:r>
        <w:t xml:space="preserve">lists </w:t>
      </w:r>
      <w:r w:rsidRPr="00065DA9">
        <w:t>the analytical method numbers.</w:t>
      </w:r>
      <w:bookmarkEnd w:id="267"/>
      <w:bookmarkEnd w:id="268"/>
    </w:p>
    <w:tbl>
      <w:tblPr>
        <w:tblW w:w="6574" w:type="dxa"/>
        <w:jc w:val="center"/>
        <w:tblInd w:w="-1693" w:type="dxa"/>
        <w:tblBorders>
          <w:top w:val="single" w:sz="2" w:space="0" w:color="auto"/>
          <w:left w:val="single" w:sz="2" w:space="0" w:color="auto"/>
          <w:bottom w:val="single" w:sz="2" w:space="0" w:color="auto"/>
          <w:right w:val="single" w:sz="2" w:space="0" w:color="auto"/>
          <w:insideH w:val="single" w:sz="6" w:space="0" w:color="auto"/>
          <w:insideV w:val="single" w:sz="6" w:space="0" w:color="auto"/>
        </w:tblBorders>
        <w:tblLayout w:type="fixed"/>
        <w:tblCellMar>
          <w:left w:w="30" w:type="dxa"/>
          <w:right w:w="30" w:type="dxa"/>
        </w:tblCellMar>
        <w:tblLook w:val="0000"/>
      </w:tblPr>
      <w:tblGrid>
        <w:gridCol w:w="3737"/>
        <w:gridCol w:w="2837"/>
      </w:tblGrid>
      <w:tr w:rsidR="00485094" w:rsidRPr="005A1F92" w:rsidTr="000F2909">
        <w:trPr>
          <w:trHeight w:val="235"/>
          <w:jc w:val="center"/>
        </w:trPr>
        <w:tc>
          <w:tcPr>
            <w:tcW w:w="3737" w:type="dxa"/>
            <w:tcBorders>
              <w:top w:val="single" w:sz="2" w:space="0" w:color="auto"/>
              <w:bottom w:val="double" w:sz="4" w:space="0" w:color="auto"/>
            </w:tcBorders>
            <w:shd w:val="clear" w:color="auto" w:fill="BDFFFF"/>
            <w:vAlign w:val="center"/>
          </w:tcPr>
          <w:p w:rsidR="00485094" w:rsidRPr="005A1F92" w:rsidRDefault="00485094" w:rsidP="00F01F27">
            <w:pPr>
              <w:pStyle w:val="TableText"/>
              <w:jc w:val="center"/>
              <w:rPr>
                <w:b/>
                <w:i/>
              </w:rPr>
            </w:pPr>
            <w:r w:rsidRPr="005A1F92">
              <w:rPr>
                <w:b/>
                <w:i/>
              </w:rPr>
              <w:t>Sediment Organic Indicator</w:t>
            </w:r>
          </w:p>
        </w:tc>
        <w:tc>
          <w:tcPr>
            <w:tcW w:w="2837" w:type="dxa"/>
            <w:tcBorders>
              <w:top w:val="single" w:sz="2"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Analysis Method</w:t>
            </w:r>
          </w:p>
        </w:tc>
      </w:tr>
      <w:tr w:rsidR="00485094" w:rsidRPr="000F352A" w:rsidTr="00453E80">
        <w:trPr>
          <w:trHeight w:val="235"/>
          <w:jc w:val="center"/>
        </w:trPr>
        <w:tc>
          <w:tcPr>
            <w:tcW w:w="3737" w:type="dxa"/>
            <w:tcBorders>
              <w:top w:val="double" w:sz="4" w:space="0" w:color="auto"/>
            </w:tcBorders>
            <w:shd w:val="clear" w:color="auto" w:fill="FFFFCC"/>
            <w:vAlign w:val="center"/>
          </w:tcPr>
          <w:p w:rsidR="00485094" w:rsidRPr="00451DC1" w:rsidRDefault="00485094" w:rsidP="00453E80">
            <w:pPr>
              <w:pStyle w:val="TableText"/>
              <w:jc w:val="center"/>
            </w:pPr>
            <w:r w:rsidRPr="00451DC1">
              <w:t>Polychlorinated Biphenyls</w:t>
            </w:r>
            <w:r>
              <w:t xml:space="preserve"> (PCBs)</w:t>
            </w:r>
          </w:p>
        </w:tc>
        <w:tc>
          <w:tcPr>
            <w:tcW w:w="2837" w:type="dxa"/>
            <w:tcBorders>
              <w:top w:val="double" w:sz="4" w:space="0" w:color="auto"/>
            </w:tcBorders>
            <w:vAlign w:val="center"/>
          </w:tcPr>
          <w:p w:rsidR="00485094" w:rsidRPr="00D278AF" w:rsidRDefault="00485094" w:rsidP="00453E80">
            <w:pPr>
              <w:pStyle w:val="TableText"/>
              <w:jc w:val="center"/>
              <w:rPr>
                <w:b/>
              </w:rPr>
            </w:pPr>
            <w:r>
              <w:rPr>
                <w:snapToGrid w:val="0"/>
                <w:color w:val="000000"/>
              </w:rPr>
              <w:t>EPA 8080 (modified)</w:t>
            </w:r>
          </w:p>
        </w:tc>
      </w:tr>
      <w:tr w:rsidR="00485094" w:rsidRPr="000F352A" w:rsidTr="00453E80">
        <w:trPr>
          <w:trHeight w:val="235"/>
          <w:jc w:val="center"/>
        </w:trPr>
        <w:tc>
          <w:tcPr>
            <w:tcW w:w="3737" w:type="dxa"/>
            <w:shd w:val="clear" w:color="auto" w:fill="FFFFCC"/>
            <w:vAlign w:val="center"/>
          </w:tcPr>
          <w:p w:rsidR="00485094" w:rsidRDefault="00485094" w:rsidP="00453E80">
            <w:pPr>
              <w:pStyle w:val="TableText"/>
              <w:jc w:val="center"/>
              <w:rPr>
                <w:b/>
              </w:rPr>
            </w:pPr>
            <w:r w:rsidRPr="00451DC1">
              <w:t>Polynuclear Aromatic Hydrocarbons</w:t>
            </w:r>
            <w:r>
              <w:t xml:space="preserve"> (PAHs)</w:t>
            </w:r>
          </w:p>
        </w:tc>
        <w:tc>
          <w:tcPr>
            <w:tcW w:w="2837" w:type="dxa"/>
            <w:vAlign w:val="center"/>
          </w:tcPr>
          <w:p w:rsidR="00485094" w:rsidRPr="00F35175" w:rsidRDefault="00485094" w:rsidP="00453E80">
            <w:pPr>
              <w:pStyle w:val="TableText"/>
              <w:jc w:val="center"/>
            </w:pPr>
            <w:r w:rsidRPr="00F35175">
              <w:t>EPA 8270</w:t>
            </w:r>
          </w:p>
        </w:tc>
      </w:tr>
      <w:tr w:rsidR="00485094" w:rsidRPr="000F352A" w:rsidTr="00453E80">
        <w:trPr>
          <w:trHeight w:val="235"/>
          <w:jc w:val="center"/>
        </w:trPr>
        <w:tc>
          <w:tcPr>
            <w:tcW w:w="3737" w:type="dxa"/>
            <w:tcBorders>
              <w:bottom w:val="single" w:sz="2" w:space="0" w:color="auto"/>
            </w:tcBorders>
            <w:shd w:val="clear" w:color="auto" w:fill="FFFFCC"/>
            <w:vAlign w:val="center"/>
          </w:tcPr>
          <w:p w:rsidR="00485094" w:rsidRPr="00451DC1" w:rsidRDefault="00485094" w:rsidP="00453E80">
            <w:pPr>
              <w:pStyle w:val="TableText"/>
              <w:jc w:val="center"/>
            </w:pPr>
            <w:r>
              <w:t>Organochlorine Pesticides</w:t>
            </w:r>
          </w:p>
        </w:tc>
        <w:tc>
          <w:tcPr>
            <w:tcW w:w="2837" w:type="dxa"/>
            <w:tcBorders>
              <w:bottom w:val="single" w:sz="2" w:space="0" w:color="auto"/>
            </w:tcBorders>
            <w:vAlign w:val="center"/>
          </w:tcPr>
          <w:p w:rsidR="00485094" w:rsidRPr="00D278AF" w:rsidRDefault="00485094" w:rsidP="00453E80">
            <w:pPr>
              <w:pStyle w:val="TableText"/>
              <w:jc w:val="center"/>
              <w:rPr>
                <w:b/>
              </w:rPr>
            </w:pPr>
            <w:r>
              <w:rPr>
                <w:snapToGrid w:val="0"/>
                <w:color w:val="000000"/>
              </w:rPr>
              <w:t>EPA 8081A (modified)</w:t>
            </w:r>
          </w:p>
        </w:tc>
      </w:tr>
    </w:tbl>
    <w:p w:rsidR="00485094" w:rsidRDefault="00485094" w:rsidP="00EA3D58">
      <w:pPr>
        <w:pStyle w:val="Bodytextreduced"/>
        <w:rPr>
          <w:sz w:val="18"/>
          <w:szCs w:val="18"/>
        </w:rPr>
      </w:pPr>
    </w:p>
    <w:p w:rsidR="00485094" w:rsidRDefault="00485094" w:rsidP="00EA3D58">
      <w:pPr>
        <w:pStyle w:val="Bodytextreduced"/>
        <w:rPr>
          <w:sz w:val="18"/>
          <w:szCs w:val="18"/>
        </w:rPr>
      </w:pPr>
    </w:p>
    <w:p w:rsidR="00485094" w:rsidRPr="00CE0F5A" w:rsidRDefault="00485094" w:rsidP="00EA3D58">
      <w:pPr>
        <w:pStyle w:val="Heading3"/>
      </w:pPr>
      <w:bookmarkStart w:id="269" w:name="_Toc262464142"/>
      <w:bookmarkStart w:id="270" w:name="_Toc271794334"/>
      <w:bookmarkStart w:id="271" w:name="_Toc234030461"/>
      <w:bookmarkStart w:id="272" w:name="_Toc248209570"/>
      <w:bookmarkStart w:id="273" w:name="_Toc255822525"/>
      <w:bookmarkEnd w:id="216"/>
      <w:r w:rsidRPr="00CE0F5A">
        <w:t xml:space="preserve">Status Monitoring </w:t>
      </w:r>
      <w:r>
        <w:t xml:space="preserve">Network </w:t>
      </w:r>
      <w:r w:rsidRPr="00CE0F5A">
        <w:t>Design Changes</w:t>
      </w:r>
      <w:bookmarkEnd w:id="269"/>
      <w:bookmarkEnd w:id="270"/>
      <w:r w:rsidRPr="00CE0F5A">
        <w:t xml:space="preserve"> </w:t>
      </w:r>
    </w:p>
    <w:p w:rsidR="00485094" w:rsidRDefault="00485094" w:rsidP="00EA3D58">
      <w:pPr>
        <w:pStyle w:val="Bodytext"/>
        <w:rPr>
          <w:szCs w:val="22"/>
        </w:rPr>
      </w:pPr>
      <w:r w:rsidRPr="004B0F10">
        <w:rPr>
          <w:szCs w:val="22"/>
        </w:rPr>
        <w:t xml:space="preserve">Starting in 2009, </w:t>
      </w:r>
      <w:r>
        <w:rPr>
          <w:szCs w:val="22"/>
        </w:rPr>
        <w:t xml:space="preserve">the Status Network was changed to </w:t>
      </w:r>
      <w:r w:rsidRPr="004B0F10">
        <w:rPr>
          <w:szCs w:val="22"/>
        </w:rPr>
        <w:t xml:space="preserve">an annual assessment of statewide water resource condition </w:t>
      </w:r>
      <w:r>
        <w:rPr>
          <w:szCs w:val="22"/>
        </w:rPr>
        <w:t>(</w:t>
      </w:r>
      <w:hyperlink r:id="rId68" w:history="1">
        <w:r w:rsidRPr="009B7728">
          <w:rPr>
            <w:rStyle w:val="Hyperlink"/>
            <w:szCs w:val="22"/>
          </w:rPr>
          <w:t xml:space="preserve">Monitoring </w:t>
        </w:r>
        <w:r w:rsidR="0070466C">
          <w:rPr>
            <w:rStyle w:val="Hyperlink"/>
            <w:szCs w:val="22"/>
          </w:rPr>
          <w:t xml:space="preserve">Strategy </w:t>
        </w:r>
        <w:r w:rsidRPr="009B7728">
          <w:rPr>
            <w:rStyle w:val="Hyperlink"/>
            <w:szCs w:val="22"/>
          </w:rPr>
          <w:t>Design Document</w:t>
        </w:r>
      </w:hyperlink>
      <w:r>
        <w:rPr>
          <w:szCs w:val="22"/>
        </w:rPr>
        <w:t>)</w:t>
      </w:r>
      <w:r w:rsidRPr="004D59B9">
        <w:rPr>
          <w:szCs w:val="22"/>
        </w:rPr>
        <w:t>.</w:t>
      </w:r>
      <w:r w:rsidRPr="004B0F10">
        <w:rPr>
          <w:szCs w:val="22"/>
        </w:rPr>
        <w:t xml:space="preserve">  For this assessment, the state </w:t>
      </w:r>
      <w:r>
        <w:rPr>
          <w:szCs w:val="22"/>
        </w:rPr>
        <w:t>is</w:t>
      </w:r>
      <w:r w:rsidRPr="004B0F10">
        <w:rPr>
          <w:szCs w:val="22"/>
        </w:rPr>
        <w:t xml:space="preserve"> divided into </w:t>
      </w:r>
      <w:r w:rsidR="0070466C">
        <w:rPr>
          <w:szCs w:val="22"/>
        </w:rPr>
        <w:t>six</w:t>
      </w:r>
      <w:r w:rsidR="0070466C" w:rsidRPr="004B0F10">
        <w:rPr>
          <w:szCs w:val="22"/>
        </w:rPr>
        <w:t xml:space="preserve"> </w:t>
      </w:r>
      <w:r w:rsidRPr="004B0F10">
        <w:rPr>
          <w:szCs w:val="22"/>
        </w:rPr>
        <w:t xml:space="preserve">zones or reporting units </w:t>
      </w:r>
      <w:r w:rsidRPr="00EB17B7">
        <w:rPr>
          <w:i/>
          <w:szCs w:val="22"/>
        </w:rPr>
        <w:t>(</w:t>
      </w:r>
      <w:r w:rsidRPr="004B0F10">
        <w:rPr>
          <w:b/>
          <w:i/>
          <w:szCs w:val="22"/>
        </w:rPr>
        <w:t xml:space="preserve">Figure </w:t>
      </w:r>
      <w:r>
        <w:rPr>
          <w:b/>
          <w:i/>
          <w:szCs w:val="22"/>
        </w:rPr>
        <w:t>5.2</w:t>
      </w:r>
      <w:r w:rsidRPr="00EB17B7">
        <w:rPr>
          <w:i/>
          <w:szCs w:val="22"/>
        </w:rPr>
        <w:t>)</w:t>
      </w:r>
      <w:r w:rsidRPr="00EB17B7">
        <w:rPr>
          <w:szCs w:val="22"/>
        </w:rPr>
        <w:t>.</w:t>
      </w:r>
      <w:r w:rsidRPr="004B0F10">
        <w:rPr>
          <w:szCs w:val="22"/>
        </w:rPr>
        <w:t xml:space="preserve">  As in the previous cycle of sampling reported in this document, the design is based on </w:t>
      </w:r>
      <w:r w:rsidR="0070466C">
        <w:rPr>
          <w:szCs w:val="22"/>
        </w:rPr>
        <w:t>four</w:t>
      </w:r>
      <w:r w:rsidR="0070466C" w:rsidRPr="004B0F10">
        <w:rPr>
          <w:szCs w:val="22"/>
        </w:rPr>
        <w:t xml:space="preserve"> </w:t>
      </w:r>
      <w:r w:rsidRPr="004B0F10">
        <w:rPr>
          <w:szCs w:val="22"/>
        </w:rPr>
        <w:t xml:space="preserve">surface water resources (rivers, streams, large lakes, and small lakes) and </w:t>
      </w:r>
      <w:r w:rsidR="0070466C">
        <w:rPr>
          <w:szCs w:val="22"/>
        </w:rPr>
        <w:t>two</w:t>
      </w:r>
      <w:r w:rsidR="0070466C" w:rsidRPr="004B0F10">
        <w:rPr>
          <w:szCs w:val="22"/>
        </w:rPr>
        <w:t xml:space="preserve"> </w:t>
      </w:r>
      <w:r w:rsidRPr="004B0F10">
        <w:rPr>
          <w:szCs w:val="22"/>
        </w:rPr>
        <w:t xml:space="preserve">ground water resources (confined and unconfined aquifers).  </w:t>
      </w:r>
    </w:p>
    <w:p w:rsidR="00485094" w:rsidRDefault="00485094" w:rsidP="00EA3D58">
      <w:pPr>
        <w:pStyle w:val="Bodytext"/>
        <w:rPr>
          <w:szCs w:val="22"/>
        </w:rPr>
      </w:pPr>
    </w:p>
    <w:p w:rsidR="00485094" w:rsidRPr="004B0F10" w:rsidRDefault="00485094" w:rsidP="00EA3D58">
      <w:pPr>
        <w:pStyle w:val="Bodytext"/>
        <w:rPr>
          <w:szCs w:val="22"/>
        </w:rPr>
      </w:pPr>
      <w:r w:rsidRPr="004B0F10">
        <w:rPr>
          <w:szCs w:val="22"/>
        </w:rPr>
        <w:t xml:space="preserve">The Status Network design has been changed in scope, but is still based on </w:t>
      </w:r>
      <w:r>
        <w:rPr>
          <w:szCs w:val="22"/>
        </w:rPr>
        <w:t>collecting</w:t>
      </w:r>
      <w:r w:rsidRPr="004B0F10">
        <w:rPr>
          <w:szCs w:val="22"/>
        </w:rPr>
        <w:t xml:space="preserve"> a statistically valid number of samples for all resources to make an annual estimate of </w:t>
      </w:r>
      <w:r>
        <w:rPr>
          <w:szCs w:val="22"/>
        </w:rPr>
        <w:t xml:space="preserve">the condition of the </w:t>
      </w:r>
      <w:r w:rsidRPr="004B0F10">
        <w:rPr>
          <w:szCs w:val="22"/>
        </w:rPr>
        <w:t>state</w:t>
      </w:r>
      <w:r>
        <w:rPr>
          <w:szCs w:val="22"/>
        </w:rPr>
        <w:t>’s</w:t>
      </w:r>
      <w:r w:rsidRPr="004B0F10">
        <w:rPr>
          <w:szCs w:val="22"/>
        </w:rPr>
        <w:t xml:space="preserve"> water resource</w:t>
      </w:r>
      <w:r>
        <w:rPr>
          <w:szCs w:val="22"/>
        </w:rPr>
        <w:t>s</w:t>
      </w:r>
      <w:r w:rsidRPr="004B0F10">
        <w:rPr>
          <w:szCs w:val="22"/>
        </w:rPr>
        <w:t xml:space="preserve">.  Sixty sites for each surface water resource type are distributed throughout the state </w:t>
      </w:r>
      <w:r>
        <w:rPr>
          <w:szCs w:val="22"/>
        </w:rPr>
        <w:t>(</w:t>
      </w:r>
      <w:r w:rsidRPr="004B0F10">
        <w:rPr>
          <w:szCs w:val="22"/>
        </w:rPr>
        <w:t>10 in each of the 6 zones</w:t>
      </w:r>
      <w:r>
        <w:rPr>
          <w:szCs w:val="22"/>
        </w:rPr>
        <w:t>)</w:t>
      </w:r>
      <w:r w:rsidRPr="004B0F10">
        <w:rPr>
          <w:szCs w:val="22"/>
        </w:rPr>
        <w:t xml:space="preserve">, and 120 sites for each ground water </w:t>
      </w:r>
      <w:r w:rsidRPr="004B0F10">
        <w:rPr>
          <w:szCs w:val="22"/>
        </w:rPr>
        <w:lastRenderedPageBreak/>
        <w:t xml:space="preserve">resource type are distributed throughout the state </w:t>
      </w:r>
      <w:r>
        <w:rPr>
          <w:szCs w:val="22"/>
        </w:rPr>
        <w:t>(20</w:t>
      </w:r>
      <w:r w:rsidRPr="004B0F10">
        <w:rPr>
          <w:szCs w:val="22"/>
        </w:rPr>
        <w:t xml:space="preserve"> in each zone</w:t>
      </w:r>
      <w:r>
        <w:rPr>
          <w:szCs w:val="22"/>
        </w:rPr>
        <w:t>)</w:t>
      </w:r>
      <w:r w:rsidRPr="004B0F10">
        <w:rPr>
          <w:szCs w:val="22"/>
        </w:rPr>
        <w:t>.  Overall, fewer samples will be collected to make the statewide estimate</w:t>
      </w:r>
      <w:r>
        <w:rPr>
          <w:szCs w:val="22"/>
        </w:rPr>
        <w:t>;</w:t>
      </w:r>
      <w:r w:rsidRPr="004B0F10">
        <w:rPr>
          <w:szCs w:val="22"/>
        </w:rPr>
        <w:t xml:space="preserve"> however</w:t>
      </w:r>
      <w:r>
        <w:rPr>
          <w:szCs w:val="22"/>
        </w:rPr>
        <w:t>,</w:t>
      </w:r>
      <w:r w:rsidRPr="004B0F10">
        <w:rPr>
          <w:szCs w:val="22"/>
        </w:rPr>
        <w:t xml:space="preserve"> statewide condition will be assessed and can be reported on annual</w:t>
      </w:r>
      <w:r>
        <w:rPr>
          <w:szCs w:val="22"/>
        </w:rPr>
        <w:t>ly, rather than every 5 years.</w:t>
      </w:r>
      <w:r w:rsidRPr="004B0F10">
        <w:rPr>
          <w:szCs w:val="22"/>
        </w:rPr>
        <w:t xml:space="preserve">  Based on these sample sizes, the 95% confidence interval for the estimate of statewide condition is </w:t>
      </w:r>
      <w:r w:rsidRPr="004B0F10">
        <w:rPr>
          <w:szCs w:val="22"/>
        </w:rPr>
        <w:sym w:font="Symbol" w:char="F0B1"/>
      </w:r>
      <w:r w:rsidRPr="004B0F10">
        <w:rPr>
          <w:szCs w:val="22"/>
        </w:rPr>
        <w:t xml:space="preserve">12% for surface water and </w:t>
      </w:r>
      <w:r w:rsidRPr="004B0F10">
        <w:rPr>
          <w:szCs w:val="22"/>
        </w:rPr>
        <w:sym w:font="Symbol" w:char="F0B1"/>
      </w:r>
      <w:r w:rsidRPr="004B0F10">
        <w:rPr>
          <w:szCs w:val="22"/>
        </w:rPr>
        <w:t xml:space="preserve"> 9% for ground water.  </w:t>
      </w:r>
    </w:p>
    <w:p w:rsidR="00485094" w:rsidRPr="004B0F10" w:rsidRDefault="00485094" w:rsidP="00EA3D58">
      <w:pPr>
        <w:pStyle w:val="Bodytext"/>
        <w:rPr>
          <w:szCs w:val="22"/>
        </w:rPr>
      </w:pPr>
    </w:p>
    <w:p w:rsidR="00485094" w:rsidRDefault="00485094" w:rsidP="00EA3D58">
      <w:pPr>
        <w:pStyle w:val="Bodytext"/>
        <w:rPr>
          <w:szCs w:val="22"/>
        </w:rPr>
      </w:pPr>
      <w:r w:rsidRPr="004B0F10">
        <w:rPr>
          <w:szCs w:val="22"/>
        </w:rPr>
        <w:t xml:space="preserve">Another significant design change is that surface water samples will be collected </w:t>
      </w:r>
      <w:r>
        <w:rPr>
          <w:szCs w:val="22"/>
        </w:rPr>
        <w:t>twice a</w:t>
      </w:r>
      <w:r w:rsidRPr="004B0F10">
        <w:rPr>
          <w:szCs w:val="22"/>
        </w:rPr>
        <w:t xml:space="preserve"> year </w:t>
      </w:r>
      <w:r>
        <w:rPr>
          <w:szCs w:val="22"/>
        </w:rPr>
        <w:t>at each</w:t>
      </w:r>
      <w:r w:rsidRPr="004B0F10">
        <w:rPr>
          <w:szCs w:val="22"/>
        </w:rPr>
        <w:t xml:space="preserve"> site.  Th</w:t>
      </w:r>
      <w:r>
        <w:rPr>
          <w:szCs w:val="22"/>
        </w:rPr>
        <w:t xml:space="preserve">is will address </w:t>
      </w:r>
      <w:r w:rsidRPr="004B0F10">
        <w:rPr>
          <w:szCs w:val="22"/>
        </w:rPr>
        <w:t>questions about whether surface waters may be influenced by seasonality and changes in condition due to rainfall/drought events</w:t>
      </w:r>
      <w:r>
        <w:rPr>
          <w:szCs w:val="22"/>
        </w:rPr>
        <w:t>, and whether a five</w:t>
      </w:r>
      <w:r w:rsidRPr="004B0F10">
        <w:rPr>
          <w:szCs w:val="22"/>
        </w:rPr>
        <w:t xml:space="preserve">-year monitoring design with single sampling periods </w:t>
      </w:r>
      <w:r>
        <w:rPr>
          <w:szCs w:val="22"/>
        </w:rPr>
        <w:t xml:space="preserve">might </w:t>
      </w:r>
      <w:r w:rsidRPr="004B0F10">
        <w:rPr>
          <w:szCs w:val="22"/>
        </w:rPr>
        <w:t>misrepresent overall water quality conditions.  Th</w:t>
      </w:r>
      <w:r>
        <w:rPr>
          <w:szCs w:val="22"/>
        </w:rPr>
        <w:t xml:space="preserve">ese questions about variation in surface water quality will be answered based on the results of </w:t>
      </w:r>
      <w:r w:rsidRPr="004B0F10">
        <w:rPr>
          <w:szCs w:val="22"/>
        </w:rPr>
        <w:t xml:space="preserve">the </w:t>
      </w:r>
      <w:r>
        <w:rPr>
          <w:szCs w:val="22"/>
        </w:rPr>
        <w:t>initial</w:t>
      </w:r>
      <w:r w:rsidRPr="004B0F10">
        <w:rPr>
          <w:szCs w:val="22"/>
        </w:rPr>
        <w:t xml:space="preserve"> </w:t>
      </w:r>
      <w:r>
        <w:rPr>
          <w:szCs w:val="22"/>
        </w:rPr>
        <w:t xml:space="preserve">and repeat </w:t>
      </w:r>
      <w:r w:rsidRPr="004B0F10">
        <w:rPr>
          <w:szCs w:val="22"/>
        </w:rPr>
        <w:t xml:space="preserve">sampling, and by collecting waters in </w:t>
      </w:r>
      <w:r>
        <w:rPr>
          <w:szCs w:val="22"/>
        </w:rPr>
        <w:t>different</w:t>
      </w:r>
      <w:r w:rsidRPr="004B0F10">
        <w:rPr>
          <w:szCs w:val="22"/>
        </w:rPr>
        <w:t xml:space="preserve"> seasons statewide.  The results from these two events will be evaluated to determine if the response </w:t>
      </w:r>
      <w:r>
        <w:rPr>
          <w:szCs w:val="22"/>
        </w:rPr>
        <w:t>compared with the</w:t>
      </w:r>
      <w:r w:rsidRPr="004B0F10">
        <w:rPr>
          <w:szCs w:val="22"/>
        </w:rPr>
        <w:t xml:space="preserve"> thresholds is significant enough to warrant the </w:t>
      </w:r>
      <w:r>
        <w:rPr>
          <w:szCs w:val="22"/>
        </w:rPr>
        <w:t>second</w:t>
      </w:r>
      <w:r w:rsidRPr="004B0F10">
        <w:rPr>
          <w:szCs w:val="22"/>
        </w:rPr>
        <w:t xml:space="preserve"> sample.</w:t>
      </w:r>
    </w:p>
    <w:p w:rsidR="00485094" w:rsidRDefault="00485094" w:rsidP="00EA3D58">
      <w:pPr>
        <w:pStyle w:val="Bodytext"/>
        <w:rPr>
          <w:szCs w:val="22"/>
        </w:rPr>
      </w:pPr>
    </w:p>
    <w:p w:rsidR="00485094" w:rsidRDefault="00485094" w:rsidP="00EA3D58">
      <w:pPr>
        <w:pStyle w:val="Bodytext"/>
        <w:rPr>
          <w:szCs w:val="22"/>
        </w:rPr>
      </w:pPr>
      <w:r>
        <w:rPr>
          <w:szCs w:val="22"/>
        </w:rPr>
        <w:t>The results from earlier ground water analyses have clearly indicated that there are no seasonal trends in ground water quality.  Therefore, no repeat sample will be collected for ground water resources.</w:t>
      </w:r>
    </w:p>
    <w:p w:rsidR="00485094" w:rsidRPr="004B0F10" w:rsidRDefault="00485094" w:rsidP="00EA3D58">
      <w:pPr>
        <w:pStyle w:val="Bodytext"/>
        <w:rPr>
          <w:szCs w:val="22"/>
        </w:rPr>
      </w:pPr>
    </w:p>
    <w:p w:rsidR="00485094" w:rsidRPr="004B0F10" w:rsidRDefault="00485094" w:rsidP="00EA3D58">
      <w:pPr>
        <w:pStyle w:val="Bodytext"/>
        <w:rPr>
          <w:szCs w:val="22"/>
        </w:rPr>
      </w:pPr>
      <w:r w:rsidRPr="004B0F10">
        <w:rPr>
          <w:szCs w:val="22"/>
        </w:rPr>
        <w:t>A long-term benefit to the annual approach for both surface and ground water is the ability to examine trends in water quality over time.  The annual appr</w:t>
      </w:r>
      <w:r>
        <w:rPr>
          <w:szCs w:val="22"/>
        </w:rPr>
        <w:t>oach, coupled with the existing Trend N</w:t>
      </w:r>
      <w:r w:rsidRPr="004B0F10">
        <w:rPr>
          <w:szCs w:val="22"/>
        </w:rPr>
        <w:t>etwork monthly sampling</w:t>
      </w:r>
      <w:r>
        <w:rPr>
          <w:szCs w:val="22"/>
        </w:rPr>
        <w:t xml:space="preserve"> (discussed in the next section),</w:t>
      </w:r>
      <w:r w:rsidRPr="004B0F10">
        <w:rPr>
          <w:szCs w:val="22"/>
        </w:rPr>
        <w:t xml:space="preserve"> will provide a more comprehensive picture of changes </w:t>
      </w:r>
      <w:r>
        <w:rPr>
          <w:szCs w:val="22"/>
        </w:rPr>
        <w:t>in</w:t>
      </w:r>
      <w:r w:rsidRPr="004B0F10">
        <w:rPr>
          <w:szCs w:val="22"/>
        </w:rPr>
        <w:t xml:space="preserve"> water quality.  </w:t>
      </w:r>
    </w:p>
    <w:p w:rsidR="00485094" w:rsidRPr="004B0F10" w:rsidRDefault="00485094" w:rsidP="00EA3D58">
      <w:pPr>
        <w:pStyle w:val="Bodytext"/>
        <w:rPr>
          <w:szCs w:val="22"/>
        </w:rPr>
      </w:pPr>
    </w:p>
    <w:p w:rsidR="00485094" w:rsidRPr="004B0F10" w:rsidRDefault="00485094" w:rsidP="00F514F9">
      <w:pPr>
        <w:pStyle w:val="Heading3"/>
      </w:pPr>
      <w:bookmarkStart w:id="274" w:name="_Toc134347390"/>
      <w:bookmarkStart w:id="275" w:name="_Toc271794335"/>
      <w:r w:rsidRPr="004B0F10">
        <w:t>Future Design and Reporting</w:t>
      </w:r>
      <w:bookmarkEnd w:id="274"/>
      <w:bookmarkEnd w:id="275"/>
    </w:p>
    <w:p w:rsidR="00485094" w:rsidRPr="004B0F10" w:rsidRDefault="00485094" w:rsidP="00EA3D58">
      <w:pPr>
        <w:pStyle w:val="Bodytext"/>
        <w:rPr>
          <w:szCs w:val="22"/>
        </w:rPr>
      </w:pPr>
      <w:r w:rsidRPr="004B0F10">
        <w:rPr>
          <w:szCs w:val="22"/>
        </w:rPr>
        <w:t xml:space="preserve">The </w:t>
      </w:r>
      <w:r>
        <w:rPr>
          <w:szCs w:val="22"/>
        </w:rPr>
        <w:t xml:space="preserve">statewide annual assessments from the </w:t>
      </w:r>
      <w:r w:rsidRPr="004B0F10">
        <w:rPr>
          <w:szCs w:val="22"/>
        </w:rPr>
        <w:t xml:space="preserve">Status Network will </w:t>
      </w:r>
      <w:r>
        <w:rPr>
          <w:szCs w:val="22"/>
        </w:rPr>
        <w:t>be available for the 2012 Integrated R</w:t>
      </w:r>
      <w:r w:rsidRPr="004B0F10">
        <w:rPr>
          <w:szCs w:val="22"/>
        </w:rPr>
        <w:t>eport cycle.</w:t>
      </w:r>
      <w:r>
        <w:rPr>
          <w:szCs w:val="22"/>
        </w:rPr>
        <w:t xml:space="preserve">  The r</w:t>
      </w:r>
      <w:r w:rsidRPr="004B0F10">
        <w:rPr>
          <w:szCs w:val="22"/>
        </w:rPr>
        <w:t xml:space="preserve">esults from both </w:t>
      </w:r>
      <w:r>
        <w:rPr>
          <w:szCs w:val="22"/>
        </w:rPr>
        <w:t xml:space="preserve">the </w:t>
      </w:r>
      <w:r w:rsidRPr="004B0F10">
        <w:rPr>
          <w:szCs w:val="22"/>
        </w:rPr>
        <w:t>Status and Trend Networks will continue to provide data on chemical, physical</w:t>
      </w:r>
      <w:r>
        <w:rPr>
          <w:szCs w:val="22"/>
        </w:rPr>
        <w:t>,</w:t>
      </w:r>
      <w:r w:rsidRPr="004B0F10">
        <w:rPr>
          <w:szCs w:val="22"/>
        </w:rPr>
        <w:t xml:space="preserve"> and biological indicators to managers, other programs</w:t>
      </w:r>
      <w:r>
        <w:rPr>
          <w:szCs w:val="22"/>
        </w:rPr>
        <w:t xml:space="preserve">, </w:t>
      </w:r>
      <w:r w:rsidRPr="004B0F10">
        <w:rPr>
          <w:szCs w:val="22"/>
        </w:rPr>
        <w:t>and data users to complement their programs.  Revisions to the design are anticipated as agency or other program needs change</w:t>
      </w:r>
      <w:r>
        <w:rPr>
          <w:szCs w:val="22"/>
        </w:rPr>
        <w:t xml:space="preserve">, and will be reported through the modification of the </w:t>
      </w:r>
      <w:hyperlink r:id="rId69" w:history="1">
        <w:r w:rsidR="003D799D" w:rsidRPr="009B7728">
          <w:rPr>
            <w:rStyle w:val="Hyperlink"/>
            <w:szCs w:val="22"/>
          </w:rPr>
          <w:t xml:space="preserve">Monitoring </w:t>
        </w:r>
        <w:r w:rsidR="003D799D">
          <w:rPr>
            <w:rStyle w:val="Hyperlink"/>
            <w:szCs w:val="22"/>
          </w:rPr>
          <w:t xml:space="preserve">Strategy </w:t>
        </w:r>
        <w:r w:rsidR="003D799D" w:rsidRPr="009B7728">
          <w:rPr>
            <w:rStyle w:val="Hyperlink"/>
            <w:szCs w:val="22"/>
          </w:rPr>
          <w:t>Design Document</w:t>
        </w:r>
      </w:hyperlink>
      <w:r>
        <w:rPr>
          <w:szCs w:val="22"/>
        </w:rPr>
        <w:t xml:space="preserve"> submitted to the EPA.</w:t>
      </w:r>
    </w:p>
    <w:p w:rsidR="00485094" w:rsidRPr="004B0F10" w:rsidRDefault="00485094" w:rsidP="00EA3D58">
      <w:pPr>
        <w:rPr>
          <w:sz w:val="22"/>
          <w:szCs w:val="22"/>
        </w:rPr>
      </w:pPr>
    </w:p>
    <w:p w:rsidR="00485094" w:rsidRPr="004B0F10" w:rsidRDefault="00485094" w:rsidP="00EA3D58">
      <w:pPr>
        <w:spacing w:after="200" w:line="276" w:lineRule="auto"/>
        <w:rPr>
          <w:rFonts w:ascii="Arial" w:hAnsi="Arial"/>
          <w:b/>
          <w:i/>
          <w:snapToGrid w:val="0"/>
          <w:sz w:val="22"/>
          <w:szCs w:val="22"/>
        </w:rPr>
      </w:pPr>
      <w:r w:rsidRPr="004B0F10">
        <w:rPr>
          <w:snapToGrid w:val="0"/>
          <w:sz w:val="22"/>
          <w:szCs w:val="22"/>
        </w:rPr>
        <w:br w:type="page"/>
      </w:r>
    </w:p>
    <w:p w:rsidR="00485094" w:rsidRPr="008201DF" w:rsidRDefault="00485094" w:rsidP="00EA3D58">
      <w:pPr>
        <w:pStyle w:val="Caption"/>
        <w:rPr>
          <w:szCs w:val="22"/>
        </w:rPr>
      </w:pPr>
      <w:bookmarkStart w:id="276" w:name="_Toc262464291"/>
      <w:bookmarkStart w:id="277" w:name="_Toc271280143"/>
      <w:r w:rsidRPr="008201DF">
        <w:rPr>
          <w:szCs w:val="22"/>
        </w:rPr>
        <w:lastRenderedPageBreak/>
        <w:t>Figure 5.2.  Status Monitoring Network Reporting Units</w:t>
      </w:r>
      <w:bookmarkEnd w:id="276"/>
      <w:bookmarkEnd w:id="277"/>
    </w:p>
    <w:p w:rsidR="00485094" w:rsidRPr="004B0F10" w:rsidRDefault="001717CD" w:rsidP="00EA3D58">
      <w:pPr>
        <w:pStyle w:val="Bodytext"/>
        <w:rPr>
          <w:b/>
          <w:i/>
          <w:szCs w:val="22"/>
        </w:rPr>
      </w:pPr>
      <w:r>
        <w:rPr>
          <w:b/>
          <w:i/>
          <w:noProof/>
          <w:szCs w:val="22"/>
        </w:rPr>
        <w:drawing>
          <wp:inline distT="0" distB="0" distL="0" distR="0">
            <wp:extent cx="5598795" cy="7315200"/>
            <wp:effectExtent l="19050" t="0" r="1905" b="0"/>
            <wp:docPr id="4" name="Picture 1" descr="Figure 5.2.  Status Monitoring Network Reporting Units.  This is a map of the state of Florida divided into the six regions or reporting units that are used in the Status Netw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5.2.  Status Monitoring Network Reporting Units"/>
                    <pic:cNvPicPr>
                      <a:picLocks noChangeAspect="1" noChangeArrowheads="1"/>
                    </pic:cNvPicPr>
                  </pic:nvPicPr>
                  <pic:blipFill>
                    <a:blip r:embed="rId70"/>
                    <a:srcRect/>
                    <a:stretch>
                      <a:fillRect/>
                    </a:stretch>
                  </pic:blipFill>
                  <pic:spPr bwMode="auto">
                    <a:xfrm>
                      <a:off x="0" y="0"/>
                      <a:ext cx="5598795" cy="7315200"/>
                    </a:xfrm>
                    <a:prstGeom prst="rect">
                      <a:avLst/>
                    </a:prstGeom>
                    <a:noFill/>
                    <a:ln w="9525">
                      <a:noFill/>
                      <a:miter lim="800000"/>
                      <a:headEnd/>
                      <a:tailEnd/>
                    </a:ln>
                  </pic:spPr>
                </pic:pic>
              </a:graphicData>
            </a:graphic>
          </wp:inline>
        </w:drawing>
      </w:r>
    </w:p>
    <w:p w:rsidR="00485094" w:rsidRPr="004B0F10" w:rsidRDefault="00485094" w:rsidP="00EA3D58">
      <w:pPr>
        <w:pStyle w:val="Bodytext"/>
        <w:rPr>
          <w:b/>
          <w:szCs w:val="22"/>
        </w:rPr>
      </w:pPr>
    </w:p>
    <w:p w:rsidR="00485094" w:rsidRPr="004B0F10" w:rsidRDefault="00485094" w:rsidP="00EA3D58">
      <w:pPr>
        <w:pStyle w:val="Bodytext"/>
        <w:rPr>
          <w:b/>
          <w:i/>
          <w:szCs w:val="22"/>
        </w:rPr>
      </w:pPr>
    </w:p>
    <w:p w:rsidR="00485094" w:rsidRPr="004B0F10" w:rsidRDefault="00485094" w:rsidP="00EA3D58">
      <w:pPr>
        <w:pStyle w:val="Bodytext"/>
        <w:rPr>
          <w:b/>
          <w:i/>
          <w:szCs w:val="22"/>
        </w:rPr>
      </w:pPr>
    </w:p>
    <w:p w:rsidR="00485094" w:rsidRPr="00613F21" w:rsidRDefault="00485094" w:rsidP="00EA3D58">
      <w:pPr>
        <w:pStyle w:val="Heading2"/>
      </w:pPr>
      <w:bookmarkStart w:id="278" w:name="_Toc262464143"/>
      <w:bookmarkStart w:id="279" w:name="_Toc271794336"/>
      <w:r w:rsidRPr="00613F21">
        <w:lastRenderedPageBreak/>
        <w:t>Trend Network</w:t>
      </w:r>
      <w:bookmarkEnd w:id="271"/>
      <w:bookmarkEnd w:id="272"/>
      <w:bookmarkEnd w:id="273"/>
      <w:bookmarkEnd w:id="278"/>
      <w:bookmarkEnd w:id="279"/>
    </w:p>
    <w:p w:rsidR="00485094" w:rsidRPr="000B41E6" w:rsidRDefault="00485094" w:rsidP="00EA3D58">
      <w:pPr>
        <w:rPr>
          <w:color w:val="1F497D"/>
          <w:sz w:val="22"/>
          <w:szCs w:val="22"/>
        </w:rPr>
      </w:pPr>
      <w:r w:rsidRPr="000B41E6">
        <w:rPr>
          <w:rFonts w:ascii="Arial" w:hAnsi="Arial" w:cs="Arial"/>
          <w:sz w:val="22"/>
          <w:szCs w:val="22"/>
        </w:rPr>
        <w:t xml:space="preserve">The Trend Network is designed to determine if there are changes over time in </w:t>
      </w:r>
      <w:r>
        <w:rPr>
          <w:rFonts w:ascii="Arial" w:hAnsi="Arial" w:cs="Arial"/>
          <w:sz w:val="22"/>
          <w:szCs w:val="22"/>
        </w:rPr>
        <w:t xml:space="preserve">the State’s major rivers and aquifers based on </w:t>
      </w:r>
      <w:r w:rsidRPr="000B41E6">
        <w:rPr>
          <w:rFonts w:ascii="Arial" w:hAnsi="Arial" w:cs="Arial"/>
          <w:sz w:val="22"/>
          <w:szCs w:val="22"/>
        </w:rPr>
        <w:t xml:space="preserve">selected </w:t>
      </w:r>
      <w:r w:rsidRPr="00F17C07">
        <w:rPr>
          <w:rFonts w:ascii="Arial" w:hAnsi="Arial" w:cs="Arial"/>
          <w:sz w:val="22"/>
          <w:szCs w:val="22"/>
        </w:rPr>
        <w:t>indicators (</w:t>
      </w:r>
      <w:r w:rsidRPr="00F17C07">
        <w:rPr>
          <w:rFonts w:ascii="Arial" w:hAnsi="Arial" w:cs="Arial"/>
          <w:b/>
          <w:i/>
          <w:sz w:val="22"/>
          <w:szCs w:val="22"/>
        </w:rPr>
        <w:t xml:space="preserve">Tables 5.4a </w:t>
      </w:r>
      <w:r w:rsidRPr="00F17C07">
        <w:rPr>
          <w:rFonts w:ascii="Arial" w:hAnsi="Arial" w:cs="Arial"/>
          <w:sz w:val="22"/>
          <w:szCs w:val="22"/>
        </w:rPr>
        <w:t>through</w:t>
      </w:r>
      <w:r w:rsidRPr="00F17C07">
        <w:rPr>
          <w:rFonts w:ascii="Arial" w:hAnsi="Arial" w:cs="Arial"/>
          <w:b/>
          <w:i/>
          <w:sz w:val="22"/>
          <w:szCs w:val="22"/>
        </w:rPr>
        <w:t xml:space="preserve"> 5.4</w:t>
      </w:r>
      <w:r>
        <w:rPr>
          <w:rFonts w:ascii="Arial" w:hAnsi="Arial" w:cs="Arial"/>
          <w:b/>
          <w:i/>
          <w:sz w:val="22"/>
          <w:szCs w:val="22"/>
        </w:rPr>
        <w:t>f</w:t>
      </w:r>
      <w:r w:rsidRPr="00F17C07">
        <w:rPr>
          <w:rFonts w:ascii="Arial" w:hAnsi="Arial" w:cs="Arial"/>
          <w:sz w:val="22"/>
          <w:szCs w:val="22"/>
        </w:rPr>
        <w:t>) at fixed sites.  To complete a statistically valid trend</w:t>
      </w:r>
      <w:r w:rsidRPr="000B41E6">
        <w:rPr>
          <w:rFonts w:ascii="Arial" w:hAnsi="Arial" w:cs="Arial"/>
          <w:sz w:val="22"/>
          <w:szCs w:val="22"/>
        </w:rPr>
        <w:t xml:space="preserve"> analysis, any periodicity implicit in the data must be identified by collecting a sufficient number of samples at regular intervals.  </w:t>
      </w:r>
      <w:r>
        <w:rPr>
          <w:rFonts w:ascii="Arial" w:hAnsi="Arial" w:cs="Arial"/>
          <w:sz w:val="22"/>
          <w:szCs w:val="22"/>
        </w:rPr>
        <w:t>For</w:t>
      </w:r>
      <w:r w:rsidRPr="000B41E6">
        <w:rPr>
          <w:rFonts w:ascii="Arial" w:hAnsi="Arial" w:cs="Arial"/>
          <w:sz w:val="22"/>
          <w:szCs w:val="22"/>
        </w:rPr>
        <w:t xml:space="preserve"> example, variability in data over seasons (seasonality) has </w:t>
      </w:r>
      <w:r>
        <w:rPr>
          <w:rFonts w:ascii="Arial" w:hAnsi="Arial" w:cs="Arial"/>
          <w:sz w:val="22"/>
          <w:szCs w:val="22"/>
        </w:rPr>
        <w:t xml:space="preserve">to </w:t>
      </w:r>
      <w:r w:rsidRPr="000B41E6">
        <w:rPr>
          <w:rFonts w:ascii="Arial" w:hAnsi="Arial" w:cs="Arial"/>
          <w:sz w:val="22"/>
          <w:szCs w:val="22"/>
        </w:rPr>
        <w:t>be shown for many surface water constituents</w:t>
      </w:r>
      <w:r>
        <w:rPr>
          <w:rFonts w:ascii="Arial" w:hAnsi="Arial" w:cs="Arial"/>
          <w:sz w:val="22"/>
          <w:szCs w:val="22"/>
        </w:rPr>
        <w:t xml:space="preserve">; </w:t>
      </w:r>
      <w:r w:rsidRPr="000B41E6">
        <w:rPr>
          <w:rFonts w:ascii="Arial" w:hAnsi="Arial" w:cs="Arial"/>
          <w:sz w:val="22"/>
          <w:szCs w:val="22"/>
        </w:rPr>
        <w:t>therefore</w:t>
      </w:r>
      <w:r>
        <w:rPr>
          <w:rFonts w:ascii="Arial" w:hAnsi="Arial" w:cs="Arial"/>
          <w:sz w:val="22"/>
          <w:szCs w:val="22"/>
        </w:rPr>
        <w:t>,</w:t>
      </w:r>
      <w:r w:rsidRPr="000B41E6">
        <w:rPr>
          <w:rFonts w:ascii="Arial" w:hAnsi="Arial" w:cs="Arial"/>
          <w:sz w:val="22"/>
          <w:szCs w:val="22"/>
        </w:rPr>
        <w:t xml:space="preserve"> an effort should be made to collect at least one sample in each season, four per year </w:t>
      </w:r>
      <w:r>
        <w:rPr>
          <w:rFonts w:ascii="Arial" w:hAnsi="Arial" w:cs="Arial"/>
          <w:sz w:val="22"/>
          <w:szCs w:val="22"/>
        </w:rPr>
        <w:t xml:space="preserve">at a </w:t>
      </w:r>
      <w:r w:rsidRPr="000B41E6">
        <w:rPr>
          <w:rFonts w:ascii="Arial" w:hAnsi="Arial" w:cs="Arial"/>
          <w:sz w:val="22"/>
          <w:szCs w:val="22"/>
        </w:rPr>
        <w:t>minimum.  However, surface waters are much more likely to be influenced by seasonal changes than ground</w:t>
      </w:r>
      <w:r>
        <w:rPr>
          <w:rFonts w:ascii="Arial" w:hAnsi="Arial" w:cs="Arial"/>
          <w:sz w:val="22"/>
          <w:szCs w:val="22"/>
        </w:rPr>
        <w:t xml:space="preserve"> </w:t>
      </w:r>
      <w:r w:rsidRPr="000B41E6">
        <w:rPr>
          <w:rFonts w:ascii="Arial" w:hAnsi="Arial" w:cs="Arial"/>
          <w:sz w:val="22"/>
          <w:szCs w:val="22"/>
        </w:rPr>
        <w:t>water and</w:t>
      </w:r>
      <w:r>
        <w:rPr>
          <w:rFonts w:ascii="Arial" w:hAnsi="Arial" w:cs="Arial"/>
          <w:sz w:val="22"/>
          <w:szCs w:val="22"/>
        </w:rPr>
        <w:t>,</w:t>
      </w:r>
      <w:r w:rsidRPr="000B41E6">
        <w:rPr>
          <w:rFonts w:ascii="Arial" w:hAnsi="Arial" w:cs="Arial"/>
          <w:sz w:val="22"/>
          <w:szCs w:val="22"/>
        </w:rPr>
        <w:t xml:space="preserve"> to p</w:t>
      </w:r>
      <w:r>
        <w:rPr>
          <w:rFonts w:ascii="Arial" w:hAnsi="Arial" w:cs="Arial"/>
          <w:sz w:val="22"/>
          <w:szCs w:val="22"/>
        </w:rPr>
        <w:t>revent any aliasing to the data, s</w:t>
      </w:r>
      <w:r w:rsidRPr="000B41E6">
        <w:rPr>
          <w:rFonts w:ascii="Arial" w:hAnsi="Arial" w:cs="Arial"/>
          <w:sz w:val="22"/>
          <w:szCs w:val="22"/>
        </w:rPr>
        <w:t>ampling should be conducted monthly.</w:t>
      </w:r>
    </w:p>
    <w:p w:rsidR="00485094" w:rsidRDefault="00485094" w:rsidP="00EA3D58">
      <w:pPr>
        <w:pStyle w:val="Bodytext"/>
        <w:rPr>
          <w:rFonts w:cs="Arial"/>
        </w:rPr>
      </w:pPr>
    </w:p>
    <w:p w:rsidR="00485094" w:rsidRDefault="00485094" w:rsidP="00EA3D58">
      <w:pPr>
        <w:pStyle w:val="Bodytext"/>
        <w:rPr>
          <w:rFonts w:cs="Arial"/>
        </w:rPr>
      </w:pPr>
      <w:r w:rsidRPr="00615965">
        <w:rPr>
          <w:rFonts w:cs="Arial"/>
        </w:rPr>
        <w:t xml:space="preserve">Trend Network data provide a temporal reference on </w:t>
      </w:r>
      <w:r>
        <w:rPr>
          <w:rFonts w:cs="Arial"/>
        </w:rPr>
        <w:t xml:space="preserve">a regional scale for the Status Network.  </w:t>
      </w:r>
      <w:r w:rsidRPr="00615965">
        <w:rPr>
          <w:rFonts w:cs="Arial"/>
        </w:rPr>
        <w:t xml:space="preserve">To </w:t>
      </w:r>
      <w:r>
        <w:rPr>
          <w:rFonts w:cs="Arial"/>
        </w:rPr>
        <w:t xml:space="preserve">facilitate the comparison of Trend Network </w:t>
      </w:r>
      <w:r w:rsidRPr="00615965">
        <w:rPr>
          <w:rFonts w:cs="Arial"/>
        </w:rPr>
        <w:t xml:space="preserve">results </w:t>
      </w:r>
      <w:r>
        <w:rPr>
          <w:rFonts w:cs="Arial"/>
        </w:rPr>
        <w:t xml:space="preserve">with those of the Status </w:t>
      </w:r>
      <w:r w:rsidRPr="00615965">
        <w:rPr>
          <w:rFonts w:cs="Arial"/>
        </w:rPr>
        <w:t xml:space="preserve">Network, </w:t>
      </w:r>
      <w:r>
        <w:rPr>
          <w:rFonts w:cs="Arial"/>
        </w:rPr>
        <w:t xml:space="preserve">FDEP separates the Trend </w:t>
      </w:r>
      <w:r w:rsidRPr="00615965">
        <w:rPr>
          <w:rFonts w:cs="Arial"/>
        </w:rPr>
        <w:t xml:space="preserve">Network into surface water (rivers and streams) and ground water (confined and unconfined aquifers) resources.  </w:t>
      </w:r>
    </w:p>
    <w:p w:rsidR="00485094" w:rsidRPr="00615965" w:rsidRDefault="00485094" w:rsidP="00EA3D58">
      <w:pPr>
        <w:pStyle w:val="Bodytext"/>
        <w:rPr>
          <w:rFonts w:cs="Arial"/>
        </w:rPr>
      </w:pPr>
    </w:p>
    <w:p w:rsidR="00485094" w:rsidRDefault="00485094" w:rsidP="00EA3D58">
      <w:pPr>
        <w:pStyle w:val="Tableheading"/>
      </w:pPr>
      <w:bookmarkStart w:id="280" w:name="_Toc255482812"/>
      <w:bookmarkStart w:id="281" w:name="_Toc255807470"/>
      <w:bookmarkStart w:id="282" w:name="_Toc262464234"/>
      <w:bookmarkStart w:id="283" w:name="_Toc271889828"/>
      <w:bookmarkStart w:id="284" w:name="_Toc243369003"/>
      <w:r w:rsidRPr="000F332D">
        <w:t xml:space="preserve">Table </w:t>
      </w:r>
      <w:r>
        <w:t>5.4a</w:t>
      </w:r>
      <w:r w:rsidRPr="000F332D">
        <w:t>.</w:t>
      </w:r>
      <w:r>
        <w:t xml:space="preserve">  Trend</w:t>
      </w:r>
      <w:r w:rsidRPr="000F332D">
        <w:t xml:space="preserve"> Network </w:t>
      </w:r>
      <w:r>
        <w:t>Field Measurement</w:t>
      </w:r>
      <w:r w:rsidRPr="000F332D">
        <w:t xml:space="preserve"> </w:t>
      </w:r>
      <w:r>
        <w:t>I</w:t>
      </w:r>
      <w:r w:rsidRPr="000F332D">
        <w:t>ndicators</w:t>
      </w:r>
      <w:bookmarkEnd w:id="280"/>
      <w:bookmarkEnd w:id="281"/>
      <w:bookmarkEnd w:id="282"/>
      <w:bookmarkEnd w:id="283"/>
    </w:p>
    <w:p w:rsidR="00485094" w:rsidRDefault="00485094" w:rsidP="00EA3D58">
      <w:pPr>
        <w:pStyle w:val="Bodytextreduced"/>
      </w:pPr>
    </w:p>
    <w:p w:rsidR="00485094" w:rsidRDefault="00485094" w:rsidP="00EA3D58">
      <w:pPr>
        <w:pStyle w:val="Bodytextreduced"/>
      </w:pPr>
      <w:bookmarkStart w:id="285" w:name="_Toc255482813"/>
      <w:r w:rsidRPr="005A1F92">
        <w:rPr>
          <w:b/>
        </w:rPr>
        <w:t>Note:</w:t>
      </w:r>
      <w:r w:rsidRPr="005A1F92">
        <w:t xml:space="preserve">  For </w:t>
      </w:r>
      <w:r w:rsidRPr="005A1F92">
        <w:rPr>
          <w:b/>
          <w:i/>
        </w:rPr>
        <w:t xml:space="preserve">Tables </w:t>
      </w:r>
      <w:r>
        <w:rPr>
          <w:b/>
          <w:i/>
        </w:rPr>
        <w:t>5.</w:t>
      </w:r>
      <w:r w:rsidRPr="005A1F92">
        <w:rPr>
          <w:b/>
          <w:i/>
        </w:rPr>
        <w:t>4a</w:t>
      </w:r>
      <w:r w:rsidRPr="005A1F92">
        <w:t xml:space="preserve"> through </w:t>
      </w:r>
      <w:r>
        <w:t>5</w:t>
      </w:r>
      <w:r w:rsidRPr="005A1F92">
        <w:rPr>
          <w:b/>
          <w:i/>
        </w:rPr>
        <w:t>.4f</w:t>
      </w:r>
      <w:r w:rsidRPr="005A1F92">
        <w:t xml:space="preserve">, all methods, unless otherwise stated, are based on EPA 600, </w:t>
      </w:r>
      <w:r w:rsidRPr="00F13A39">
        <w:rPr>
          <w:i/>
        </w:rPr>
        <w:t>Methods for Chemical Analysis of Water and Wastes</w:t>
      </w:r>
      <w:r w:rsidRPr="005A1F92">
        <w:t>.</w:t>
      </w:r>
    </w:p>
    <w:p w:rsidR="00485094" w:rsidRDefault="00485094" w:rsidP="00EA3D58">
      <w:pPr>
        <w:pStyle w:val="Bodytextreduced"/>
      </w:pPr>
    </w:p>
    <w:p w:rsidR="00485094" w:rsidRPr="00EE47B8" w:rsidRDefault="00485094" w:rsidP="00EA3D58">
      <w:pPr>
        <w:pStyle w:val="TabledescriptionBF"/>
      </w:pPr>
      <w:bookmarkStart w:id="286" w:name="_Toc255807471"/>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bookmarkEnd w:id="284"/>
      <w:bookmarkEnd w:id="285"/>
      <w:bookmarkEnd w:id="286"/>
    </w:p>
    <w:p w:rsidR="00485094" w:rsidRPr="005A1F92" w:rsidRDefault="00485094" w:rsidP="00EA3D58">
      <w:pPr>
        <w:pStyle w:val="Bodytextreduced"/>
      </w:pPr>
    </w:p>
    <w:p w:rsidR="00485094" w:rsidRPr="00111008" w:rsidRDefault="00485094" w:rsidP="00EA3D58">
      <w:pPr>
        <w:pStyle w:val="Bodytextreduced"/>
        <w:rPr>
          <w:szCs w:val="18"/>
        </w:rPr>
      </w:pPr>
      <w:r w:rsidRPr="00111008">
        <w:t>X = Other sample or measurement</w:t>
      </w:r>
      <w:r>
        <w:t xml:space="preserve">; </w:t>
      </w:r>
      <w:r w:rsidRPr="00111008">
        <w:t xml:space="preserve">N/A </w:t>
      </w:r>
      <w:r>
        <w:t>=</w:t>
      </w:r>
      <w:r w:rsidRPr="00111008">
        <w:t xml:space="preserve">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5A1F92" w:rsidTr="000F2909">
        <w:trPr>
          <w:trHeight w:val="264"/>
          <w:jc w:val="center"/>
        </w:trPr>
        <w:tc>
          <w:tcPr>
            <w:tcW w:w="3274" w:type="dxa"/>
            <w:tcBorders>
              <w:top w:val="single" w:sz="4" w:space="0" w:color="auto"/>
              <w:bottom w:val="double" w:sz="4" w:space="0" w:color="auto"/>
            </w:tcBorders>
            <w:shd w:val="clear" w:color="auto" w:fill="BDFFFF"/>
            <w:vAlign w:val="bottom"/>
          </w:tcPr>
          <w:p w:rsidR="00485094" w:rsidRPr="005A1F92" w:rsidRDefault="00485094" w:rsidP="00F01F27">
            <w:pPr>
              <w:pStyle w:val="TableText"/>
              <w:jc w:val="center"/>
              <w:rPr>
                <w:b/>
                <w:i/>
              </w:rPr>
            </w:pPr>
            <w:r w:rsidRPr="005A1F92">
              <w:rPr>
                <w:b/>
                <w:i/>
              </w:rPr>
              <w:t>Field Measurement Indicator</w:t>
            </w:r>
          </w:p>
        </w:tc>
        <w:tc>
          <w:tcPr>
            <w:tcW w:w="3083"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Analysis Method</w:t>
            </w:r>
          </w:p>
        </w:tc>
        <w:tc>
          <w:tcPr>
            <w:tcW w:w="1445"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BDFFFF"/>
            <w:vAlign w:val="bottom"/>
          </w:tcPr>
          <w:p w:rsidR="00485094" w:rsidRPr="005A1F92" w:rsidRDefault="00485094" w:rsidP="00453E80">
            <w:pPr>
              <w:pStyle w:val="TableText"/>
              <w:jc w:val="center"/>
              <w:rPr>
                <w:b/>
                <w:i/>
              </w:rPr>
            </w:pPr>
            <w:r w:rsidRPr="005A1F92">
              <w:rPr>
                <w:b/>
                <w:i/>
              </w:rPr>
              <w:t>Ground Water</w:t>
            </w:r>
          </w:p>
        </w:tc>
      </w:tr>
      <w:tr w:rsidR="00485094" w:rsidRPr="000F352A" w:rsidTr="00453E80">
        <w:trPr>
          <w:trHeight w:val="250"/>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pH</w:t>
            </w:r>
          </w:p>
        </w:tc>
        <w:tc>
          <w:tcPr>
            <w:tcW w:w="3083" w:type="dxa"/>
            <w:tcBorders>
              <w:top w:val="double" w:sz="4" w:space="0" w:color="auto"/>
            </w:tcBorders>
            <w:vAlign w:val="center"/>
          </w:tcPr>
          <w:p w:rsidR="00485094" w:rsidRPr="00590B64" w:rsidRDefault="00485094" w:rsidP="00453E80">
            <w:pPr>
              <w:pStyle w:val="TableText"/>
              <w:jc w:val="center"/>
            </w:pPr>
            <w:r w:rsidRPr="00590B64">
              <w:t>Method 150.1</w:t>
            </w:r>
          </w:p>
        </w:tc>
        <w:tc>
          <w:tcPr>
            <w:tcW w:w="1445" w:type="dxa"/>
            <w:tcBorders>
              <w:top w:val="double" w:sz="4" w:space="0" w:color="auto"/>
            </w:tcBorders>
            <w:vAlign w:val="center"/>
          </w:tcPr>
          <w:p w:rsidR="00485094" w:rsidRPr="00590B64" w:rsidRDefault="00485094" w:rsidP="00453E80">
            <w:pPr>
              <w:pStyle w:val="TableText"/>
              <w:jc w:val="center"/>
            </w:pPr>
            <w:r>
              <w:t>X</w:t>
            </w:r>
          </w:p>
        </w:tc>
        <w:tc>
          <w:tcPr>
            <w:tcW w:w="1445" w:type="dxa"/>
            <w:tcBorders>
              <w:top w:val="double" w:sz="4" w:space="0" w:color="auto"/>
            </w:tcBorders>
            <w:vAlign w:val="center"/>
          </w:tcPr>
          <w:p w:rsidR="00485094" w:rsidRPr="00590B64" w:rsidRDefault="00485094" w:rsidP="00453E80">
            <w:pPr>
              <w:pStyle w:val="TableText"/>
              <w:jc w:val="center"/>
            </w:pPr>
            <w:r>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Temperature</w:t>
            </w:r>
          </w:p>
        </w:tc>
        <w:tc>
          <w:tcPr>
            <w:tcW w:w="3083" w:type="dxa"/>
            <w:vAlign w:val="center"/>
          </w:tcPr>
          <w:p w:rsidR="00485094" w:rsidRPr="00590B64" w:rsidRDefault="00485094" w:rsidP="00453E80">
            <w:pPr>
              <w:pStyle w:val="TableText"/>
              <w:jc w:val="center"/>
            </w:pPr>
            <w:r>
              <w:t xml:space="preserve">Method </w:t>
            </w:r>
            <w:r w:rsidRPr="00590B64">
              <w:t>170.1</w:t>
            </w:r>
          </w:p>
        </w:tc>
        <w:tc>
          <w:tcPr>
            <w:tcW w:w="1445" w:type="dxa"/>
            <w:vAlign w:val="center"/>
          </w:tcPr>
          <w:p w:rsidR="00485094" w:rsidRPr="00590B64" w:rsidRDefault="00485094" w:rsidP="00453E80">
            <w:pPr>
              <w:pStyle w:val="TableText"/>
              <w:jc w:val="center"/>
            </w:pPr>
            <w:r>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Specific Conductance</w:t>
            </w:r>
            <w:r>
              <w:t>/Salinity</w:t>
            </w:r>
          </w:p>
        </w:tc>
        <w:tc>
          <w:tcPr>
            <w:tcW w:w="3083" w:type="dxa"/>
            <w:vAlign w:val="center"/>
          </w:tcPr>
          <w:p w:rsidR="00485094" w:rsidRPr="00590B64" w:rsidRDefault="00485094" w:rsidP="00453E80">
            <w:pPr>
              <w:pStyle w:val="TableText"/>
              <w:jc w:val="center"/>
            </w:pPr>
            <w:r w:rsidRPr="00590B64">
              <w:t>Method 120.1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Dissolved Oxygen</w:t>
            </w:r>
          </w:p>
        </w:tc>
        <w:tc>
          <w:tcPr>
            <w:tcW w:w="3083" w:type="dxa"/>
            <w:vAlign w:val="center"/>
          </w:tcPr>
          <w:p w:rsidR="00485094" w:rsidRPr="00590B64" w:rsidRDefault="00485094" w:rsidP="00453E80">
            <w:pPr>
              <w:pStyle w:val="TableText"/>
              <w:jc w:val="center"/>
            </w:pPr>
            <w:r w:rsidRPr="00590B64">
              <w:t>Method 360.1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rsidRPr="00590B64">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t>Turbidity</w:t>
            </w:r>
          </w:p>
        </w:tc>
        <w:tc>
          <w:tcPr>
            <w:tcW w:w="3083" w:type="dxa"/>
            <w:vAlign w:val="center"/>
          </w:tcPr>
          <w:p w:rsidR="00485094" w:rsidRPr="00590B64" w:rsidRDefault="00485094" w:rsidP="00453E80">
            <w:pPr>
              <w:pStyle w:val="TableText"/>
              <w:jc w:val="center"/>
            </w:pPr>
            <w:r>
              <w:t>DEP-SOP-001/01 FT 1600</w:t>
            </w:r>
          </w:p>
        </w:tc>
        <w:tc>
          <w:tcPr>
            <w:tcW w:w="1445" w:type="dxa"/>
            <w:vAlign w:val="center"/>
          </w:tcPr>
          <w:p w:rsidR="00485094" w:rsidRPr="00590B64" w:rsidRDefault="00485094" w:rsidP="00453E80">
            <w:pPr>
              <w:pStyle w:val="TableText"/>
              <w:jc w:val="center"/>
            </w:pPr>
            <w:r>
              <w:t>N/A</w:t>
            </w:r>
          </w:p>
        </w:tc>
        <w:tc>
          <w:tcPr>
            <w:tcW w:w="1445" w:type="dxa"/>
            <w:vAlign w:val="center"/>
          </w:tcPr>
          <w:p w:rsidR="00485094" w:rsidRPr="00590B64" w:rsidRDefault="00485094" w:rsidP="00453E80">
            <w:pPr>
              <w:pStyle w:val="TableText"/>
              <w:jc w:val="center"/>
            </w:pPr>
            <w:r>
              <w:t>X</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Secchi Depth</w:t>
            </w:r>
          </w:p>
        </w:tc>
        <w:tc>
          <w:tcPr>
            <w:tcW w:w="3083" w:type="dxa"/>
            <w:vAlign w:val="center"/>
          </w:tcPr>
          <w:p w:rsidR="00485094" w:rsidRPr="00590B64" w:rsidRDefault="00485094" w:rsidP="00453E80">
            <w:pPr>
              <w:pStyle w:val="TableText"/>
              <w:jc w:val="center"/>
            </w:pPr>
            <w:r w:rsidRPr="00590B64">
              <w:t>Welch (1948); EPA 620/R-97/001</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t>N/A</w:t>
            </w:r>
          </w:p>
        </w:tc>
      </w:tr>
      <w:tr w:rsidR="00485094" w:rsidRPr="000F352A" w:rsidTr="00453E80">
        <w:trPr>
          <w:trHeight w:val="235"/>
          <w:jc w:val="center"/>
        </w:trPr>
        <w:tc>
          <w:tcPr>
            <w:tcW w:w="3274" w:type="dxa"/>
            <w:shd w:val="clear" w:color="auto" w:fill="FFFFCC"/>
            <w:vAlign w:val="center"/>
          </w:tcPr>
          <w:p w:rsidR="00485094" w:rsidRPr="00DC7295" w:rsidRDefault="00485094" w:rsidP="00453E80">
            <w:pPr>
              <w:pStyle w:val="TableText"/>
              <w:jc w:val="center"/>
            </w:pPr>
            <w:r w:rsidRPr="00DC7295">
              <w:t>Total Depth</w:t>
            </w:r>
          </w:p>
        </w:tc>
        <w:tc>
          <w:tcPr>
            <w:tcW w:w="3083" w:type="dxa"/>
            <w:vAlign w:val="center"/>
          </w:tcPr>
          <w:p w:rsidR="00485094" w:rsidRPr="00DC7295" w:rsidRDefault="00485094" w:rsidP="00453E80">
            <w:pPr>
              <w:pStyle w:val="TableText"/>
              <w:jc w:val="center"/>
            </w:pPr>
            <w:r>
              <w:t>M</w:t>
            </w:r>
            <w:r w:rsidRPr="00DC7295">
              <w:t>anual/electronic measuring device</w:t>
            </w:r>
          </w:p>
        </w:tc>
        <w:tc>
          <w:tcPr>
            <w:tcW w:w="1445" w:type="dxa"/>
            <w:vAlign w:val="center"/>
          </w:tcPr>
          <w:p w:rsidR="00485094" w:rsidRPr="00DC7295" w:rsidRDefault="00485094" w:rsidP="00453E80">
            <w:pPr>
              <w:pStyle w:val="TableText"/>
              <w:jc w:val="center"/>
            </w:pPr>
            <w:r w:rsidRPr="00DC7295">
              <w:t>X</w:t>
            </w:r>
          </w:p>
        </w:tc>
        <w:tc>
          <w:tcPr>
            <w:tcW w:w="1445" w:type="dxa"/>
            <w:vAlign w:val="center"/>
          </w:tcPr>
          <w:p w:rsidR="00485094" w:rsidRPr="00DC7295" w:rsidRDefault="00485094" w:rsidP="00453E80">
            <w:pPr>
              <w:pStyle w:val="TableText"/>
              <w:jc w:val="center"/>
            </w:pPr>
            <w:r w:rsidRPr="00DC7295">
              <w:t>N/A</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Sample Depth</w:t>
            </w:r>
          </w:p>
        </w:tc>
        <w:tc>
          <w:tcPr>
            <w:tcW w:w="3083" w:type="dxa"/>
            <w:vAlign w:val="center"/>
          </w:tcPr>
          <w:p w:rsidR="00485094" w:rsidRPr="00590B64" w:rsidRDefault="00485094" w:rsidP="00453E80">
            <w:pPr>
              <w:pStyle w:val="TableText"/>
              <w:jc w:val="center"/>
            </w:pPr>
            <w:r>
              <w:t>Manual/</w:t>
            </w:r>
            <w:r w:rsidRPr="00590B64">
              <w:t>electronic measuring devi</w:t>
            </w:r>
            <w:r>
              <w:t>c</w:t>
            </w:r>
            <w:r w:rsidRPr="00590B64">
              <w:t>e</w:t>
            </w:r>
          </w:p>
        </w:tc>
        <w:tc>
          <w:tcPr>
            <w:tcW w:w="1445" w:type="dxa"/>
            <w:vAlign w:val="center"/>
          </w:tcPr>
          <w:p w:rsidR="00485094" w:rsidRPr="00590B64" w:rsidRDefault="00485094" w:rsidP="00453E80">
            <w:pPr>
              <w:pStyle w:val="TableText"/>
              <w:jc w:val="center"/>
            </w:pPr>
            <w:r w:rsidRPr="00590B64">
              <w:t>X</w:t>
            </w:r>
          </w:p>
        </w:tc>
        <w:tc>
          <w:tcPr>
            <w:tcW w:w="1445" w:type="dxa"/>
            <w:vAlign w:val="center"/>
          </w:tcPr>
          <w:p w:rsidR="00485094" w:rsidRPr="00590B64" w:rsidRDefault="00485094" w:rsidP="00453E80">
            <w:pPr>
              <w:pStyle w:val="TableText"/>
              <w:jc w:val="center"/>
            </w:pPr>
            <w:r>
              <w:t>N/A</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Depth to Water</w:t>
            </w:r>
          </w:p>
        </w:tc>
        <w:tc>
          <w:tcPr>
            <w:tcW w:w="3083" w:type="dxa"/>
            <w:tcBorders>
              <w:bottom w:val="single" w:sz="4" w:space="0" w:color="auto"/>
            </w:tcBorders>
            <w:vAlign w:val="center"/>
          </w:tcPr>
          <w:p w:rsidR="00485094" w:rsidRPr="00590B64" w:rsidRDefault="00485094" w:rsidP="00453E80">
            <w:pPr>
              <w:pStyle w:val="TableText"/>
              <w:jc w:val="center"/>
            </w:pPr>
            <w:r>
              <w:t>Steel tape and/or chalk</w:t>
            </w:r>
          </w:p>
        </w:tc>
        <w:tc>
          <w:tcPr>
            <w:tcW w:w="1445" w:type="dxa"/>
            <w:tcBorders>
              <w:bottom w:val="single" w:sz="4" w:space="0" w:color="auto"/>
            </w:tcBorders>
            <w:vAlign w:val="center"/>
          </w:tcPr>
          <w:p w:rsidR="00485094" w:rsidRPr="00590B64" w:rsidRDefault="00485094" w:rsidP="00453E80">
            <w:pPr>
              <w:pStyle w:val="TableText"/>
              <w:jc w:val="center"/>
            </w:pPr>
            <w:r>
              <w:t>N/A</w:t>
            </w:r>
          </w:p>
        </w:tc>
        <w:tc>
          <w:tcPr>
            <w:tcW w:w="1445" w:type="dxa"/>
            <w:tcBorders>
              <w:bottom w:val="single" w:sz="4" w:space="0" w:color="auto"/>
            </w:tcBorders>
            <w:vAlign w:val="center"/>
          </w:tcPr>
          <w:p w:rsidR="00485094" w:rsidRPr="00590B64" w:rsidRDefault="00485094" w:rsidP="00453E80">
            <w:pPr>
              <w:pStyle w:val="TableText"/>
              <w:jc w:val="center"/>
            </w:pPr>
            <w:r>
              <w:t>X</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87" w:name="_Toc255482814"/>
      <w:bookmarkStart w:id="288" w:name="_Toc255807472"/>
      <w:bookmarkStart w:id="289" w:name="_Toc262464235"/>
      <w:bookmarkStart w:id="290" w:name="_Toc271889829"/>
      <w:r w:rsidRPr="000F332D">
        <w:t xml:space="preserve">Table </w:t>
      </w:r>
      <w:r>
        <w:t>5.4b</w:t>
      </w:r>
      <w:r w:rsidRPr="000F332D">
        <w:t>.</w:t>
      </w:r>
      <w:r>
        <w:t xml:space="preserve">  Trend</w:t>
      </w:r>
      <w:r w:rsidRPr="000F332D">
        <w:t xml:space="preserve"> Network </w:t>
      </w:r>
      <w:r>
        <w:t>Biological and Microbiological</w:t>
      </w:r>
      <w:r w:rsidRPr="000F332D">
        <w:t xml:space="preserve"> </w:t>
      </w:r>
      <w:r>
        <w:t>I</w:t>
      </w:r>
      <w:r w:rsidRPr="000F332D">
        <w:t>ndicators</w:t>
      </w:r>
      <w:bookmarkEnd w:id="287"/>
      <w:bookmarkEnd w:id="288"/>
      <w:bookmarkEnd w:id="289"/>
      <w:bookmarkEnd w:id="290"/>
    </w:p>
    <w:p w:rsidR="00485094" w:rsidRDefault="00485094" w:rsidP="00EA3D58">
      <w:pPr>
        <w:pStyle w:val="Bodytextreduced"/>
      </w:pPr>
      <w:bookmarkStart w:id="291" w:name="_Toc255482815"/>
      <w:bookmarkStart w:id="292" w:name="_Toc255807473"/>
    </w:p>
    <w:bookmarkEnd w:id="291"/>
    <w:bookmarkEnd w:id="292"/>
    <w:p w:rsidR="00485094" w:rsidRPr="00EE47B8" w:rsidRDefault="00485094" w:rsidP="00EA3D58">
      <w:pPr>
        <w:pStyle w:val="TabledescriptionBF"/>
      </w:pPr>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p>
    <w:p w:rsidR="00485094" w:rsidRDefault="00485094" w:rsidP="00EA3D58">
      <w:pPr>
        <w:pStyle w:val="Tableheading"/>
        <w:rPr>
          <w:b w:val="0"/>
          <w:sz w:val="18"/>
          <w:szCs w:val="18"/>
        </w:rPr>
      </w:pPr>
    </w:p>
    <w:p w:rsidR="00485094" w:rsidRDefault="00485094" w:rsidP="00EA3D58">
      <w:pPr>
        <w:pStyle w:val="Bodytextreduced"/>
      </w:pPr>
      <w:r>
        <w:rPr>
          <w:vertAlign w:val="superscript"/>
        </w:rPr>
        <w:t xml:space="preserve">1 </w:t>
      </w:r>
      <w:r w:rsidRPr="00DB3E80">
        <w:t>2004</w:t>
      </w:r>
      <w:r>
        <w:t>–</w:t>
      </w:r>
      <w:r w:rsidRPr="00DB3E80">
        <w:t>07 SM 9230C</w:t>
      </w:r>
      <w:r>
        <w:t xml:space="preserve"> </w:t>
      </w:r>
    </w:p>
    <w:p w:rsidR="00485094" w:rsidRPr="0005447D"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X = </w:t>
      </w:r>
      <w:r>
        <w:rPr>
          <w:snapToGrid w:val="0"/>
        </w:rPr>
        <w:t>O</w:t>
      </w:r>
      <w:r w:rsidRPr="0005447D">
        <w:rPr>
          <w:snapToGrid w:val="0"/>
        </w:rPr>
        <w:t xml:space="preserve">ther </w:t>
      </w:r>
      <w:r>
        <w:rPr>
          <w:snapToGrid w:val="0"/>
        </w:rPr>
        <w:t>s</w:t>
      </w:r>
      <w:r w:rsidRPr="0005447D">
        <w:rPr>
          <w:snapToGrid w:val="0"/>
        </w:rPr>
        <w:t xml:space="preserve">ample or </w:t>
      </w:r>
      <w:r>
        <w:rPr>
          <w:snapToGrid w:val="0"/>
        </w:rPr>
        <w:t>m</w:t>
      </w:r>
      <w:r w:rsidRPr="0005447D">
        <w:rPr>
          <w:snapToGrid w:val="0"/>
        </w:rPr>
        <w:t>easurement</w:t>
      </w:r>
      <w:r>
        <w:rPr>
          <w:snapToGrid w:val="0"/>
        </w:rPr>
        <w:t>; N/A = Not applicable</w:t>
      </w:r>
    </w:p>
    <w:p w:rsidR="00485094" w:rsidRDefault="00485094" w:rsidP="00EA3D58">
      <w:pPr>
        <w:pStyle w:val="Bodytextreduced"/>
        <w:rPr>
          <w:snapToGrid w:val="0"/>
        </w:rPr>
      </w:pPr>
      <w:r>
        <w:rPr>
          <w:snapToGrid w:val="0"/>
          <w:vertAlign w:val="superscript"/>
        </w:rPr>
        <w:t>2</w:t>
      </w:r>
      <w:r w:rsidRPr="0005447D">
        <w:rPr>
          <w:snapToGrid w:val="0"/>
        </w:rPr>
        <w:t xml:space="preserve"> </w:t>
      </w:r>
      <w:r>
        <w:rPr>
          <w:snapToGrid w:val="0"/>
        </w:rPr>
        <w:t>C</w:t>
      </w:r>
      <w:r w:rsidRPr="0005447D">
        <w:rPr>
          <w:snapToGrid w:val="0"/>
        </w:rPr>
        <w:t>ollected once a year per site</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485094" w:rsidRPr="005A1F92" w:rsidTr="00F01F27">
        <w:trPr>
          <w:trHeight w:val="235"/>
          <w:jc w:val="center"/>
        </w:trPr>
        <w:tc>
          <w:tcPr>
            <w:tcW w:w="3274" w:type="dxa"/>
            <w:tcBorders>
              <w:top w:val="single" w:sz="4" w:space="0" w:color="auto"/>
              <w:left w:val="single" w:sz="4"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Biological/Microbiological Indicator</w:t>
            </w:r>
          </w:p>
        </w:tc>
        <w:tc>
          <w:tcPr>
            <w:tcW w:w="3083"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right w:val="single" w:sz="4" w:space="0" w:color="auto"/>
            </w:tcBorders>
            <w:shd w:val="clear" w:color="auto" w:fill="BDFFFF"/>
            <w:vAlign w:val="center"/>
          </w:tcPr>
          <w:p w:rsidR="00485094" w:rsidRPr="005A1F92" w:rsidRDefault="00485094" w:rsidP="00453E80">
            <w:pPr>
              <w:pStyle w:val="TableText"/>
              <w:jc w:val="center"/>
              <w:rPr>
                <w:b/>
                <w:i/>
              </w:rPr>
            </w:pPr>
            <w:r w:rsidRPr="005A1F92">
              <w:rPr>
                <w:b/>
                <w:i/>
              </w:rPr>
              <w:t>Ground Water</w:t>
            </w:r>
          </w:p>
        </w:tc>
      </w:tr>
      <w:tr w:rsidR="00485094" w:rsidRPr="000F352A" w:rsidTr="00F01F27">
        <w:trPr>
          <w:trHeight w:val="235"/>
          <w:jc w:val="center"/>
        </w:trPr>
        <w:tc>
          <w:tcPr>
            <w:tcW w:w="3274" w:type="dxa"/>
            <w:tcBorders>
              <w:top w:val="double" w:sz="4" w:space="0" w:color="auto"/>
              <w:left w:val="single" w:sz="4" w:space="0" w:color="auto"/>
            </w:tcBorders>
            <w:shd w:val="clear" w:color="auto" w:fill="FFFFCC"/>
            <w:vAlign w:val="center"/>
          </w:tcPr>
          <w:p w:rsidR="00485094" w:rsidRPr="00590B64" w:rsidRDefault="00485094" w:rsidP="00453E80">
            <w:pPr>
              <w:pStyle w:val="TableText"/>
              <w:jc w:val="center"/>
            </w:pPr>
            <w:r w:rsidRPr="00590B64">
              <w:t>Chlorophyll</w:t>
            </w:r>
            <w:r>
              <w:t xml:space="preserve"> </w:t>
            </w:r>
            <w:r w:rsidRPr="00D278AF">
              <w:rPr>
                <w:i/>
              </w:rPr>
              <w:t>a</w:t>
            </w:r>
          </w:p>
        </w:tc>
        <w:tc>
          <w:tcPr>
            <w:tcW w:w="3083" w:type="dxa"/>
            <w:tcBorders>
              <w:top w:val="double" w:sz="4" w:space="0" w:color="auto"/>
            </w:tcBorders>
            <w:vAlign w:val="center"/>
          </w:tcPr>
          <w:p w:rsidR="00485094" w:rsidRPr="00590B64" w:rsidRDefault="00485094" w:rsidP="00453E80">
            <w:pPr>
              <w:pStyle w:val="TableText"/>
              <w:jc w:val="center"/>
            </w:pPr>
            <w:r w:rsidRPr="00590B64">
              <w:t>SM 10200 H (modified)</w:t>
            </w:r>
          </w:p>
        </w:tc>
        <w:tc>
          <w:tcPr>
            <w:tcW w:w="1445" w:type="dxa"/>
            <w:tcBorders>
              <w:top w:val="double" w:sz="4" w:space="0" w:color="auto"/>
            </w:tcBorders>
            <w:vAlign w:val="center"/>
          </w:tcPr>
          <w:p w:rsidR="00485094" w:rsidRPr="00590B64" w:rsidRDefault="00485094" w:rsidP="00453E80">
            <w:pPr>
              <w:pStyle w:val="TableText"/>
              <w:jc w:val="center"/>
            </w:pPr>
            <w:r>
              <w:t>T</w:t>
            </w:r>
          </w:p>
        </w:tc>
        <w:tc>
          <w:tcPr>
            <w:tcW w:w="1445" w:type="dxa"/>
            <w:tcBorders>
              <w:top w:val="double" w:sz="4" w:space="0" w:color="auto"/>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Biological Community (SCI)</w:t>
            </w:r>
          </w:p>
        </w:tc>
        <w:tc>
          <w:tcPr>
            <w:tcW w:w="3083" w:type="dxa"/>
            <w:vAlign w:val="center"/>
          </w:tcPr>
          <w:p w:rsidR="00485094" w:rsidRPr="00590B64" w:rsidRDefault="00485094" w:rsidP="00453E80">
            <w:pPr>
              <w:pStyle w:val="TableText"/>
              <w:jc w:val="center"/>
            </w:pPr>
            <w:r w:rsidRPr="00590B64">
              <w:t>SM 10500 C (modified)</w:t>
            </w:r>
          </w:p>
        </w:tc>
        <w:tc>
          <w:tcPr>
            <w:tcW w:w="1445" w:type="dxa"/>
            <w:vAlign w:val="center"/>
          </w:tcPr>
          <w:p w:rsidR="00485094" w:rsidRPr="00590B64" w:rsidRDefault="00485094" w:rsidP="00453E80">
            <w:pPr>
              <w:pStyle w:val="TableText"/>
              <w:jc w:val="center"/>
            </w:pPr>
            <w:r>
              <w:t>X</w:t>
            </w:r>
            <w:r w:rsidRPr="00111008">
              <w:rPr>
                <w:vertAlign w:val="superscript"/>
              </w:rPr>
              <w:t>1</w:t>
            </w:r>
            <w:r>
              <w:rPr>
                <w:vertAlign w:val="superscript"/>
              </w:rPr>
              <w:t>,2</w:t>
            </w:r>
          </w:p>
        </w:tc>
        <w:tc>
          <w:tcPr>
            <w:tcW w:w="1445" w:type="dxa"/>
            <w:tcBorders>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Habitat Assessment</w:t>
            </w:r>
          </w:p>
        </w:tc>
        <w:tc>
          <w:tcPr>
            <w:tcW w:w="3083" w:type="dxa"/>
            <w:vAlign w:val="center"/>
          </w:tcPr>
          <w:p w:rsidR="00485094" w:rsidRPr="00590B64" w:rsidRDefault="00485094" w:rsidP="00453E80">
            <w:pPr>
              <w:pStyle w:val="TableText"/>
              <w:jc w:val="center"/>
            </w:pPr>
            <w:r>
              <w:t>DEP-SOP-001/01 FT 3000</w:t>
            </w:r>
          </w:p>
        </w:tc>
        <w:tc>
          <w:tcPr>
            <w:tcW w:w="1445" w:type="dxa"/>
            <w:vAlign w:val="center"/>
          </w:tcPr>
          <w:p w:rsidR="00485094" w:rsidRPr="00590B64" w:rsidRDefault="00485094" w:rsidP="00596DA9">
            <w:pPr>
              <w:pStyle w:val="TableText"/>
              <w:jc w:val="center"/>
            </w:pPr>
            <w:r>
              <w:t>X</w:t>
            </w:r>
            <w:r>
              <w:rPr>
                <w:vertAlign w:val="superscript"/>
              </w:rPr>
              <w:t>2</w:t>
            </w:r>
          </w:p>
        </w:tc>
        <w:tc>
          <w:tcPr>
            <w:tcW w:w="1445" w:type="dxa"/>
            <w:tcBorders>
              <w:right w:val="single" w:sz="4" w:space="0" w:color="auto"/>
            </w:tcBorders>
            <w:vAlign w:val="center"/>
          </w:tcPr>
          <w:p w:rsidR="00485094" w:rsidRPr="00BA3600" w:rsidRDefault="00485094" w:rsidP="00453E80">
            <w:pPr>
              <w:jc w:val="center"/>
              <w:rPr>
                <w:rFonts w:ascii="Arial" w:hAnsi="Arial" w:cs="Arial"/>
                <w:sz w:val="18"/>
                <w:szCs w:val="18"/>
              </w:rPr>
            </w:pPr>
            <w:r w:rsidRPr="00BA3600">
              <w:rPr>
                <w:rFonts w:ascii="Arial" w:hAnsi="Arial" w:cs="Arial"/>
                <w:sz w:val="18"/>
                <w:szCs w:val="18"/>
              </w:rPr>
              <w:t>N/A</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Total Coliform</w:t>
            </w:r>
          </w:p>
        </w:tc>
        <w:tc>
          <w:tcPr>
            <w:tcW w:w="3083" w:type="dxa"/>
            <w:vAlign w:val="center"/>
          </w:tcPr>
          <w:p w:rsidR="00485094" w:rsidRPr="00590B64" w:rsidRDefault="00485094" w:rsidP="00453E80">
            <w:pPr>
              <w:pStyle w:val="TableText"/>
              <w:jc w:val="center"/>
            </w:pPr>
            <w:r w:rsidRPr="00590B64">
              <w:t xml:space="preserve">SM </w:t>
            </w:r>
            <w:r>
              <w:t>9222</w:t>
            </w:r>
            <w:r w:rsidRPr="00590B64">
              <w:t>B</w:t>
            </w:r>
          </w:p>
        </w:tc>
        <w:tc>
          <w:tcPr>
            <w:tcW w:w="1445" w:type="dxa"/>
            <w:vAlign w:val="center"/>
          </w:tcPr>
          <w:p w:rsidR="00485094" w:rsidRPr="00590B64" w:rsidRDefault="00485094" w:rsidP="00453E80">
            <w:pPr>
              <w:pStyle w:val="TableText"/>
              <w:jc w:val="center"/>
            </w:pPr>
            <w:r>
              <w:t>N/A</w:t>
            </w:r>
          </w:p>
        </w:tc>
        <w:tc>
          <w:tcPr>
            <w:tcW w:w="1445" w:type="dxa"/>
            <w:tcBorders>
              <w:right w:val="single" w:sz="4" w:space="0" w:color="auto"/>
            </w:tcBorders>
            <w:vAlign w:val="center"/>
          </w:tcPr>
          <w:p w:rsidR="00485094" w:rsidRPr="00590B64" w:rsidRDefault="00485094" w:rsidP="00453E80">
            <w:pPr>
              <w:pStyle w:val="TableText"/>
              <w:jc w:val="center"/>
            </w:pPr>
            <w:r w:rsidRPr="00590B64">
              <w:t>T</w:t>
            </w:r>
          </w:p>
        </w:tc>
      </w:tr>
      <w:tr w:rsidR="00485094" w:rsidRPr="000F352A" w:rsidTr="00F01F27">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Fecal Coliform</w:t>
            </w:r>
          </w:p>
        </w:tc>
        <w:tc>
          <w:tcPr>
            <w:tcW w:w="3083" w:type="dxa"/>
            <w:vAlign w:val="center"/>
          </w:tcPr>
          <w:p w:rsidR="00485094" w:rsidRPr="00590B64" w:rsidRDefault="00485094" w:rsidP="00453E80">
            <w:pPr>
              <w:pStyle w:val="TableText"/>
              <w:jc w:val="center"/>
            </w:pPr>
            <w:r>
              <w:t>SM 9222</w:t>
            </w:r>
            <w:r w:rsidRPr="00590B64">
              <w:t>D</w:t>
            </w:r>
          </w:p>
        </w:tc>
        <w:tc>
          <w:tcPr>
            <w:tcW w:w="1445" w:type="dxa"/>
            <w:vAlign w:val="center"/>
          </w:tcPr>
          <w:p w:rsidR="00485094" w:rsidRPr="00590B64" w:rsidRDefault="00485094" w:rsidP="00453E80">
            <w:pPr>
              <w:pStyle w:val="TableText"/>
              <w:jc w:val="center"/>
            </w:pPr>
            <w:r>
              <w:t>T</w:t>
            </w:r>
          </w:p>
        </w:tc>
        <w:tc>
          <w:tcPr>
            <w:tcW w:w="1445" w:type="dxa"/>
            <w:tcBorders>
              <w:right w:val="single" w:sz="4" w:space="0" w:color="auto"/>
            </w:tcBorders>
            <w:vAlign w:val="center"/>
          </w:tcPr>
          <w:p w:rsidR="00485094" w:rsidRPr="00590B64" w:rsidRDefault="00485094" w:rsidP="00453E80">
            <w:pPr>
              <w:pStyle w:val="TableText"/>
              <w:jc w:val="center"/>
            </w:pPr>
            <w:r>
              <w:t>T</w:t>
            </w:r>
          </w:p>
        </w:tc>
      </w:tr>
      <w:tr w:rsidR="00485094" w:rsidRPr="000F352A" w:rsidTr="00F01F27">
        <w:trPr>
          <w:trHeight w:val="235"/>
          <w:jc w:val="center"/>
        </w:trPr>
        <w:tc>
          <w:tcPr>
            <w:tcW w:w="3274" w:type="dxa"/>
            <w:tcBorders>
              <w:left w:val="single" w:sz="4" w:space="0" w:color="auto"/>
              <w:bottom w:val="single" w:sz="4" w:space="0" w:color="auto"/>
            </w:tcBorders>
            <w:shd w:val="clear" w:color="auto" w:fill="FFFFCC"/>
            <w:vAlign w:val="center"/>
          </w:tcPr>
          <w:p w:rsidR="00485094" w:rsidRPr="00590B64" w:rsidRDefault="00485094" w:rsidP="00453E80">
            <w:pPr>
              <w:pStyle w:val="TableText"/>
              <w:jc w:val="center"/>
            </w:pPr>
            <w:r w:rsidRPr="00590B64">
              <w:t>Enterococci</w:t>
            </w:r>
          </w:p>
        </w:tc>
        <w:tc>
          <w:tcPr>
            <w:tcW w:w="3083" w:type="dxa"/>
            <w:tcBorders>
              <w:bottom w:val="single" w:sz="4" w:space="0" w:color="auto"/>
            </w:tcBorders>
            <w:vAlign w:val="center"/>
          </w:tcPr>
          <w:p w:rsidR="00485094" w:rsidRPr="00590B64" w:rsidRDefault="00485094" w:rsidP="00453E80">
            <w:pPr>
              <w:pStyle w:val="TableText"/>
              <w:jc w:val="center"/>
            </w:pPr>
            <w:r>
              <w:t>EPA 1600</w:t>
            </w:r>
            <w:r w:rsidRPr="00190B38">
              <w:rPr>
                <w:vertAlign w:val="superscript"/>
              </w:rPr>
              <w:t>1</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right w:val="single" w:sz="4" w:space="0" w:color="auto"/>
            </w:tcBorders>
            <w:vAlign w:val="center"/>
          </w:tcPr>
          <w:p w:rsidR="00485094" w:rsidRPr="00590B64" w:rsidRDefault="00485094" w:rsidP="00453E80">
            <w:pPr>
              <w:pStyle w:val="TableText"/>
              <w:jc w:val="center"/>
            </w:pPr>
            <w:r>
              <w:t>N/A</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293" w:name="_Toc255482816"/>
      <w:bookmarkStart w:id="294" w:name="_Toc255807474"/>
      <w:bookmarkStart w:id="295" w:name="_Toc262464236"/>
      <w:bookmarkStart w:id="296" w:name="_Toc271889830"/>
      <w:r w:rsidRPr="000F332D">
        <w:lastRenderedPageBreak/>
        <w:t xml:space="preserve">Table </w:t>
      </w:r>
      <w:r>
        <w:t>5.4c</w:t>
      </w:r>
      <w:r w:rsidRPr="000F332D">
        <w:t>.</w:t>
      </w:r>
      <w:r>
        <w:t xml:space="preserve">  Trend</w:t>
      </w:r>
      <w:r w:rsidRPr="000F332D">
        <w:t xml:space="preserve"> Network </w:t>
      </w:r>
      <w:r>
        <w:t>Organic and Nutrient</w:t>
      </w:r>
      <w:r w:rsidRPr="000F332D">
        <w:t xml:space="preserve"> </w:t>
      </w:r>
      <w:r>
        <w:t>I</w:t>
      </w:r>
      <w:r w:rsidRPr="000F332D">
        <w:t>ndicators</w:t>
      </w:r>
      <w:bookmarkEnd w:id="293"/>
      <w:bookmarkEnd w:id="294"/>
      <w:bookmarkEnd w:id="295"/>
      <w:bookmarkEnd w:id="296"/>
    </w:p>
    <w:p w:rsidR="00485094" w:rsidRDefault="00485094" w:rsidP="00EA3D58">
      <w:pPr>
        <w:pStyle w:val="TabledescriptionBF"/>
      </w:pPr>
      <w:r w:rsidRPr="00EE47B8">
        <w:t>This is a four-column table</w:t>
      </w:r>
      <w:r>
        <w:t xml:space="preserve">.  </w:t>
      </w:r>
      <w:r w:rsidRPr="00EE47B8">
        <w:t xml:space="preserve">Column 1 </w:t>
      </w:r>
      <w:r>
        <w:t>lists</w:t>
      </w:r>
      <w:r w:rsidRPr="00EE47B8">
        <w:t xml:space="preserve"> </w:t>
      </w:r>
      <w:r w:rsidR="00F01F27">
        <w:t xml:space="preserve">the </w:t>
      </w:r>
      <w:r w:rsidR="00F01F27" w:rsidRPr="00EE47B8">
        <w:t>indicator</w:t>
      </w:r>
      <w:r w:rsidRPr="00EE47B8">
        <w:t xml:space="preserve">,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p>
    <w:p w:rsidR="00485094" w:rsidRDefault="00485094" w:rsidP="00EA3D58">
      <w:pPr>
        <w:pStyle w:val="Tableheading"/>
        <w:rPr>
          <w:b w:val="0"/>
          <w:sz w:val="18"/>
          <w:szCs w:val="18"/>
        </w:rPr>
      </w:pPr>
    </w:p>
    <w:p w:rsidR="00485094" w:rsidRDefault="00485094" w:rsidP="00EA3D58">
      <w:pPr>
        <w:pStyle w:val="Bodytextreduced"/>
      </w:pPr>
      <w:r>
        <w:rPr>
          <w:vertAlign w:val="superscript"/>
        </w:rPr>
        <w:t xml:space="preserve">1 </w:t>
      </w:r>
      <w:r>
        <w:rPr>
          <w:snapToGrid w:val="0"/>
        </w:rPr>
        <w:t>C</w:t>
      </w:r>
      <w:r w:rsidRPr="0005447D">
        <w:rPr>
          <w:snapToGrid w:val="0"/>
        </w:rPr>
        <w:t>ollected once a year per site</w:t>
      </w:r>
      <w:r>
        <w:t xml:space="preserve"> </w:t>
      </w:r>
    </w:p>
    <w:p w:rsidR="00485094" w:rsidRDefault="00485094" w:rsidP="00EA3D58">
      <w:pPr>
        <w:pStyle w:val="Bodytextreduced"/>
      </w:pPr>
      <w:r w:rsidRPr="004C1199">
        <w:rPr>
          <w:vertAlign w:val="superscript"/>
        </w:rPr>
        <w:t>2</w:t>
      </w:r>
      <w:r>
        <w:t xml:space="preserve"> Total analysis added annually in 2008</w:t>
      </w:r>
    </w:p>
    <w:p w:rsidR="00485094" w:rsidRDefault="00485094" w:rsidP="00EA3D58">
      <w:pPr>
        <w:pStyle w:val="Bodytextreduced"/>
      </w:pPr>
      <w:r w:rsidRPr="004C1199">
        <w:rPr>
          <w:vertAlign w:val="superscript"/>
        </w:rPr>
        <w:t>3</w:t>
      </w:r>
      <w:r>
        <w:t xml:space="preserve"> Dropped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30" w:type="dxa"/>
          <w:right w:w="30" w:type="dxa"/>
        </w:tblCellMar>
        <w:tblLook w:val="0000"/>
      </w:tblPr>
      <w:tblGrid>
        <w:gridCol w:w="3274"/>
        <w:gridCol w:w="3083"/>
        <w:gridCol w:w="1445"/>
        <w:gridCol w:w="1445"/>
      </w:tblGrid>
      <w:tr w:rsidR="00485094" w:rsidRPr="005A1F92" w:rsidTr="00F01F27">
        <w:trPr>
          <w:trHeight w:val="235"/>
          <w:jc w:val="center"/>
        </w:trPr>
        <w:tc>
          <w:tcPr>
            <w:tcW w:w="3274" w:type="dxa"/>
            <w:tcBorders>
              <w:top w:val="single" w:sz="4" w:space="0" w:color="auto"/>
              <w:left w:val="single" w:sz="4" w:space="0" w:color="auto"/>
              <w:bottom w:val="double" w:sz="4" w:space="0" w:color="auto"/>
            </w:tcBorders>
            <w:shd w:val="clear" w:color="auto" w:fill="BDFFFF"/>
            <w:vAlign w:val="center"/>
          </w:tcPr>
          <w:p w:rsidR="00485094" w:rsidRPr="005A1F92" w:rsidRDefault="00485094" w:rsidP="00F01F27">
            <w:pPr>
              <w:pStyle w:val="TableText"/>
              <w:jc w:val="center"/>
              <w:rPr>
                <w:i/>
              </w:rPr>
            </w:pPr>
            <w:r w:rsidRPr="005A1F92">
              <w:rPr>
                <w:b/>
                <w:i/>
              </w:rPr>
              <w:t>Organic/Nutrient Indicator</w:t>
            </w:r>
          </w:p>
        </w:tc>
        <w:tc>
          <w:tcPr>
            <w:tcW w:w="3083"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i/>
              </w:rPr>
            </w:pPr>
            <w:r w:rsidRPr="005A1F92">
              <w:rPr>
                <w:b/>
                <w:i/>
              </w:rPr>
              <w:t>Analysis Method</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Surface Water</w:t>
            </w:r>
          </w:p>
        </w:tc>
        <w:tc>
          <w:tcPr>
            <w:tcW w:w="1445" w:type="dxa"/>
            <w:tcBorders>
              <w:top w:val="single" w:sz="4" w:space="0" w:color="auto"/>
              <w:bottom w:val="double" w:sz="4" w:space="0" w:color="auto"/>
            </w:tcBorders>
            <w:shd w:val="clear" w:color="auto" w:fill="BDFFFF"/>
            <w:vAlign w:val="center"/>
          </w:tcPr>
          <w:p w:rsidR="00485094" w:rsidRPr="005A1F92" w:rsidRDefault="00485094" w:rsidP="00453E80">
            <w:pPr>
              <w:pStyle w:val="TableText"/>
              <w:jc w:val="center"/>
              <w:rPr>
                <w:b/>
                <w:i/>
              </w:rPr>
            </w:pPr>
            <w:r w:rsidRPr="005A1F92">
              <w:rPr>
                <w:b/>
                <w:i/>
              </w:rPr>
              <w:t>Ground Water</w:t>
            </w:r>
          </w:p>
        </w:tc>
      </w:tr>
      <w:tr w:rsidR="00485094" w:rsidRPr="000F352A" w:rsidTr="00453E80">
        <w:trPr>
          <w:trHeight w:val="235"/>
          <w:jc w:val="center"/>
        </w:trPr>
        <w:tc>
          <w:tcPr>
            <w:tcW w:w="3274" w:type="dxa"/>
            <w:tcBorders>
              <w:top w:val="double" w:sz="4" w:space="0" w:color="auto"/>
              <w:left w:val="single" w:sz="4" w:space="0" w:color="auto"/>
            </w:tcBorders>
            <w:shd w:val="clear" w:color="auto" w:fill="FFFFCC"/>
            <w:vAlign w:val="center"/>
          </w:tcPr>
          <w:p w:rsidR="00485094" w:rsidRPr="00590B64" w:rsidRDefault="008C37FA" w:rsidP="00453E80">
            <w:pPr>
              <w:pStyle w:val="TableText"/>
              <w:jc w:val="center"/>
            </w:pPr>
            <w:r>
              <w:t>TOC</w:t>
            </w:r>
          </w:p>
        </w:tc>
        <w:tc>
          <w:tcPr>
            <w:tcW w:w="3083" w:type="dxa"/>
            <w:tcBorders>
              <w:top w:val="double" w:sz="4" w:space="0" w:color="auto"/>
            </w:tcBorders>
            <w:vAlign w:val="center"/>
          </w:tcPr>
          <w:p w:rsidR="00485094" w:rsidRPr="00590B64" w:rsidRDefault="00485094" w:rsidP="00453E80">
            <w:pPr>
              <w:pStyle w:val="TableText"/>
              <w:jc w:val="center"/>
            </w:pPr>
            <w:r w:rsidRPr="00590B64">
              <w:t>Method 415.1</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Nitrate + Nitrite</w:t>
            </w:r>
          </w:p>
        </w:tc>
        <w:tc>
          <w:tcPr>
            <w:tcW w:w="3083" w:type="dxa"/>
            <w:vAlign w:val="center"/>
          </w:tcPr>
          <w:p w:rsidR="00485094" w:rsidRPr="00590B64" w:rsidRDefault="00485094" w:rsidP="00453E80">
            <w:pPr>
              <w:pStyle w:val="TableText"/>
              <w:jc w:val="center"/>
            </w:pPr>
            <w:r w:rsidRPr="00590B64">
              <w:t>Method 353.2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Ammonia</w:t>
            </w:r>
          </w:p>
        </w:tc>
        <w:tc>
          <w:tcPr>
            <w:tcW w:w="3083" w:type="dxa"/>
            <w:vAlign w:val="center"/>
          </w:tcPr>
          <w:p w:rsidR="00485094" w:rsidRPr="00590B64" w:rsidRDefault="00485094" w:rsidP="00453E80">
            <w:pPr>
              <w:pStyle w:val="TableText"/>
              <w:jc w:val="center"/>
            </w:pPr>
            <w:r w:rsidRPr="00590B64">
              <w:t>Method 350.1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8C37FA" w:rsidP="00453E80">
            <w:pPr>
              <w:pStyle w:val="TableText"/>
              <w:jc w:val="center"/>
            </w:pPr>
            <w:r>
              <w:t>TKN</w:t>
            </w:r>
          </w:p>
        </w:tc>
        <w:tc>
          <w:tcPr>
            <w:tcW w:w="3083" w:type="dxa"/>
            <w:vAlign w:val="center"/>
          </w:tcPr>
          <w:p w:rsidR="00485094" w:rsidRPr="00590B64" w:rsidRDefault="00485094" w:rsidP="00453E80">
            <w:pPr>
              <w:pStyle w:val="TableText"/>
              <w:jc w:val="center"/>
            </w:pPr>
            <w:r w:rsidRPr="00590B64">
              <w:t>Method 351.2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453E80">
        <w:trPr>
          <w:trHeight w:val="235"/>
          <w:jc w:val="center"/>
        </w:trPr>
        <w:tc>
          <w:tcPr>
            <w:tcW w:w="3274" w:type="dxa"/>
            <w:tcBorders>
              <w:left w:val="single" w:sz="4" w:space="0" w:color="auto"/>
            </w:tcBorders>
            <w:shd w:val="clear" w:color="auto" w:fill="FFFFCC"/>
            <w:vAlign w:val="center"/>
          </w:tcPr>
          <w:p w:rsidR="00485094" w:rsidRPr="00590B64" w:rsidRDefault="00485094" w:rsidP="00453E80">
            <w:pPr>
              <w:pStyle w:val="TableText"/>
              <w:jc w:val="center"/>
            </w:pPr>
            <w:r w:rsidRPr="00590B64">
              <w:t>Phosphorus</w:t>
            </w:r>
          </w:p>
        </w:tc>
        <w:tc>
          <w:tcPr>
            <w:tcW w:w="3083" w:type="dxa"/>
            <w:vAlign w:val="center"/>
          </w:tcPr>
          <w:p w:rsidR="00485094" w:rsidRPr="00590B64" w:rsidRDefault="00485094" w:rsidP="00453E80">
            <w:pPr>
              <w:pStyle w:val="TableText"/>
              <w:jc w:val="center"/>
            </w:pPr>
            <w:r w:rsidRPr="00590B64">
              <w:t>Method 365.1</w:t>
            </w:r>
            <w:r>
              <w:t>/365.4</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111008">
              <w:rPr>
                <w:vertAlign w:val="superscript"/>
              </w:rPr>
              <w:t>1,</w:t>
            </w:r>
            <w:r w:rsidRPr="00105925">
              <w:rPr>
                <w:vertAlign w:val="superscript"/>
              </w:rPr>
              <w:t>2</w:t>
            </w:r>
          </w:p>
        </w:tc>
      </w:tr>
      <w:tr w:rsidR="00485094" w:rsidRPr="000F352A" w:rsidTr="00F01F27">
        <w:trPr>
          <w:trHeight w:val="235"/>
          <w:jc w:val="center"/>
        </w:trPr>
        <w:tc>
          <w:tcPr>
            <w:tcW w:w="3274" w:type="dxa"/>
            <w:tcBorders>
              <w:left w:val="single" w:sz="4" w:space="0" w:color="auto"/>
              <w:bottom w:val="single" w:sz="4" w:space="0" w:color="auto"/>
            </w:tcBorders>
            <w:shd w:val="clear" w:color="auto" w:fill="FFFFCC"/>
            <w:vAlign w:val="center"/>
          </w:tcPr>
          <w:p w:rsidR="00485094" w:rsidRPr="00590B64" w:rsidRDefault="00485094" w:rsidP="00453E80">
            <w:pPr>
              <w:pStyle w:val="TableText"/>
              <w:jc w:val="center"/>
            </w:pPr>
            <w:r>
              <w:t>Orthophosphate</w:t>
            </w:r>
          </w:p>
        </w:tc>
        <w:tc>
          <w:tcPr>
            <w:tcW w:w="3083" w:type="dxa"/>
            <w:tcBorders>
              <w:bottom w:val="single" w:sz="4" w:space="0" w:color="auto"/>
            </w:tcBorders>
            <w:vAlign w:val="center"/>
          </w:tcPr>
          <w:p w:rsidR="00485094" w:rsidRPr="00590B64" w:rsidRDefault="00485094" w:rsidP="00453E80">
            <w:pPr>
              <w:pStyle w:val="TableText"/>
              <w:jc w:val="center"/>
            </w:pPr>
            <w:r w:rsidRPr="00590B64">
              <w:t>Method 365.1</w:t>
            </w:r>
          </w:p>
        </w:tc>
        <w:tc>
          <w:tcPr>
            <w:tcW w:w="1445" w:type="dxa"/>
            <w:tcBorders>
              <w:bottom w:val="single" w:sz="4" w:space="0" w:color="auto"/>
            </w:tcBorders>
            <w:vAlign w:val="center"/>
          </w:tcPr>
          <w:p w:rsidR="00485094" w:rsidRPr="00590B64" w:rsidRDefault="00485094" w:rsidP="00453E80">
            <w:pPr>
              <w:pStyle w:val="TableText"/>
              <w:jc w:val="center"/>
            </w:pPr>
            <w:r>
              <w:t>D</w:t>
            </w:r>
            <w:r w:rsidRPr="00190B38">
              <w:rPr>
                <w:vertAlign w:val="superscript"/>
              </w:rPr>
              <w:t>3</w:t>
            </w:r>
          </w:p>
        </w:tc>
        <w:tc>
          <w:tcPr>
            <w:tcW w:w="1445" w:type="dxa"/>
            <w:tcBorders>
              <w:bottom w:val="single" w:sz="4" w:space="0" w:color="auto"/>
            </w:tcBorders>
            <w:vAlign w:val="center"/>
          </w:tcPr>
          <w:p w:rsidR="00485094" w:rsidRPr="00590B64" w:rsidRDefault="00485094" w:rsidP="00453E80">
            <w:pPr>
              <w:pStyle w:val="TableText"/>
              <w:jc w:val="center"/>
            </w:pPr>
            <w:r>
              <w:t>D</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297" w:name="_Toc255482818"/>
      <w:bookmarkStart w:id="298" w:name="_Toc255807476"/>
      <w:bookmarkStart w:id="299" w:name="_Toc262464237"/>
      <w:bookmarkStart w:id="300" w:name="_Toc271889831"/>
      <w:r w:rsidRPr="000F332D">
        <w:t xml:space="preserve">Table </w:t>
      </w:r>
      <w:r>
        <w:t>5.4d</w:t>
      </w:r>
      <w:r w:rsidRPr="000F332D">
        <w:t>.</w:t>
      </w:r>
      <w:r>
        <w:t xml:space="preserve">  Trend</w:t>
      </w:r>
      <w:r w:rsidRPr="000F332D">
        <w:t xml:space="preserve"> Network </w:t>
      </w:r>
      <w:r>
        <w:t>Major Ion</w:t>
      </w:r>
      <w:r w:rsidRPr="000F332D">
        <w:t xml:space="preserve"> </w:t>
      </w:r>
      <w:r>
        <w:t>I</w:t>
      </w:r>
      <w:r w:rsidRPr="000F332D">
        <w:t>ndicators</w:t>
      </w:r>
      <w:bookmarkEnd w:id="297"/>
      <w:bookmarkEnd w:id="298"/>
      <w:bookmarkEnd w:id="299"/>
      <w:bookmarkEnd w:id="300"/>
    </w:p>
    <w:p w:rsidR="00485094" w:rsidRDefault="00485094" w:rsidP="00EA3D58">
      <w:pPr>
        <w:pStyle w:val="TabledescriptionBF"/>
      </w:pPr>
      <w:bookmarkStart w:id="301" w:name="_Toc255482819"/>
      <w:bookmarkStart w:id="302" w:name="_Toc255807477"/>
      <w:r w:rsidRPr="00EE47B8">
        <w:t>This is a four-column table</w:t>
      </w:r>
      <w:r>
        <w:t xml:space="preserve">.  </w:t>
      </w:r>
      <w:r w:rsidRPr="00EE47B8">
        <w:t xml:space="preserve">Column 1 </w:t>
      </w:r>
      <w:r>
        <w:t>lists</w:t>
      </w:r>
      <w:r w:rsidRPr="00EE47B8">
        <w:t xml:space="preserve"> </w:t>
      </w:r>
      <w:r w:rsidR="00F01F27">
        <w:t xml:space="preserve">the </w:t>
      </w:r>
      <w:r w:rsidR="00F01F27" w:rsidRPr="00EE47B8">
        <w:t>indicator</w:t>
      </w:r>
      <w:r w:rsidRPr="00EE47B8">
        <w:t xml:space="preserve">,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bookmarkEnd w:id="301"/>
      <w:bookmarkEnd w:id="302"/>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Pr="0005447D"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 N/A = Not applicable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rPr>
            </w:pPr>
            <w:r w:rsidRPr="000F2909">
              <w:rPr>
                <w:b/>
                <w:i/>
              </w:rPr>
              <w:t>Major Ion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235"/>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Chloride</w:t>
            </w:r>
          </w:p>
        </w:tc>
        <w:tc>
          <w:tcPr>
            <w:tcW w:w="3083" w:type="dxa"/>
            <w:tcBorders>
              <w:top w:val="double" w:sz="4" w:space="0" w:color="auto"/>
            </w:tcBorders>
            <w:vAlign w:val="center"/>
          </w:tcPr>
          <w:p w:rsidR="00485094" w:rsidRPr="00590B64" w:rsidRDefault="00485094" w:rsidP="00453E80">
            <w:pPr>
              <w:pStyle w:val="TableText"/>
              <w:jc w:val="center"/>
            </w:pPr>
            <w:r w:rsidRPr="00590B64">
              <w:t>Method 300</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Sulfate</w:t>
            </w:r>
          </w:p>
        </w:tc>
        <w:tc>
          <w:tcPr>
            <w:tcW w:w="3083" w:type="dxa"/>
            <w:vAlign w:val="center"/>
          </w:tcPr>
          <w:p w:rsidR="00485094" w:rsidRPr="00590B64" w:rsidRDefault="00485094" w:rsidP="00453E80">
            <w:pPr>
              <w:pStyle w:val="TableText"/>
              <w:jc w:val="center"/>
            </w:pPr>
            <w:r w:rsidRPr="00590B64">
              <w:t>Method 300</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Fluoride</w:t>
            </w:r>
          </w:p>
        </w:tc>
        <w:tc>
          <w:tcPr>
            <w:tcW w:w="3083" w:type="dxa"/>
            <w:vAlign w:val="center"/>
          </w:tcPr>
          <w:p w:rsidR="00485094" w:rsidRPr="00590B64" w:rsidRDefault="00485094" w:rsidP="00453E80">
            <w:pPr>
              <w:pStyle w:val="TableText"/>
              <w:jc w:val="center"/>
            </w:pPr>
            <w:r>
              <w:t>Method 340.2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Calcium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Magnesium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Sodium</w:t>
            </w:r>
          </w:p>
        </w:tc>
        <w:tc>
          <w:tcPr>
            <w:tcW w:w="3083" w:type="dxa"/>
            <w:vAlign w:val="center"/>
          </w:tcPr>
          <w:p w:rsidR="00485094" w:rsidRPr="00590B64" w:rsidRDefault="00485094" w:rsidP="00453E80">
            <w:pPr>
              <w:pStyle w:val="TableText"/>
              <w:jc w:val="center"/>
            </w:pPr>
            <w:r w:rsidRPr="00590B64">
              <w:t>Method 200.7</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CF77B0">
              <w:rPr>
                <w:vertAlign w:val="superscript"/>
              </w:rPr>
              <w:t>1</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Potassium</w:t>
            </w:r>
          </w:p>
        </w:tc>
        <w:tc>
          <w:tcPr>
            <w:tcW w:w="3083" w:type="dxa"/>
            <w:tcBorders>
              <w:bottom w:val="single" w:sz="4" w:space="0" w:color="auto"/>
            </w:tcBorders>
            <w:vAlign w:val="center"/>
          </w:tcPr>
          <w:p w:rsidR="00485094" w:rsidRPr="00590B64" w:rsidRDefault="00485094" w:rsidP="00453E80">
            <w:pPr>
              <w:pStyle w:val="TableText"/>
              <w:jc w:val="center"/>
            </w:pPr>
            <w:r w:rsidRPr="00590B64">
              <w:t>Method 200.7</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tcBorders>
            <w:vAlign w:val="center"/>
          </w:tcPr>
          <w:p w:rsidR="00485094" w:rsidRPr="00590B64" w:rsidRDefault="00485094" w:rsidP="00453E80">
            <w:pPr>
              <w:pStyle w:val="TableText"/>
              <w:jc w:val="center"/>
            </w:pPr>
            <w:r>
              <w:t>D/T</w:t>
            </w:r>
            <w:r w:rsidRPr="00CF77B0">
              <w:rPr>
                <w:vertAlign w:val="superscript"/>
              </w:rPr>
              <w:t>1,</w:t>
            </w:r>
            <w:r w:rsidRPr="00105925">
              <w:rPr>
                <w:vertAlign w:val="superscript"/>
              </w:rPr>
              <w:t>2</w:t>
            </w:r>
          </w:p>
        </w:tc>
      </w:tr>
    </w:tbl>
    <w:p w:rsidR="00485094" w:rsidRDefault="00485094" w:rsidP="00EA3D58">
      <w:pPr>
        <w:pStyle w:val="Bodytextreduced"/>
      </w:pPr>
    </w:p>
    <w:p w:rsidR="00485094" w:rsidRDefault="00485094" w:rsidP="00EA3D58">
      <w:pPr>
        <w:pStyle w:val="Bodytextreduced"/>
      </w:pPr>
    </w:p>
    <w:p w:rsidR="00485094" w:rsidRDefault="00485094" w:rsidP="00EA3D58">
      <w:pPr>
        <w:pStyle w:val="Tableheading"/>
      </w:pPr>
      <w:bookmarkStart w:id="303" w:name="_Toc255482820"/>
      <w:bookmarkStart w:id="304" w:name="_Toc255807478"/>
      <w:bookmarkStart w:id="305" w:name="_Toc262464238"/>
      <w:bookmarkStart w:id="306" w:name="_Toc271889832"/>
      <w:r w:rsidRPr="000F332D">
        <w:t xml:space="preserve">Table </w:t>
      </w:r>
      <w:r>
        <w:t>5.4e</w:t>
      </w:r>
      <w:r w:rsidRPr="000F332D">
        <w:t>.</w:t>
      </w:r>
      <w:r>
        <w:t xml:space="preserve">  Trend</w:t>
      </w:r>
      <w:r w:rsidRPr="000F332D">
        <w:t xml:space="preserve"> Network </w:t>
      </w:r>
      <w:r>
        <w:t>Metal</w:t>
      </w:r>
      <w:r w:rsidRPr="000F332D">
        <w:t xml:space="preserve"> </w:t>
      </w:r>
      <w:r>
        <w:t>I</w:t>
      </w:r>
      <w:r w:rsidRPr="000F332D">
        <w:t>ndicators</w:t>
      </w:r>
      <w:bookmarkEnd w:id="303"/>
      <w:bookmarkEnd w:id="304"/>
      <w:bookmarkEnd w:id="305"/>
      <w:bookmarkEnd w:id="306"/>
    </w:p>
    <w:p w:rsidR="00485094" w:rsidRDefault="00485094" w:rsidP="00EA3D58">
      <w:pPr>
        <w:pStyle w:val="TabledescriptionBF"/>
      </w:pPr>
      <w:bookmarkStart w:id="307" w:name="_Toc255482821"/>
      <w:bookmarkStart w:id="308" w:name="_Toc255807479"/>
      <w:r w:rsidRPr="00EE47B8">
        <w:t>This is a four-column table</w:t>
      </w:r>
      <w:r>
        <w:t xml:space="preserve">.  </w:t>
      </w:r>
      <w:r w:rsidRPr="00EE47B8">
        <w:t xml:space="preserve">Column 1 </w:t>
      </w:r>
      <w:r>
        <w:t>lists</w:t>
      </w:r>
      <w:r w:rsidRPr="00EE47B8">
        <w:t xml:space="preserve"> </w:t>
      </w:r>
      <w:r w:rsidR="00F01F27">
        <w:t xml:space="preserve">the </w:t>
      </w:r>
      <w:r w:rsidRPr="00EE47B8">
        <w:t xml:space="preserve">indicator, Column 2 </w:t>
      </w:r>
      <w:r>
        <w:t>lists</w:t>
      </w:r>
      <w:r w:rsidRPr="00EE47B8">
        <w:t xml:space="preserve"> </w:t>
      </w:r>
      <w:r w:rsidR="00F01F27">
        <w:t xml:space="preserve">the </w:t>
      </w:r>
      <w:r w:rsidR="00F01F27" w:rsidRPr="00EE47B8">
        <w:t>analytical method number</w:t>
      </w:r>
      <w:r w:rsidRPr="00EE47B8">
        <w:t xml:space="preserve">, Column 3 </w:t>
      </w:r>
      <w:r>
        <w:t>lists</w:t>
      </w:r>
      <w:r w:rsidRPr="00EE47B8">
        <w:t xml:space="preserve"> the sampling regime for surface waters, and Column 4 </w:t>
      </w:r>
      <w:r>
        <w:t>lists</w:t>
      </w:r>
      <w:r w:rsidRPr="00EE47B8">
        <w:t xml:space="preserve"> the sampling regime for ground waters.</w:t>
      </w:r>
      <w:bookmarkEnd w:id="307"/>
      <w:bookmarkEnd w:id="308"/>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lang w:val="pt-BR"/>
              </w:rPr>
            </w:pPr>
            <w:r w:rsidRPr="000F2909">
              <w:rPr>
                <w:b/>
                <w:i/>
                <w:lang w:val="pt-BR"/>
              </w:rPr>
              <w:t>Metal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701"/>
          <w:jc w:val="center"/>
        </w:trPr>
        <w:tc>
          <w:tcPr>
            <w:tcW w:w="3274" w:type="dxa"/>
            <w:tcBorders>
              <w:top w:val="double" w:sz="4" w:space="0" w:color="auto"/>
              <w:bottom w:val="single" w:sz="4" w:space="0" w:color="auto"/>
            </w:tcBorders>
            <w:shd w:val="clear" w:color="auto" w:fill="FFFFCC"/>
            <w:vAlign w:val="center"/>
          </w:tcPr>
          <w:p w:rsidR="00485094" w:rsidRPr="00590B64" w:rsidRDefault="00485094" w:rsidP="00453E80">
            <w:pPr>
              <w:pStyle w:val="TableText"/>
              <w:jc w:val="center"/>
              <w:rPr>
                <w:lang w:val="pt-BR"/>
              </w:rPr>
            </w:pPr>
            <w:r w:rsidRPr="00590B64">
              <w:rPr>
                <w:lang w:val="pt-BR"/>
              </w:rPr>
              <w:t>Al</w:t>
            </w:r>
            <w:r>
              <w:rPr>
                <w:lang w:val="pt-BR"/>
              </w:rPr>
              <w:t>uminum</w:t>
            </w:r>
            <w:r w:rsidRPr="00590B64">
              <w:rPr>
                <w:lang w:val="pt-BR"/>
              </w:rPr>
              <w:t>,</w:t>
            </w:r>
            <w:r>
              <w:rPr>
                <w:lang w:val="pt-BR"/>
              </w:rPr>
              <w:t xml:space="preserve"> </w:t>
            </w:r>
            <w:r w:rsidRPr="00590B64">
              <w:rPr>
                <w:lang w:val="pt-BR"/>
              </w:rPr>
              <w:t>A</w:t>
            </w:r>
            <w:r>
              <w:rPr>
                <w:lang w:val="pt-BR"/>
              </w:rPr>
              <w:t>r</w:t>
            </w:r>
            <w:r w:rsidRPr="00590B64">
              <w:rPr>
                <w:lang w:val="pt-BR"/>
              </w:rPr>
              <w:t>s</w:t>
            </w:r>
            <w:r>
              <w:rPr>
                <w:lang w:val="pt-BR"/>
              </w:rPr>
              <w:t>enic</w:t>
            </w:r>
            <w:r w:rsidRPr="00590B64">
              <w:rPr>
                <w:lang w:val="pt-BR"/>
              </w:rPr>
              <w:t>,</w:t>
            </w:r>
            <w:r>
              <w:rPr>
                <w:lang w:val="pt-BR"/>
              </w:rPr>
              <w:t xml:space="preserve"> </w:t>
            </w:r>
            <w:r w:rsidRPr="00590B64">
              <w:rPr>
                <w:lang w:val="pt-BR"/>
              </w:rPr>
              <w:t>Ca</w:t>
            </w:r>
            <w:r>
              <w:rPr>
                <w:lang w:val="pt-BR"/>
              </w:rPr>
              <w:t>lcium, Ca</w:t>
            </w:r>
            <w:r w:rsidRPr="00590B64">
              <w:rPr>
                <w:lang w:val="pt-BR"/>
              </w:rPr>
              <w:t>d</w:t>
            </w:r>
            <w:r>
              <w:rPr>
                <w:lang w:val="pt-BR"/>
              </w:rPr>
              <w:t>mium</w:t>
            </w:r>
            <w:r w:rsidRPr="00590B64">
              <w:rPr>
                <w:lang w:val="pt-BR"/>
              </w:rPr>
              <w:t>,</w:t>
            </w:r>
            <w:r>
              <w:rPr>
                <w:lang w:val="pt-BR"/>
              </w:rPr>
              <w:t xml:space="preserve"> </w:t>
            </w:r>
            <w:r w:rsidRPr="00590B64">
              <w:rPr>
                <w:lang w:val="pt-BR"/>
              </w:rPr>
              <w:t>C</w:t>
            </w:r>
            <w:r>
              <w:rPr>
                <w:lang w:val="pt-BR"/>
              </w:rPr>
              <w:t>h</w:t>
            </w:r>
            <w:r w:rsidRPr="00590B64">
              <w:rPr>
                <w:lang w:val="pt-BR"/>
              </w:rPr>
              <w:t>r</w:t>
            </w:r>
            <w:r>
              <w:rPr>
                <w:lang w:val="pt-BR"/>
              </w:rPr>
              <w:t>omium</w:t>
            </w:r>
            <w:r w:rsidRPr="00590B64">
              <w:rPr>
                <w:lang w:val="pt-BR"/>
              </w:rPr>
              <w:t>,</w:t>
            </w:r>
            <w:r>
              <w:rPr>
                <w:lang w:val="pt-BR"/>
              </w:rPr>
              <w:t xml:space="preserve"> </w:t>
            </w:r>
            <w:r w:rsidRPr="00590B64">
              <w:rPr>
                <w:lang w:val="pt-BR"/>
              </w:rPr>
              <w:t>C</w:t>
            </w:r>
            <w:r>
              <w:rPr>
                <w:lang w:val="pt-BR"/>
              </w:rPr>
              <w:t>opper</w:t>
            </w:r>
            <w:r w:rsidRPr="00590B64">
              <w:rPr>
                <w:lang w:val="pt-BR"/>
              </w:rPr>
              <w:t>,</w:t>
            </w:r>
            <w:r>
              <w:rPr>
                <w:lang w:val="pt-BR"/>
              </w:rPr>
              <w:t xml:space="preserve"> Iron</w:t>
            </w:r>
            <w:r w:rsidRPr="00590B64">
              <w:rPr>
                <w:lang w:val="pt-BR"/>
              </w:rPr>
              <w:t>,</w:t>
            </w:r>
            <w:r>
              <w:rPr>
                <w:lang w:val="pt-BR"/>
              </w:rPr>
              <w:t xml:space="preserve"> Lead</w:t>
            </w:r>
            <w:r w:rsidRPr="00590B64">
              <w:rPr>
                <w:lang w:val="pt-BR"/>
              </w:rPr>
              <w:t>,</w:t>
            </w:r>
            <w:r>
              <w:rPr>
                <w:lang w:val="pt-BR"/>
              </w:rPr>
              <w:t xml:space="preserve"> </w:t>
            </w:r>
            <w:r w:rsidRPr="00590B64">
              <w:rPr>
                <w:lang w:val="pt-BR"/>
              </w:rPr>
              <w:t>M</w:t>
            </w:r>
            <w:r>
              <w:rPr>
                <w:lang w:val="pt-BR"/>
              </w:rPr>
              <w:t>a</w:t>
            </w:r>
            <w:r w:rsidRPr="00590B64">
              <w:rPr>
                <w:lang w:val="pt-BR"/>
              </w:rPr>
              <w:t>g</w:t>
            </w:r>
            <w:r>
              <w:rPr>
                <w:lang w:val="pt-BR"/>
              </w:rPr>
              <w:t>nesium</w:t>
            </w:r>
            <w:r w:rsidRPr="00590B64">
              <w:rPr>
                <w:lang w:val="pt-BR"/>
              </w:rPr>
              <w:t>,</w:t>
            </w:r>
            <w:r>
              <w:rPr>
                <w:lang w:val="pt-BR"/>
              </w:rPr>
              <w:t xml:space="preserve"> </w:t>
            </w:r>
            <w:r w:rsidRPr="00590B64">
              <w:rPr>
                <w:lang w:val="pt-BR"/>
              </w:rPr>
              <w:t>M</w:t>
            </w:r>
            <w:r>
              <w:rPr>
                <w:lang w:val="pt-BR"/>
              </w:rPr>
              <w:t>anganese</w:t>
            </w:r>
            <w:r w:rsidRPr="00590B64">
              <w:rPr>
                <w:lang w:val="pt-BR"/>
              </w:rPr>
              <w:t>,</w:t>
            </w:r>
            <w:r>
              <w:rPr>
                <w:lang w:val="pt-BR"/>
              </w:rPr>
              <w:t xml:space="preserve"> Sodium</w:t>
            </w:r>
            <w:r w:rsidRPr="00590B64">
              <w:rPr>
                <w:lang w:val="pt-BR"/>
              </w:rPr>
              <w:t>,</w:t>
            </w:r>
            <w:r>
              <w:rPr>
                <w:lang w:val="pt-BR"/>
              </w:rPr>
              <w:t xml:space="preserve"> </w:t>
            </w:r>
            <w:r w:rsidRPr="00590B64">
              <w:rPr>
                <w:lang w:val="pt-BR"/>
              </w:rPr>
              <w:t>Z</w:t>
            </w:r>
            <w:r>
              <w:rPr>
                <w:lang w:val="pt-BR"/>
              </w:rPr>
              <w:t>i</w:t>
            </w:r>
            <w:r w:rsidRPr="00590B64">
              <w:rPr>
                <w:lang w:val="pt-BR"/>
              </w:rPr>
              <w:t>n</w:t>
            </w:r>
            <w:r>
              <w:rPr>
                <w:lang w:val="pt-BR"/>
              </w:rPr>
              <w:t>c</w:t>
            </w:r>
          </w:p>
        </w:tc>
        <w:tc>
          <w:tcPr>
            <w:tcW w:w="3083"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sidRPr="00590B64">
              <w:t xml:space="preserve">Method </w:t>
            </w:r>
            <w:r>
              <w:t>200.7/200.8</w:t>
            </w:r>
          </w:p>
        </w:tc>
        <w:tc>
          <w:tcPr>
            <w:tcW w:w="1445"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Pr>
                <w:lang w:val="pt-BR"/>
              </w:rPr>
              <w:t>T</w:t>
            </w:r>
            <w:r w:rsidRPr="00F13A39">
              <w:rPr>
                <w:vertAlign w:val="superscript"/>
                <w:lang w:val="pt-BR"/>
              </w:rPr>
              <w:t>1,</w:t>
            </w:r>
            <w:r w:rsidRPr="00105925">
              <w:rPr>
                <w:vertAlign w:val="superscript"/>
              </w:rPr>
              <w:t>2</w:t>
            </w:r>
          </w:p>
        </w:tc>
        <w:tc>
          <w:tcPr>
            <w:tcW w:w="1445" w:type="dxa"/>
            <w:tcBorders>
              <w:top w:val="double" w:sz="4" w:space="0" w:color="auto"/>
              <w:bottom w:val="single" w:sz="4" w:space="0" w:color="auto"/>
            </w:tcBorders>
            <w:vAlign w:val="center"/>
          </w:tcPr>
          <w:p w:rsidR="00485094" w:rsidRPr="00590B64" w:rsidRDefault="00485094" w:rsidP="00453E80">
            <w:pPr>
              <w:pStyle w:val="TableText"/>
              <w:jc w:val="center"/>
              <w:rPr>
                <w:lang w:val="pt-BR"/>
              </w:rPr>
            </w:pPr>
            <w:r>
              <w:rPr>
                <w:lang w:val="pt-BR"/>
              </w:rPr>
              <w:t>T</w:t>
            </w:r>
            <w:r w:rsidRPr="00F13A39">
              <w:rPr>
                <w:vertAlign w:val="superscript"/>
                <w:lang w:val="pt-BR"/>
              </w:rPr>
              <w:t>1</w:t>
            </w:r>
          </w:p>
        </w:tc>
      </w:tr>
    </w:tbl>
    <w:p w:rsidR="00485094" w:rsidRDefault="00485094" w:rsidP="00EA3D58">
      <w:pPr>
        <w:pStyle w:val="Bodytextreduced"/>
      </w:pPr>
    </w:p>
    <w:p w:rsidR="00485094" w:rsidRDefault="00485094" w:rsidP="00EA3D58">
      <w:pPr>
        <w:pStyle w:val="Bodytextreduced"/>
      </w:pPr>
      <w:r>
        <w:br w:type="page"/>
      </w:r>
    </w:p>
    <w:p w:rsidR="00485094" w:rsidRDefault="00485094" w:rsidP="00EA3D58">
      <w:pPr>
        <w:pStyle w:val="Tableheading"/>
      </w:pPr>
      <w:bookmarkStart w:id="309" w:name="_Toc255482822"/>
      <w:bookmarkStart w:id="310" w:name="_Toc255807480"/>
      <w:bookmarkStart w:id="311" w:name="_Toc262464239"/>
      <w:bookmarkStart w:id="312" w:name="_Toc271889833"/>
      <w:r w:rsidRPr="000F332D">
        <w:lastRenderedPageBreak/>
        <w:t xml:space="preserve">Table </w:t>
      </w:r>
      <w:r>
        <w:t>5.4f</w:t>
      </w:r>
      <w:r w:rsidRPr="000F332D">
        <w:t>.</w:t>
      </w:r>
      <w:r>
        <w:t xml:space="preserve">  Trend</w:t>
      </w:r>
      <w:r w:rsidRPr="000F332D">
        <w:t xml:space="preserve"> Network </w:t>
      </w:r>
      <w:r>
        <w:t>Physical Property</w:t>
      </w:r>
      <w:r w:rsidRPr="000F332D">
        <w:t xml:space="preserve"> </w:t>
      </w:r>
      <w:r>
        <w:t>I</w:t>
      </w:r>
      <w:r w:rsidRPr="000F332D">
        <w:t>ndicators</w:t>
      </w:r>
      <w:bookmarkEnd w:id="309"/>
      <w:bookmarkEnd w:id="310"/>
      <w:bookmarkEnd w:id="311"/>
      <w:bookmarkEnd w:id="312"/>
    </w:p>
    <w:p w:rsidR="00485094" w:rsidRDefault="00485094" w:rsidP="00EA3D58">
      <w:pPr>
        <w:pStyle w:val="TabledescriptionBF"/>
      </w:pPr>
      <w:bookmarkStart w:id="313" w:name="_Toc255482823"/>
      <w:bookmarkStart w:id="314" w:name="_Toc255807481"/>
      <w:r w:rsidRPr="00EE47B8">
        <w:t>This is a four-column table</w:t>
      </w:r>
      <w:r>
        <w:t xml:space="preserve">.  </w:t>
      </w:r>
      <w:r w:rsidRPr="00EE47B8">
        <w:t xml:space="preserve">Column 1 </w:t>
      </w:r>
      <w:r>
        <w:t>lists</w:t>
      </w:r>
      <w:r w:rsidRPr="00EE47B8">
        <w:t xml:space="preserve"> </w:t>
      </w:r>
      <w:r w:rsidR="00F01F27">
        <w:t>the indicator</w:t>
      </w:r>
      <w:r w:rsidRPr="00EE47B8">
        <w:t xml:space="preserve">, Column 2 </w:t>
      </w:r>
      <w:r>
        <w:t>lists</w:t>
      </w:r>
      <w:r w:rsidRPr="00EE47B8">
        <w:t xml:space="preserve"> </w:t>
      </w:r>
      <w:r w:rsidR="00F01F27">
        <w:t xml:space="preserve">the </w:t>
      </w:r>
      <w:r w:rsidRPr="00EE47B8">
        <w:t xml:space="preserve">analytical method number, Column 3 </w:t>
      </w:r>
      <w:r>
        <w:t>lists</w:t>
      </w:r>
      <w:r w:rsidRPr="00EE47B8">
        <w:t xml:space="preserve"> the sampling regime for surface waters, and Column 4 </w:t>
      </w:r>
      <w:r>
        <w:t>lists</w:t>
      </w:r>
      <w:r w:rsidRPr="00EE47B8">
        <w:t xml:space="preserve"> the sampling regime for ground waters.</w:t>
      </w:r>
      <w:bookmarkEnd w:id="313"/>
      <w:bookmarkEnd w:id="314"/>
    </w:p>
    <w:p w:rsidR="00485094" w:rsidRDefault="00485094" w:rsidP="00EA3D58">
      <w:pPr>
        <w:pStyle w:val="Tableheading"/>
        <w:rPr>
          <w:b w:val="0"/>
          <w:sz w:val="18"/>
          <w:szCs w:val="18"/>
        </w:rPr>
      </w:pPr>
    </w:p>
    <w:p w:rsidR="00485094" w:rsidRDefault="00485094" w:rsidP="00EA3D58">
      <w:pPr>
        <w:pStyle w:val="Bodytextreduced"/>
        <w:rPr>
          <w:snapToGrid w:val="0"/>
        </w:rPr>
      </w:pPr>
      <w:r>
        <w:rPr>
          <w:vertAlign w:val="superscript"/>
        </w:rPr>
        <w:t xml:space="preserve">1 </w:t>
      </w:r>
      <w:r>
        <w:rPr>
          <w:snapToGrid w:val="0"/>
        </w:rPr>
        <w:t>C</w:t>
      </w:r>
      <w:r w:rsidRPr="0005447D">
        <w:rPr>
          <w:snapToGrid w:val="0"/>
        </w:rPr>
        <w:t>ollected once a year per site</w:t>
      </w:r>
    </w:p>
    <w:p w:rsidR="00485094" w:rsidRDefault="00485094" w:rsidP="00EA3D58">
      <w:pPr>
        <w:pStyle w:val="Bodytextreduced"/>
      </w:pPr>
      <w:r w:rsidRPr="004C1199">
        <w:rPr>
          <w:vertAlign w:val="superscript"/>
        </w:rPr>
        <w:t>2</w:t>
      </w:r>
      <w:r>
        <w:t xml:space="preserve"> Total analysis added annually in 2008 </w:t>
      </w:r>
    </w:p>
    <w:p w:rsidR="00485094" w:rsidRDefault="00485094" w:rsidP="00EA3D58">
      <w:pPr>
        <w:pStyle w:val="Bodytextreduced"/>
        <w:rPr>
          <w:snapToGrid w:val="0"/>
        </w:rPr>
      </w:pPr>
      <w:r w:rsidRPr="0005447D">
        <w:rPr>
          <w:snapToGrid w:val="0"/>
        </w:rPr>
        <w:t xml:space="preserve">T = </w:t>
      </w:r>
      <w:r>
        <w:rPr>
          <w:snapToGrid w:val="0"/>
        </w:rPr>
        <w:t>T</w:t>
      </w:r>
      <w:r w:rsidRPr="0005447D">
        <w:rPr>
          <w:snapToGrid w:val="0"/>
        </w:rPr>
        <w:t xml:space="preserve">otal </w:t>
      </w:r>
      <w:r>
        <w:rPr>
          <w:snapToGrid w:val="0"/>
        </w:rPr>
        <w:t>s</w:t>
      </w:r>
      <w:r w:rsidRPr="0005447D">
        <w:rPr>
          <w:snapToGrid w:val="0"/>
        </w:rPr>
        <w:t>ample</w:t>
      </w:r>
      <w:r>
        <w:rPr>
          <w:snapToGrid w:val="0"/>
        </w:rPr>
        <w:t xml:space="preserve"> (unfiltered sample);</w:t>
      </w:r>
      <w:r w:rsidRPr="0005447D">
        <w:rPr>
          <w:snapToGrid w:val="0"/>
        </w:rPr>
        <w:t xml:space="preserve"> D = </w:t>
      </w:r>
      <w:r>
        <w:rPr>
          <w:snapToGrid w:val="0"/>
        </w:rPr>
        <w:t>Dissolved sample (f</w:t>
      </w:r>
      <w:r w:rsidRPr="0005447D">
        <w:rPr>
          <w:snapToGrid w:val="0"/>
        </w:rPr>
        <w:t xml:space="preserve">iltered </w:t>
      </w:r>
      <w:r>
        <w:rPr>
          <w:snapToGrid w:val="0"/>
        </w:rPr>
        <w:t>s</w:t>
      </w:r>
      <w:r w:rsidRPr="0005447D">
        <w:rPr>
          <w:snapToGrid w:val="0"/>
        </w:rPr>
        <w:t>ample</w:t>
      </w:r>
      <w:r>
        <w:rPr>
          <w:snapToGrid w:val="0"/>
        </w:rPr>
        <w:t>)</w:t>
      </w:r>
    </w:p>
    <w:tbl>
      <w:tblPr>
        <w:tblW w:w="9247"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30" w:type="dxa"/>
          <w:right w:w="30" w:type="dxa"/>
        </w:tblCellMar>
        <w:tblLook w:val="0000"/>
      </w:tblPr>
      <w:tblGrid>
        <w:gridCol w:w="3274"/>
        <w:gridCol w:w="3083"/>
        <w:gridCol w:w="1445"/>
        <w:gridCol w:w="1445"/>
      </w:tblGrid>
      <w:tr w:rsidR="00485094" w:rsidRPr="000F2909" w:rsidTr="000F2909">
        <w:trPr>
          <w:trHeight w:val="235"/>
          <w:jc w:val="center"/>
        </w:trPr>
        <w:tc>
          <w:tcPr>
            <w:tcW w:w="3274" w:type="dxa"/>
            <w:tcBorders>
              <w:top w:val="single" w:sz="4" w:space="0" w:color="auto"/>
              <w:bottom w:val="double" w:sz="4" w:space="0" w:color="auto"/>
            </w:tcBorders>
            <w:shd w:val="clear" w:color="auto" w:fill="BDFFFF"/>
            <w:vAlign w:val="center"/>
          </w:tcPr>
          <w:p w:rsidR="00485094" w:rsidRPr="000F2909" w:rsidRDefault="00485094" w:rsidP="00F01F27">
            <w:pPr>
              <w:pStyle w:val="TableText"/>
              <w:jc w:val="center"/>
              <w:rPr>
                <w:b/>
                <w:i/>
              </w:rPr>
            </w:pPr>
            <w:r w:rsidRPr="000F2909">
              <w:rPr>
                <w:b/>
                <w:i/>
              </w:rPr>
              <w:t>Physical Property Indicator</w:t>
            </w:r>
          </w:p>
        </w:tc>
        <w:tc>
          <w:tcPr>
            <w:tcW w:w="3083"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Analysis Method</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Surface Water</w:t>
            </w:r>
          </w:p>
        </w:tc>
        <w:tc>
          <w:tcPr>
            <w:tcW w:w="1445" w:type="dxa"/>
            <w:tcBorders>
              <w:top w:val="single" w:sz="4" w:space="0" w:color="auto"/>
              <w:bottom w:val="double" w:sz="4" w:space="0" w:color="auto"/>
            </w:tcBorders>
            <w:shd w:val="clear" w:color="auto" w:fill="BDFFFF"/>
            <w:vAlign w:val="center"/>
          </w:tcPr>
          <w:p w:rsidR="00485094" w:rsidRPr="000F2909" w:rsidRDefault="00485094" w:rsidP="00453E80">
            <w:pPr>
              <w:pStyle w:val="TableText"/>
              <w:jc w:val="center"/>
              <w:rPr>
                <w:b/>
                <w:i/>
              </w:rPr>
            </w:pPr>
            <w:r w:rsidRPr="000F2909">
              <w:rPr>
                <w:b/>
                <w:i/>
              </w:rPr>
              <w:t>Ground Water</w:t>
            </w:r>
          </w:p>
        </w:tc>
      </w:tr>
      <w:tr w:rsidR="00485094" w:rsidRPr="000F352A" w:rsidTr="00453E80">
        <w:trPr>
          <w:trHeight w:val="235"/>
          <w:jc w:val="center"/>
        </w:trPr>
        <w:tc>
          <w:tcPr>
            <w:tcW w:w="3274" w:type="dxa"/>
            <w:tcBorders>
              <w:top w:val="double" w:sz="4" w:space="0" w:color="auto"/>
            </w:tcBorders>
            <w:shd w:val="clear" w:color="auto" w:fill="FFFFCC"/>
            <w:vAlign w:val="center"/>
          </w:tcPr>
          <w:p w:rsidR="00485094" w:rsidRPr="00590B64" w:rsidRDefault="00485094" w:rsidP="00453E80">
            <w:pPr>
              <w:pStyle w:val="TableText"/>
              <w:jc w:val="center"/>
            </w:pPr>
            <w:r w:rsidRPr="00590B64">
              <w:t>Alkalinity</w:t>
            </w:r>
          </w:p>
        </w:tc>
        <w:tc>
          <w:tcPr>
            <w:tcW w:w="3083" w:type="dxa"/>
            <w:tcBorders>
              <w:top w:val="double" w:sz="4" w:space="0" w:color="auto"/>
            </w:tcBorders>
            <w:vAlign w:val="center"/>
          </w:tcPr>
          <w:p w:rsidR="00485094" w:rsidRPr="00590B64" w:rsidRDefault="00485094" w:rsidP="00453E80">
            <w:pPr>
              <w:pStyle w:val="TableText"/>
              <w:jc w:val="center"/>
            </w:pPr>
            <w:r>
              <w:t>Method 310.1</w:t>
            </w:r>
          </w:p>
        </w:tc>
        <w:tc>
          <w:tcPr>
            <w:tcW w:w="1445" w:type="dxa"/>
            <w:tcBorders>
              <w:top w:val="double" w:sz="4" w:space="0" w:color="auto"/>
            </w:tcBorders>
            <w:vAlign w:val="center"/>
          </w:tcPr>
          <w:p w:rsidR="00485094" w:rsidRPr="00590B64" w:rsidRDefault="00485094" w:rsidP="00453E80">
            <w:pPr>
              <w:pStyle w:val="TableText"/>
              <w:jc w:val="center"/>
            </w:pPr>
            <w:r w:rsidRPr="00590B64">
              <w:t>T</w:t>
            </w:r>
          </w:p>
        </w:tc>
        <w:tc>
          <w:tcPr>
            <w:tcW w:w="1445" w:type="dxa"/>
            <w:tcBorders>
              <w:top w:val="double" w:sz="4" w:space="0" w:color="auto"/>
            </w:tcBorders>
            <w:vAlign w:val="center"/>
          </w:tcPr>
          <w:p w:rsidR="00485094" w:rsidRPr="00590B64" w:rsidRDefault="00485094" w:rsidP="00453E80">
            <w:pPr>
              <w:pStyle w:val="TableText"/>
              <w:jc w:val="center"/>
            </w:pPr>
            <w:r>
              <w:t>D/T</w:t>
            </w:r>
            <w:r w:rsidRPr="00F13A39">
              <w:rPr>
                <w:vertAlign w:val="superscript"/>
                <w:lang w:val="pt-BR"/>
              </w:rPr>
              <w:t>1</w:t>
            </w:r>
            <w:r>
              <w:rPr>
                <w:vertAlign w:val="superscript"/>
                <w:lang w:val="pt-BR"/>
              </w:rPr>
              <w:t>,</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Turbidity</w:t>
            </w:r>
            <w:r>
              <w:t xml:space="preserve"> (Lab)</w:t>
            </w:r>
          </w:p>
        </w:tc>
        <w:tc>
          <w:tcPr>
            <w:tcW w:w="3083" w:type="dxa"/>
            <w:vAlign w:val="center"/>
          </w:tcPr>
          <w:p w:rsidR="00485094" w:rsidRPr="00590B64" w:rsidRDefault="00485094" w:rsidP="00453E80">
            <w:pPr>
              <w:pStyle w:val="TableText"/>
              <w:jc w:val="center"/>
            </w:pPr>
            <w:r w:rsidRPr="00590B64">
              <w:t>Method 180.1</w:t>
            </w:r>
          </w:p>
        </w:tc>
        <w:tc>
          <w:tcPr>
            <w:tcW w:w="1445" w:type="dxa"/>
            <w:vAlign w:val="center"/>
          </w:tcPr>
          <w:p w:rsidR="00485094" w:rsidRPr="00590B64" w:rsidRDefault="00485094" w:rsidP="00453E80">
            <w:pPr>
              <w:pStyle w:val="TableText"/>
              <w:jc w:val="center"/>
            </w:pPr>
            <w:r>
              <w:t>T</w:t>
            </w:r>
          </w:p>
        </w:tc>
        <w:tc>
          <w:tcPr>
            <w:tcW w:w="1445" w:type="dxa"/>
            <w:vAlign w:val="center"/>
          </w:tcPr>
          <w:p w:rsidR="00485094" w:rsidRPr="00590B64" w:rsidRDefault="00485094" w:rsidP="00453E80">
            <w:pPr>
              <w:pStyle w:val="TableText"/>
              <w:jc w:val="center"/>
            </w:pPr>
            <w:r>
              <w:t>T</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Specific Conductance (Lab)</w:t>
            </w:r>
          </w:p>
        </w:tc>
        <w:tc>
          <w:tcPr>
            <w:tcW w:w="3083" w:type="dxa"/>
            <w:vAlign w:val="center"/>
          </w:tcPr>
          <w:p w:rsidR="00485094" w:rsidRPr="00590B64" w:rsidRDefault="00485094" w:rsidP="00453E80">
            <w:pPr>
              <w:pStyle w:val="TableText"/>
              <w:jc w:val="center"/>
            </w:pPr>
            <w:r w:rsidRPr="00590B64">
              <w:t>Method 120.1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t>D/T</w:t>
            </w:r>
            <w:r w:rsidRPr="00F13A39">
              <w:rPr>
                <w:vertAlign w:val="superscript"/>
                <w:lang w:val="pt-BR"/>
              </w:rPr>
              <w:t>1</w:t>
            </w:r>
            <w:r>
              <w:rPr>
                <w:vertAlign w:val="superscript"/>
                <w:lang w:val="pt-BR"/>
              </w:rPr>
              <w:t>,</w:t>
            </w:r>
            <w:r w:rsidRPr="00105925">
              <w:rPr>
                <w:vertAlign w:val="superscript"/>
              </w:rPr>
              <w:t>2</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Color</w:t>
            </w:r>
          </w:p>
        </w:tc>
        <w:tc>
          <w:tcPr>
            <w:tcW w:w="3083" w:type="dxa"/>
            <w:vAlign w:val="center"/>
          </w:tcPr>
          <w:p w:rsidR="00485094" w:rsidRPr="00590B64" w:rsidRDefault="00485094" w:rsidP="00453E80">
            <w:pPr>
              <w:pStyle w:val="TableText"/>
              <w:jc w:val="center"/>
            </w:pPr>
            <w:r>
              <w:t>Method 100.2</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shd w:val="clear" w:color="auto" w:fill="FFFFCC"/>
            <w:vAlign w:val="center"/>
          </w:tcPr>
          <w:p w:rsidR="00485094" w:rsidRPr="00590B64" w:rsidRDefault="00485094" w:rsidP="00453E80">
            <w:pPr>
              <w:pStyle w:val="TableText"/>
              <w:jc w:val="center"/>
            </w:pPr>
            <w:r w:rsidRPr="00590B64">
              <w:t>Total Suspended Solids</w:t>
            </w:r>
          </w:p>
        </w:tc>
        <w:tc>
          <w:tcPr>
            <w:tcW w:w="3083" w:type="dxa"/>
            <w:vAlign w:val="center"/>
          </w:tcPr>
          <w:p w:rsidR="00485094" w:rsidRPr="00590B64" w:rsidRDefault="00485094" w:rsidP="00453E80">
            <w:pPr>
              <w:pStyle w:val="TableText"/>
              <w:jc w:val="center"/>
            </w:pPr>
            <w:r>
              <w:t>Method 160.1</w:t>
            </w:r>
          </w:p>
        </w:tc>
        <w:tc>
          <w:tcPr>
            <w:tcW w:w="1445" w:type="dxa"/>
            <w:vAlign w:val="center"/>
          </w:tcPr>
          <w:p w:rsidR="00485094" w:rsidRPr="00590B64" w:rsidRDefault="00485094" w:rsidP="00453E80">
            <w:pPr>
              <w:pStyle w:val="TableText"/>
              <w:jc w:val="center"/>
            </w:pPr>
            <w:r w:rsidRPr="00590B64">
              <w:t>T</w:t>
            </w:r>
          </w:p>
        </w:tc>
        <w:tc>
          <w:tcPr>
            <w:tcW w:w="1445" w:type="dxa"/>
            <w:vAlign w:val="center"/>
          </w:tcPr>
          <w:p w:rsidR="00485094" w:rsidRPr="00590B64" w:rsidRDefault="00485094" w:rsidP="00453E80">
            <w:pPr>
              <w:pStyle w:val="TableText"/>
              <w:jc w:val="center"/>
            </w:pPr>
            <w:r w:rsidRPr="00590B64">
              <w:t>T</w:t>
            </w:r>
          </w:p>
        </w:tc>
      </w:tr>
      <w:tr w:rsidR="00485094" w:rsidRPr="000F352A" w:rsidTr="00453E80">
        <w:trPr>
          <w:trHeight w:val="235"/>
          <w:jc w:val="center"/>
        </w:trPr>
        <w:tc>
          <w:tcPr>
            <w:tcW w:w="3274" w:type="dxa"/>
            <w:tcBorders>
              <w:bottom w:val="single" w:sz="4" w:space="0" w:color="auto"/>
            </w:tcBorders>
            <w:shd w:val="clear" w:color="auto" w:fill="FFFFCC"/>
            <w:vAlign w:val="center"/>
          </w:tcPr>
          <w:p w:rsidR="00485094" w:rsidRPr="00590B64" w:rsidRDefault="00485094" w:rsidP="00453E80">
            <w:pPr>
              <w:pStyle w:val="TableText"/>
              <w:jc w:val="center"/>
            </w:pPr>
            <w:r w:rsidRPr="00590B64">
              <w:t>Total Dissolved Solids</w:t>
            </w:r>
          </w:p>
        </w:tc>
        <w:tc>
          <w:tcPr>
            <w:tcW w:w="3083" w:type="dxa"/>
            <w:tcBorders>
              <w:bottom w:val="single" w:sz="4" w:space="0" w:color="auto"/>
            </w:tcBorders>
            <w:vAlign w:val="center"/>
          </w:tcPr>
          <w:p w:rsidR="00485094" w:rsidRPr="00590B64" w:rsidRDefault="00485094" w:rsidP="00453E80">
            <w:pPr>
              <w:pStyle w:val="TableText"/>
              <w:jc w:val="center"/>
            </w:pPr>
            <w:r>
              <w:t>Method 160.2</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c>
          <w:tcPr>
            <w:tcW w:w="1445" w:type="dxa"/>
            <w:tcBorders>
              <w:bottom w:val="single" w:sz="4" w:space="0" w:color="auto"/>
            </w:tcBorders>
            <w:vAlign w:val="center"/>
          </w:tcPr>
          <w:p w:rsidR="00485094" w:rsidRPr="00590B64" w:rsidRDefault="00485094" w:rsidP="00453E80">
            <w:pPr>
              <w:pStyle w:val="TableText"/>
              <w:jc w:val="center"/>
            </w:pPr>
            <w:r w:rsidRPr="00590B64">
              <w:t>T</w:t>
            </w:r>
          </w:p>
        </w:tc>
      </w:tr>
    </w:tbl>
    <w:p w:rsidR="00485094" w:rsidRDefault="00485094" w:rsidP="00EA3D58">
      <w:pPr>
        <w:pStyle w:val="Bodytextreduced"/>
      </w:pPr>
    </w:p>
    <w:p w:rsidR="00485094" w:rsidRPr="002A79CF" w:rsidRDefault="00485094" w:rsidP="00EA3D58">
      <w:pPr>
        <w:pStyle w:val="Bodytextreduced"/>
      </w:pPr>
    </w:p>
    <w:p w:rsidR="00485094" w:rsidRPr="00F767F2" w:rsidRDefault="00485094" w:rsidP="00EA3D58">
      <w:pPr>
        <w:pStyle w:val="Heading3"/>
      </w:pPr>
      <w:bookmarkStart w:id="315" w:name="_Toc234030462"/>
      <w:bookmarkStart w:id="316" w:name="_Toc248209571"/>
      <w:bookmarkStart w:id="317" w:name="_Toc255822526"/>
      <w:bookmarkStart w:id="318" w:name="_Toc262464144"/>
      <w:bookmarkStart w:id="319" w:name="_Toc271794337"/>
      <w:r w:rsidRPr="00F767F2">
        <w:t>Surface Water Trend Network</w:t>
      </w:r>
      <w:bookmarkEnd w:id="315"/>
      <w:bookmarkEnd w:id="316"/>
      <w:bookmarkEnd w:id="317"/>
      <w:bookmarkEnd w:id="318"/>
      <w:bookmarkEnd w:id="319"/>
    </w:p>
    <w:p w:rsidR="00485094" w:rsidRDefault="00485094" w:rsidP="00EA3D58">
      <w:pPr>
        <w:pStyle w:val="Bodytext"/>
      </w:pPr>
      <w:r w:rsidRPr="00615965">
        <w:t xml:space="preserve">The Surface Water Trend Network consists of </w:t>
      </w:r>
      <w:r>
        <w:t>76</w:t>
      </w:r>
      <w:r w:rsidRPr="00615965">
        <w:t xml:space="preserve"> fixed sites that are sampled monthly (</w:t>
      </w:r>
      <w:r w:rsidRPr="00E67613">
        <w:rPr>
          <w:b/>
          <w:i/>
        </w:rPr>
        <w:t>Figure 5.</w:t>
      </w:r>
      <w:r>
        <w:rPr>
          <w:b/>
          <w:i/>
        </w:rPr>
        <w:t>3</w:t>
      </w:r>
      <w:r w:rsidRPr="00615965">
        <w:t>).  Most of the</w:t>
      </w:r>
      <w:r>
        <w:t>se</w:t>
      </w:r>
      <w:r w:rsidRPr="00615965">
        <w:t xml:space="preserve"> </w:t>
      </w:r>
      <w:r>
        <w:t>sites are located on the nontidal portions of rivers</w:t>
      </w:r>
      <w:r w:rsidRPr="00615965">
        <w:t xml:space="preserve"> </w:t>
      </w:r>
      <w:r>
        <w:t>at or near USGS gau</w:t>
      </w:r>
      <w:r w:rsidRPr="00615965">
        <w:t>ging stations</w:t>
      </w:r>
      <w:r>
        <w:t>, often at the lower end of a watershed</w:t>
      </w:r>
      <w:r w:rsidRPr="00615965">
        <w:t xml:space="preserve">. </w:t>
      </w:r>
      <w:r>
        <w:t xml:space="preserve"> The </w:t>
      </w:r>
      <w:r w:rsidRPr="00615965">
        <w:t>sites enable FDEP to obtain biology, chemistry</w:t>
      </w:r>
      <w:r>
        <w:t>,</w:t>
      </w:r>
      <w:r w:rsidRPr="00615965">
        <w:t xml:space="preserve"> and loading data at a point that integrates land use activities. </w:t>
      </w:r>
      <w:r>
        <w:t xml:space="preserve"> Some Surface W</w:t>
      </w:r>
      <w:r w:rsidRPr="00615965">
        <w:t xml:space="preserve">ater Trend </w:t>
      </w:r>
      <w:r>
        <w:t xml:space="preserve">Network </w:t>
      </w:r>
      <w:r w:rsidRPr="00615965">
        <w:t>sites are also located at or near the Florida boundary with Alabama and Georgia.</w:t>
      </w:r>
      <w:r>
        <w:t xml:space="preserve"> </w:t>
      </w:r>
      <w:r w:rsidRPr="00615965">
        <w:t xml:space="preserve"> These are used to obtain chemistry and loading data for </w:t>
      </w:r>
      <w:r>
        <w:t>rivers or streams</w:t>
      </w:r>
      <w:r w:rsidRPr="00615965">
        <w:t xml:space="preserve"> entering Florida. </w:t>
      </w:r>
      <w:r>
        <w:t xml:space="preserve"> </w:t>
      </w:r>
      <w:r w:rsidRPr="00613F21">
        <w:t>Data from Surface Water Trend sites are used to evaluate temporal variability in Florida’s surface water resources and determine indicator trends.  They are not designed to monitor point sources of pollution, since these sites are located away from known outfalls or other regulated sources.</w:t>
      </w:r>
    </w:p>
    <w:p w:rsidR="00485094" w:rsidRDefault="00485094" w:rsidP="00EA3D58">
      <w:pPr>
        <w:pStyle w:val="Bodytext"/>
      </w:pPr>
    </w:p>
    <w:p w:rsidR="00485094" w:rsidRPr="00856FDC" w:rsidRDefault="00485094" w:rsidP="00EA3D58">
      <w:pPr>
        <w:pStyle w:val="Heading3"/>
      </w:pPr>
      <w:bookmarkStart w:id="320" w:name="_Toc248209572"/>
      <w:bookmarkStart w:id="321" w:name="_Toc255822527"/>
      <w:bookmarkStart w:id="322" w:name="_Toc262464145"/>
      <w:bookmarkStart w:id="323" w:name="_Toc271794338"/>
      <w:r w:rsidRPr="00856FDC">
        <w:t>Ground Water Trend</w:t>
      </w:r>
      <w:r>
        <w:t xml:space="preserve"> Network</w:t>
      </w:r>
      <w:bookmarkEnd w:id="320"/>
      <w:bookmarkEnd w:id="321"/>
      <w:bookmarkEnd w:id="322"/>
      <w:bookmarkEnd w:id="323"/>
    </w:p>
    <w:p w:rsidR="00485094" w:rsidRDefault="00485094" w:rsidP="00EA3D58">
      <w:pPr>
        <w:pStyle w:val="Bodytext"/>
      </w:pPr>
      <w:r w:rsidRPr="000F332D">
        <w:t xml:space="preserve">The Ground Water </w:t>
      </w:r>
      <w:r>
        <w:t>Trend</w:t>
      </w:r>
      <w:r w:rsidRPr="000F332D">
        <w:t xml:space="preserve"> Network consists of 4</w:t>
      </w:r>
      <w:r>
        <w:t>7</w:t>
      </w:r>
      <w:r w:rsidRPr="000F332D">
        <w:t xml:space="preserve"> fixed sites </w:t>
      </w:r>
      <w:r w:rsidRPr="00236F57">
        <w:t>(</w:t>
      </w:r>
      <w:r w:rsidRPr="00E67613">
        <w:rPr>
          <w:b/>
          <w:i/>
        </w:rPr>
        <w:t>Figure 5.</w:t>
      </w:r>
      <w:r>
        <w:rPr>
          <w:b/>
          <w:i/>
        </w:rPr>
        <w:t>4</w:t>
      </w:r>
      <w:r w:rsidRPr="00E67613">
        <w:t>)</w:t>
      </w:r>
      <w:r w:rsidRPr="000F332D">
        <w:rPr>
          <w:b/>
          <w:i/>
        </w:rPr>
        <w:t xml:space="preserve"> </w:t>
      </w:r>
      <w:r w:rsidRPr="000F332D">
        <w:t xml:space="preserve">that are used to obtain chemistry and field data in confined and unconfined aquifers. </w:t>
      </w:r>
      <w:r>
        <w:t xml:space="preserve"> </w:t>
      </w:r>
      <w:r w:rsidRPr="000F332D">
        <w:t>These data are used to quantify temporal variability in ground water resources</w:t>
      </w:r>
      <w:r>
        <w:t xml:space="preserve">.  </w:t>
      </w:r>
      <w:r w:rsidRPr="000F332D">
        <w:t xml:space="preserve">Water samples are collected quarterly at all wells in the </w:t>
      </w:r>
      <w:r>
        <w:t>Ground Water Trend</w:t>
      </w:r>
      <w:r w:rsidRPr="000F332D">
        <w:t xml:space="preserve"> Network. </w:t>
      </w:r>
      <w:r>
        <w:t xml:space="preserve"> </w:t>
      </w:r>
      <w:r w:rsidRPr="000F332D">
        <w:t>Field analytes are measured monthly at the unconfined</w:t>
      </w:r>
      <w:r>
        <w:t xml:space="preserve"> </w:t>
      </w:r>
      <w:r w:rsidRPr="000F332D">
        <w:t>aquifer sites.  A land</w:t>
      </w:r>
      <w:r>
        <w:t xml:space="preserve"> </w:t>
      </w:r>
      <w:r w:rsidRPr="000F332D">
        <w:t>use form</w:t>
      </w:r>
      <w:r>
        <w:t>,</w:t>
      </w:r>
      <w:r w:rsidRPr="000F332D">
        <w:t xml:space="preserve"> completed </w:t>
      </w:r>
      <w:r>
        <w:t xml:space="preserve">at all sites </w:t>
      </w:r>
      <w:r w:rsidRPr="000F332D">
        <w:t>annually</w:t>
      </w:r>
      <w:r>
        <w:t>, aids in determining potential sources of contamination for ground water resources</w:t>
      </w:r>
      <w:r w:rsidRPr="000F332D">
        <w:t>.</w:t>
      </w:r>
    </w:p>
    <w:p w:rsidR="00485094" w:rsidRDefault="00485094" w:rsidP="00EA3D58">
      <w:pPr>
        <w:pStyle w:val="Bodytext"/>
      </w:pPr>
    </w:p>
    <w:p w:rsidR="00485094" w:rsidRDefault="00485094" w:rsidP="00F514F9">
      <w:pPr>
        <w:pStyle w:val="Heading3"/>
      </w:pPr>
      <w:bookmarkStart w:id="324" w:name="_Toc271794339"/>
      <w:r>
        <w:t>Trend Network C</w:t>
      </w:r>
      <w:r w:rsidRPr="00B4598C">
        <w:t>ore and Suppleme</w:t>
      </w:r>
      <w:r>
        <w:t>ntal Indicators</w:t>
      </w:r>
      <w:bookmarkEnd w:id="324"/>
    </w:p>
    <w:p w:rsidR="00485094" w:rsidRPr="00E67613" w:rsidRDefault="00485094" w:rsidP="00EA3D58">
      <w:pPr>
        <w:pStyle w:val="Bodytext"/>
      </w:pPr>
      <w:r w:rsidRPr="00E67613">
        <w:t>For data comparability,</w:t>
      </w:r>
      <w:r w:rsidRPr="00E67613" w:rsidDel="00B96C0D">
        <w:t xml:space="preserve"> </w:t>
      </w:r>
      <w:r w:rsidRPr="00E67613">
        <w:t>many of the same indicators are included in both the Status and Trend Network indicator lists.  To maintain the historical aspect of the data, changes to the indicator list are minimized but not restricted.</w:t>
      </w:r>
    </w:p>
    <w:p w:rsidR="00485094" w:rsidRDefault="00485094" w:rsidP="00EA3D58">
      <w:pPr>
        <w:pStyle w:val="Bodytext"/>
      </w:pPr>
    </w:p>
    <w:p w:rsidR="00485094" w:rsidRDefault="00485094" w:rsidP="00EA3D58">
      <w:pPr>
        <w:pStyle w:val="Bodytextreduced"/>
      </w:pPr>
      <w:r>
        <w:br w:type="page"/>
      </w:r>
    </w:p>
    <w:p w:rsidR="00485094" w:rsidRDefault="00485094" w:rsidP="00EA3D58">
      <w:pPr>
        <w:pStyle w:val="Caption"/>
      </w:pPr>
      <w:bookmarkStart w:id="325" w:name="_Toc243369010"/>
      <w:bookmarkStart w:id="326" w:name="_Toc262464292"/>
      <w:bookmarkStart w:id="327" w:name="_Toc271280144"/>
      <w:r w:rsidRPr="00F52EDE">
        <w:lastRenderedPageBreak/>
        <w:t>F</w:t>
      </w:r>
      <w:r>
        <w:t>igure 5.3.  Su</w:t>
      </w:r>
      <w:r w:rsidRPr="00F52EDE">
        <w:t xml:space="preserve">rface Water Trend Network </w:t>
      </w:r>
      <w:r>
        <w:t>S</w:t>
      </w:r>
      <w:r w:rsidRPr="00F52EDE">
        <w:t>ites</w:t>
      </w:r>
      <w:bookmarkEnd w:id="325"/>
      <w:bookmarkEnd w:id="326"/>
      <w:bookmarkEnd w:id="327"/>
      <w:r w:rsidRPr="00856FDC">
        <w:t xml:space="preserve"> </w:t>
      </w:r>
    </w:p>
    <w:p w:rsidR="00485094" w:rsidRDefault="001717CD" w:rsidP="00EA3D58">
      <w:pPr>
        <w:pStyle w:val="Bodytextreduced"/>
      </w:pPr>
      <w:r>
        <w:rPr>
          <w:noProof/>
        </w:rPr>
        <w:drawing>
          <wp:anchor distT="0" distB="0" distL="114300" distR="114300" simplePos="0" relativeHeight="251652608" behindDoc="0" locked="0" layoutInCell="1" allowOverlap="1">
            <wp:simplePos x="0" y="0"/>
            <wp:positionH relativeFrom="column">
              <wp:align>center</wp:align>
            </wp:positionH>
            <wp:positionV relativeFrom="paragraph">
              <wp:posOffset>263525</wp:posOffset>
            </wp:positionV>
            <wp:extent cx="5504815" cy="6146800"/>
            <wp:effectExtent l="19050" t="0" r="635" b="0"/>
            <wp:wrapTopAndBottom/>
            <wp:docPr id="49" name="Picture 4" descr="Figure 5.3.  Surface Water Trend Network Sites.  This is a map of the state of Florida showing the location of the surface water trend stati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5.3.  Surface Water Trend Network Sites "/>
                    <pic:cNvPicPr>
                      <a:picLocks noChangeAspect="1" noChangeArrowheads="1"/>
                    </pic:cNvPicPr>
                  </pic:nvPicPr>
                  <pic:blipFill>
                    <a:blip r:embed="rId71"/>
                    <a:srcRect/>
                    <a:stretch>
                      <a:fillRect/>
                    </a:stretch>
                  </pic:blipFill>
                  <pic:spPr bwMode="auto">
                    <a:xfrm>
                      <a:off x="0" y="0"/>
                      <a:ext cx="5504815" cy="6146800"/>
                    </a:xfrm>
                    <a:prstGeom prst="rect">
                      <a:avLst/>
                    </a:prstGeom>
                    <a:noFill/>
                    <a:ln w="9525">
                      <a:noFill/>
                      <a:miter lim="800000"/>
                      <a:headEnd/>
                      <a:tailEnd/>
                    </a:ln>
                  </pic:spPr>
                </pic:pic>
              </a:graphicData>
            </a:graphic>
          </wp:anchor>
        </w:drawing>
      </w:r>
      <w:r w:rsidR="00485094" w:rsidRPr="00856FDC">
        <w:br w:type="page"/>
      </w:r>
      <w:bookmarkStart w:id="328" w:name="_Toc243369011"/>
    </w:p>
    <w:p w:rsidR="00485094" w:rsidRPr="00F52EDE" w:rsidRDefault="00485094" w:rsidP="00EA3D58">
      <w:pPr>
        <w:pStyle w:val="Caption"/>
      </w:pPr>
      <w:bookmarkStart w:id="329" w:name="_Toc262464293"/>
      <w:bookmarkStart w:id="330" w:name="_Toc271280145"/>
      <w:r w:rsidRPr="00F52EDE">
        <w:lastRenderedPageBreak/>
        <w:t xml:space="preserve">Figure </w:t>
      </w:r>
      <w:r>
        <w:t>5.4</w:t>
      </w:r>
      <w:r w:rsidRPr="00F52EDE">
        <w:t>.</w:t>
      </w:r>
      <w:r>
        <w:t xml:space="preserve">  </w:t>
      </w:r>
      <w:r w:rsidRPr="00F52EDE">
        <w:t xml:space="preserve">Ground Water Trend </w:t>
      </w:r>
      <w:r>
        <w:t>Network S</w:t>
      </w:r>
      <w:r w:rsidRPr="00F52EDE">
        <w:t>ites</w:t>
      </w:r>
      <w:bookmarkEnd w:id="328"/>
      <w:bookmarkEnd w:id="329"/>
      <w:bookmarkEnd w:id="330"/>
    </w:p>
    <w:p w:rsidR="00485094" w:rsidRDefault="00485094" w:rsidP="00EA3D58"/>
    <w:p w:rsidR="00485094" w:rsidRPr="00613F21" w:rsidRDefault="001717CD" w:rsidP="00EA3D58">
      <w:pPr>
        <w:pStyle w:val="Bodytextreduced"/>
      </w:pPr>
      <w:r>
        <w:rPr>
          <w:noProof/>
        </w:rPr>
        <w:drawing>
          <wp:anchor distT="0" distB="0" distL="114300" distR="114300" simplePos="0" relativeHeight="251653632" behindDoc="0" locked="0" layoutInCell="1" allowOverlap="1">
            <wp:simplePos x="0" y="0"/>
            <wp:positionH relativeFrom="column">
              <wp:align>center</wp:align>
            </wp:positionH>
            <wp:positionV relativeFrom="paragraph">
              <wp:posOffset>27305</wp:posOffset>
            </wp:positionV>
            <wp:extent cx="5376545" cy="6011545"/>
            <wp:effectExtent l="19050" t="0" r="0" b="0"/>
            <wp:wrapTopAndBottom/>
            <wp:docPr id="48" name="Picture 1" descr="Figure 5.4.  Ground Water Trend Network Sites.  This is a map of the state of Florida showing the location of the groundwater trend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5.4.  Ground Water Trend Network Sites"/>
                    <pic:cNvPicPr>
                      <a:picLocks noChangeAspect="1" noChangeArrowheads="1"/>
                    </pic:cNvPicPr>
                  </pic:nvPicPr>
                  <pic:blipFill>
                    <a:blip r:embed="rId72"/>
                    <a:srcRect/>
                    <a:stretch>
                      <a:fillRect/>
                    </a:stretch>
                  </pic:blipFill>
                  <pic:spPr bwMode="auto">
                    <a:xfrm>
                      <a:off x="0" y="0"/>
                      <a:ext cx="5376545" cy="6011545"/>
                    </a:xfrm>
                    <a:prstGeom prst="rect">
                      <a:avLst/>
                    </a:prstGeom>
                    <a:noFill/>
                    <a:ln w="9525">
                      <a:noFill/>
                      <a:miter lim="800000"/>
                      <a:headEnd/>
                      <a:tailEnd/>
                    </a:ln>
                  </pic:spPr>
                </pic:pic>
              </a:graphicData>
            </a:graphic>
          </wp:anchor>
        </w:drawing>
      </w:r>
      <w:r w:rsidR="00485094">
        <w:br w:type="page"/>
      </w:r>
    </w:p>
    <w:p w:rsidR="00485094" w:rsidRPr="000E78D1" w:rsidRDefault="00485094" w:rsidP="00F514F9">
      <w:pPr>
        <w:pStyle w:val="Heading2"/>
        <w:rPr>
          <w:rFonts w:ascii="Tahoma" w:hAnsi="Tahoma" w:cs="Tahoma"/>
        </w:rPr>
      </w:pPr>
      <w:bookmarkStart w:id="331" w:name="_Toc271794340"/>
      <w:r w:rsidRPr="000E78D1">
        <w:lastRenderedPageBreak/>
        <w:t>D</w:t>
      </w:r>
      <w:r>
        <w:t>ata Evaluation</w:t>
      </w:r>
      <w:bookmarkEnd w:id="331"/>
    </w:p>
    <w:p w:rsidR="00485094" w:rsidRDefault="00485094" w:rsidP="00EA3D58">
      <w:pPr>
        <w:pStyle w:val="Bodytext"/>
      </w:pPr>
      <w:r>
        <w:t>Prior to data analyses for Status and Trend reporting, all data were checked to ensure the accuracy of the results.  Data from the Status Network that were qualified with an F, O, V</w:t>
      </w:r>
      <w:r w:rsidR="003D799D">
        <w:t>,</w:t>
      </w:r>
      <w:r>
        <w:t xml:space="preserve"> or Y were excluded before any analysis was conducted.</w:t>
      </w:r>
      <w:r>
        <w:rPr>
          <w:rStyle w:val="FootnoteReference"/>
        </w:rPr>
        <w:footnoteReference w:id="4"/>
      </w:r>
      <w:r>
        <w:t xml:space="preserve">  All remaining data were used.  </w:t>
      </w:r>
    </w:p>
    <w:p w:rsidR="00485094" w:rsidRDefault="00485094" w:rsidP="00EA3D58">
      <w:pPr>
        <w:pStyle w:val="Bodytext"/>
      </w:pPr>
    </w:p>
    <w:p w:rsidR="00485094" w:rsidRDefault="00485094" w:rsidP="00EA3D58">
      <w:pPr>
        <w:pStyle w:val="Bodytext"/>
      </w:pPr>
      <w:r>
        <w:t xml:space="preserve">In the Trend Network, several stations—3 surface water and 3 ground water—were either recently added to the network or do not have enough data, for a variety of reasons, to conduct a Seasonal Kendall (SK) analysis.  The SK analysis requires a reasonable amount of data—2 seasons and 12 data points—to reduce the influence of season during data analysis.  It is a nonparametric test that is easy to compute, even in the presence of missing values or censored values, and is insensitive to outliers. </w:t>
      </w:r>
    </w:p>
    <w:p w:rsidR="00485094" w:rsidRDefault="00485094" w:rsidP="00EA3D58">
      <w:pPr>
        <w:pStyle w:val="Bodytext"/>
      </w:pPr>
    </w:p>
    <w:p w:rsidR="00485094" w:rsidRPr="00944B6E" w:rsidRDefault="00485094" w:rsidP="00EA3D58">
      <w:pPr>
        <w:pStyle w:val="Bodytext"/>
      </w:pPr>
      <w:r w:rsidRPr="00944B6E">
        <w:t xml:space="preserve">The statewide assessments provide a broad overview of the results obtained by the Status Network, while </w:t>
      </w:r>
      <w:proofErr w:type="spellStart"/>
      <w:r w:rsidRPr="00944B6E">
        <w:t>basinwide</w:t>
      </w:r>
      <w:proofErr w:type="spellEnd"/>
      <w:r w:rsidRPr="00944B6E">
        <w:t xml:space="preserve"> results may depict areas of concern for specific in</w:t>
      </w:r>
      <w:r w:rsidRPr="00986324">
        <w:t>dicators.  Statewide assessments can hide or minimize the impact an indicator may have at the basin level.</w:t>
      </w:r>
      <w:r>
        <w:t xml:space="preserve"> </w:t>
      </w:r>
      <w:r w:rsidRPr="00986324">
        <w:t xml:space="preserve"> In </w:t>
      </w:r>
      <w:r>
        <w:t>an effort to provide</w:t>
      </w:r>
      <w:r w:rsidRPr="00944B6E">
        <w:t xml:space="preserve"> all the results beyond the statewide assessments, </w:t>
      </w:r>
      <w:r w:rsidRPr="00C20B1C">
        <w:rPr>
          <w:b/>
        </w:rPr>
        <w:t xml:space="preserve">Appendices </w:t>
      </w:r>
      <w:r>
        <w:rPr>
          <w:b/>
        </w:rPr>
        <w:t>A</w:t>
      </w:r>
      <w:r>
        <w:t xml:space="preserve"> and </w:t>
      </w:r>
      <w:r>
        <w:rPr>
          <w:b/>
        </w:rPr>
        <w:t>C</w:t>
      </w:r>
      <w:r w:rsidRPr="00944B6E">
        <w:t xml:space="preserve"> </w:t>
      </w:r>
      <w:r>
        <w:t xml:space="preserve">contain </w:t>
      </w:r>
      <w:r w:rsidRPr="00944B6E">
        <w:t xml:space="preserve">tables </w:t>
      </w:r>
      <w:r>
        <w:t>presenting</w:t>
      </w:r>
      <w:r w:rsidRPr="00944B6E">
        <w:t xml:space="preserve"> the results </w:t>
      </w:r>
      <w:r>
        <w:t xml:space="preserve">for each basin </w:t>
      </w:r>
      <w:r w:rsidRPr="00944B6E">
        <w:t>and maps to visually depict those results.</w:t>
      </w:r>
    </w:p>
    <w:p w:rsidR="00485094" w:rsidRDefault="00485094" w:rsidP="00EA3D58">
      <w:pPr>
        <w:pStyle w:val="Bodytext"/>
      </w:pPr>
    </w:p>
    <w:p w:rsidR="00485094" w:rsidRDefault="00485094" w:rsidP="00EA3D58">
      <w:pPr>
        <w:pStyle w:val="Bodytext"/>
      </w:pPr>
      <w:r>
        <w:t xml:space="preserve">Not all resources occur in every basin—for example, there are </w:t>
      </w:r>
      <w:r w:rsidRPr="00D53BE0">
        <w:t>no river resource</w:t>
      </w:r>
      <w:r>
        <w:t>s</w:t>
      </w:r>
      <w:r w:rsidRPr="00D53BE0">
        <w:t xml:space="preserve"> in the Tampa Bay, Charlotte Harbor, Florida Keys, and Indian River Lagoon Basins</w:t>
      </w:r>
      <w:r>
        <w:t>.  When no samples are collected, basin-specific</w:t>
      </w:r>
      <w:r w:rsidRPr="00D53BE0">
        <w:t xml:space="preserve"> results </w:t>
      </w:r>
      <w:r>
        <w:t>(</w:t>
      </w:r>
      <w:r w:rsidRPr="001635B4">
        <w:rPr>
          <w:b/>
        </w:rPr>
        <w:t xml:space="preserve">Appendices </w:t>
      </w:r>
      <w:r>
        <w:rPr>
          <w:b/>
        </w:rPr>
        <w:t>A</w:t>
      </w:r>
      <w:r w:rsidRPr="00595A93">
        <w:t xml:space="preserve"> and</w:t>
      </w:r>
      <w:r>
        <w:t xml:space="preserve"> </w:t>
      </w:r>
      <w:r>
        <w:rPr>
          <w:b/>
        </w:rPr>
        <w:t>C</w:t>
      </w:r>
      <w:r>
        <w:t>) are not reported.  When significantly fewer than 30 samples per resource per basin</w:t>
      </w:r>
      <w:r w:rsidRPr="0069466F">
        <w:t xml:space="preserve"> </w:t>
      </w:r>
      <w:r>
        <w:t>are collected, the results are</w:t>
      </w:r>
      <w:r w:rsidRPr="00D53BE0">
        <w:t xml:space="preserve"> reported </w:t>
      </w:r>
      <w:r>
        <w:t>with an error</w:t>
      </w:r>
      <w:r w:rsidRPr="00D53BE0">
        <w:t xml:space="preserve"> estimate </w:t>
      </w:r>
      <w:r>
        <w:t xml:space="preserve">associated with </w:t>
      </w:r>
      <w:r w:rsidR="003D799D">
        <w:t xml:space="preserve">the </w:t>
      </w:r>
      <w:r>
        <w:t xml:space="preserve">threshold </w:t>
      </w:r>
      <w:r w:rsidRPr="00D53BE0">
        <w:t>value</w:t>
      </w:r>
      <w:r>
        <w:t>.  All samples collected are included in the statewide assessment.</w:t>
      </w:r>
    </w:p>
    <w:p w:rsidR="00485094" w:rsidRDefault="00485094" w:rsidP="00EA3D58">
      <w:pPr>
        <w:pStyle w:val="Bodytext"/>
      </w:pPr>
    </w:p>
    <w:p w:rsidR="00485094" w:rsidRDefault="00485094" w:rsidP="00EA3D58">
      <w:pPr>
        <w:pStyle w:val="Bodytextreduced"/>
      </w:pPr>
      <w:r>
        <w:br w:type="page"/>
      </w:r>
    </w:p>
    <w:p w:rsidR="00485094" w:rsidRPr="00D53BE0" w:rsidRDefault="00485094" w:rsidP="00692F31">
      <w:pPr>
        <w:pStyle w:val="Heading1"/>
      </w:pPr>
      <w:bookmarkStart w:id="332" w:name="_Chapter_6:_"/>
      <w:bookmarkStart w:id="333" w:name="_Toc134347393"/>
      <w:bookmarkStart w:id="334" w:name="_Toc255822528"/>
      <w:bookmarkStart w:id="335" w:name="_Toc262464146"/>
      <w:bookmarkStart w:id="336" w:name="_Toc271794341"/>
      <w:bookmarkStart w:id="337" w:name="_Toc255822535"/>
      <w:bookmarkEnd w:id="332"/>
      <w:r>
        <w:lastRenderedPageBreak/>
        <w:t xml:space="preserve">Chapter 6:  Results of the Status and trend NeTWORK Assessments </w:t>
      </w:r>
      <w:r w:rsidRPr="00D53BE0">
        <w:t>for 2004</w:t>
      </w:r>
      <w:bookmarkEnd w:id="333"/>
      <w:r>
        <w:t>–</w:t>
      </w:r>
      <w:r w:rsidRPr="00D53BE0">
        <w:t>08</w:t>
      </w:r>
      <w:bookmarkEnd w:id="334"/>
      <w:bookmarkEnd w:id="335"/>
      <w:bookmarkEnd w:id="336"/>
    </w:p>
    <w:p w:rsidR="00485094" w:rsidRDefault="00485094" w:rsidP="00692F31">
      <w:pPr>
        <w:pStyle w:val="Bodytextreduced"/>
      </w:pPr>
    </w:p>
    <w:p w:rsidR="00485094" w:rsidRDefault="00485094" w:rsidP="00692F31">
      <w:pPr>
        <w:pStyle w:val="Heading2"/>
      </w:pPr>
      <w:bookmarkStart w:id="338" w:name="_Toc255822529"/>
      <w:bookmarkStart w:id="339" w:name="_Toc262464147"/>
      <w:bookmarkStart w:id="340" w:name="_Toc271794342"/>
      <w:r>
        <w:t>Summary of Status Network Surface Water Results</w:t>
      </w:r>
      <w:bookmarkEnd w:id="338"/>
      <w:bookmarkEnd w:id="339"/>
      <w:bookmarkEnd w:id="340"/>
    </w:p>
    <w:p w:rsidR="00485094" w:rsidRDefault="00485094" w:rsidP="00692F31">
      <w:pPr>
        <w:pStyle w:val="Heading3"/>
      </w:pPr>
      <w:bookmarkStart w:id="341" w:name="_Toc255822530"/>
      <w:bookmarkStart w:id="342" w:name="_Toc262464148"/>
      <w:bookmarkStart w:id="343" w:name="_Toc271794343"/>
      <w:r>
        <w:t>Introduction</w:t>
      </w:r>
      <w:bookmarkEnd w:id="341"/>
      <w:bookmarkEnd w:id="342"/>
      <w:bookmarkEnd w:id="343"/>
    </w:p>
    <w:p w:rsidR="00485094" w:rsidRDefault="00485094" w:rsidP="00692F31">
      <w:pPr>
        <w:pStyle w:val="Bodytext"/>
      </w:pPr>
      <w:r>
        <w:t xml:space="preserve">The probabilistic </w:t>
      </w:r>
      <w:r w:rsidRPr="00D53BE0">
        <w:t xml:space="preserve">approach </w:t>
      </w:r>
      <w:r>
        <w:t xml:space="preserve">discussed in </w:t>
      </w:r>
      <w:hyperlink w:anchor="_Chapter_5._" w:history="1">
        <w:r w:rsidRPr="00295CB2">
          <w:rPr>
            <w:rStyle w:val="Hyperlink"/>
          </w:rPr>
          <w:t>Chapter 5</w:t>
        </w:r>
      </w:hyperlink>
      <w:r>
        <w:t xml:space="preserve"> </w:t>
      </w:r>
      <w:r w:rsidRPr="00D53BE0">
        <w:t xml:space="preserve">was used </w:t>
      </w:r>
      <w:r>
        <w:t xml:space="preserve">to </w:t>
      </w:r>
      <w:r w:rsidRPr="00D53BE0">
        <w:t xml:space="preserve">sample and report on </w:t>
      </w:r>
      <w:r>
        <w:t>the condition of surface water</w:t>
      </w:r>
      <w:r w:rsidRPr="00D53BE0">
        <w:t xml:space="preserve"> resources from the entire state.  </w:t>
      </w:r>
      <w:r>
        <w:t>Two levels of assessment were conducted:  first, basin assessments (</w:t>
      </w:r>
      <w:r w:rsidRPr="001635B4">
        <w:rPr>
          <w:b/>
        </w:rPr>
        <w:t xml:space="preserve">Appendix </w:t>
      </w:r>
      <w:r>
        <w:rPr>
          <w:b/>
        </w:rPr>
        <w:t>A</w:t>
      </w:r>
      <w:r>
        <w:t xml:space="preserve">), and second, a statewide assessment, which is summarized here.  </w:t>
      </w:r>
    </w:p>
    <w:p w:rsidR="00485094" w:rsidRDefault="00485094" w:rsidP="00692F31">
      <w:pPr>
        <w:pStyle w:val="Bodytext"/>
      </w:pPr>
    </w:p>
    <w:p w:rsidR="00485094" w:rsidRDefault="00485094" w:rsidP="00692F31">
      <w:pPr>
        <w:pStyle w:val="Bodytext"/>
      </w:pPr>
      <w:r w:rsidRPr="00D53BE0">
        <w:t xml:space="preserve">Four surface water resources were assessed: </w:t>
      </w:r>
      <w:r>
        <w:t xml:space="preserve"> </w:t>
      </w:r>
      <w:r w:rsidRPr="00D53BE0">
        <w:t>rivers</w:t>
      </w:r>
      <w:r>
        <w:t xml:space="preserve">, </w:t>
      </w:r>
      <w:r w:rsidRPr="00D53BE0">
        <w:t>streams</w:t>
      </w:r>
      <w:r>
        <w:t>,</w:t>
      </w:r>
      <w:r w:rsidRPr="00D53BE0">
        <w:t xml:space="preserve"> large lakes, </w:t>
      </w:r>
      <w:r>
        <w:t xml:space="preserve">and </w:t>
      </w:r>
      <w:r w:rsidRPr="00D53BE0">
        <w:t xml:space="preserve">small lakes.  </w:t>
      </w:r>
      <w:r w:rsidRPr="004B442C">
        <w:rPr>
          <w:b/>
          <w:i/>
        </w:rPr>
        <w:t>Table 6.1</w:t>
      </w:r>
      <w:r w:rsidRPr="004B442C">
        <w:t xml:space="preserve"> summarizes the miles of rivers and streams, and acres and numbers of large and</w:t>
      </w:r>
      <w:r>
        <w:t xml:space="preserve"> small </w:t>
      </w:r>
      <w:r w:rsidRPr="00D53BE0">
        <w:t>lakes</w:t>
      </w:r>
      <w:r>
        <w:t>,</w:t>
      </w:r>
      <w:r w:rsidRPr="00D53BE0">
        <w:t xml:space="preserve"> </w:t>
      </w:r>
      <w:r>
        <w:t>for</w:t>
      </w:r>
      <w:r w:rsidRPr="00D53BE0">
        <w:t xml:space="preserve"> the waters assessed.  Approximately 30 samples were collected from each resource for the 29 basins throughout the state</w:t>
      </w:r>
      <w:r>
        <w:t>.</w:t>
      </w:r>
      <w:r w:rsidRPr="00D53BE0">
        <w:t xml:space="preserve"> </w:t>
      </w:r>
    </w:p>
    <w:p w:rsidR="00485094" w:rsidRPr="00D53BE0" w:rsidRDefault="00485094" w:rsidP="00692F31"/>
    <w:p w:rsidR="00485094" w:rsidRDefault="00485094" w:rsidP="00692F31">
      <w:pPr>
        <w:pStyle w:val="Tableheading"/>
      </w:pPr>
      <w:bookmarkStart w:id="344" w:name="_Toc134347506"/>
      <w:bookmarkStart w:id="345" w:name="_Toc255482824"/>
      <w:bookmarkStart w:id="346" w:name="_Toc255807482"/>
      <w:bookmarkStart w:id="347" w:name="_Toc262464240"/>
      <w:bookmarkStart w:id="348" w:name="_Toc271889834"/>
      <w:r>
        <w:t>Table 6.1</w:t>
      </w:r>
      <w:r w:rsidRPr="00D53BE0">
        <w:t>.  Summary of Surface Water Resources Assessed by the Status Network’s Probabilistic Monitoring</w:t>
      </w:r>
      <w:r>
        <w:t>,</w:t>
      </w:r>
      <w:r w:rsidRPr="00D53BE0">
        <w:t xml:space="preserve"> 2004</w:t>
      </w:r>
      <w:bookmarkEnd w:id="344"/>
      <w:r>
        <w:t>–</w:t>
      </w:r>
      <w:r w:rsidRPr="00D53BE0">
        <w:t>08</w:t>
      </w:r>
      <w:bookmarkEnd w:id="345"/>
      <w:bookmarkEnd w:id="346"/>
      <w:bookmarkEnd w:id="347"/>
      <w:bookmarkEnd w:id="348"/>
    </w:p>
    <w:p w:rsidR="00485094" w:rsidRDefault="00485094" w:rsidP="00692F31">
      <w:pPr>
        <w:pStyle w:val="TabledescriptionBF"/>
      </w:pPr>
      <w:r>
        <w:t>This is a two-</w:t>
      </w:r>
      <w:r w:rsidRPr="001A77D7">
        <w:t>column table</w:t>
      </w:r>
      <w:r>
        <w:t>.  Column 1</w:t>
      </w:r>
      <w:r w:rsidRPr="001A77D7">
        <w:t xml:space="preserve"> </w:t>
      </w:r>
      <w:r>
        <w:t>lists the waterbody type</w:t>
      </w:r>
      <w:r w:rsidRPr="001A77D7">
        <w:t xml:space="preserve"> and </w:t>
      </w:r>
      <w:r>
        <w:t>Column 2</w:t>
      </w:r>
      <w:r w:rsidRPr="001A77D7">
        <w:t xml:space="preserve"> </w:t>
      </w:r>
      <w:r>
        <w:t>lists the miles of rivers and streams, and acres and numbers of large and small lakes</w:t>
      </w:r>
      <w:r w:rsidRPr="001A77D7">
        <w:t>.</w:t>
      </w:r>
    </w:p>
    <w:p w:rsidR="00485094" w:rsidRPr="00D53BE0" w:rsidRDefault="00485094" w:rsidP="00692F31">
      <w:pPr>
        <w:pStyle w:val="TableText"/>
        <w:rPr>
          <w:sz w:val="16"/>
          <w:szCs w:val="16"/>
        </w:rPr>
      </w:pPr>
    </w:p>
    <w:p w:rsidR="00485094" w:rsidRPr="00D53BE0" w:rsidRDefault="00485094" w:rsidP="00692F31">
      <w:pPr>
        <w:pStyle w:val="Bodytextreduced"/>
      </w:pPr>
      <w:r w:rsidRPr="00D53BE0">
        <w:rPr>
          <w:b/>
        </w:rPr>
        <w:t>Note:</w:t>
      </w:r>
      <w:r w:rsidRPr="00D53BE0">
        <w:t xml:space="preserve">  The estimates in the table do not include coastal or estuarine waters.  These calculations are from the 1:100,000 releveled rNHD.</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2790"/>
      </w:tblGrid>
      <w:tr w:rsidR="00485094" w:rsidRPr="00F13A39" w:rsidTr="000F2909">
        <w:trPr>
          <w:trHeight w:val="305"/>
          <w:jc w:val="center"/>
        </w:trPr>
        <w:tc>
          <w:tcPr>
            <w:tcW w:w="2898" w:type="dxa"/>
            <w:tcBorders>
              <w:bottom w:val="double" w:sz="4" w:space="0" w:color="auto"/>
            </w:tcBorders>
            <w:shd w:val="clear" w:color="auto" w:fill="BDFFFF"/>
            <w:vAlign w:val="center"/>
          </w:tcPr>
          <w:p w:rsidR="00485094" w:rsidRPr="00F13A39" w:rsidRDefault="00485094" w:rsidP="00453E80">
            <w:pPr>
              <w:pStyle w:val="TableText"/>
              <w:jc w:val="center"/>
              <w:rPr>
                <w:i/>
              </w:rPr>
            </w:pPr>
            <w:r w:rsidRPr="00F13A39">
              <w:rPr>
                <w:b/>
                <w:i/>
              </w:rPr>
              <w:t>Waterbody Type</w:t>
            </w:r>
          </w:p>
        </w:tc>
        <w:tc>
          <w:tcPr>
            <w:tcW w:w="2790" w:type="dxa"/>
            <w:tcBorders>
              <w:bottom w:val="double" w:sz="4" w:space="0" w:color="auto"/>
            </w:tcBorders>
            <w:shd w:val="clear" w:color="auto" w:fill="BDFFFF"/>
            <w:vAlign w:val="center"/>
          </w:tcPr>
          <w:p w:rsidR="00485094" w:rsidRPr="00F13A39" w:rsidRDefault="00485094" w:rsidP="00453E80">
            <w:pPr>
              <w:pStyle w:val="TableText"/>
              <w:jc w:val="center"/>
              <w:rPr>
                <w:i/>
              </w:rPr>
            </w:pPr>
            <w:r w:rsidRPr="00F13A39">
              <w:rPr>
                <w:b/>
                <w:i/>
              </w:rPr>
              <w:t>Assessed</w:t>
            </w:r>
          </w:p>
        </w:tc>
      </w:tr>
      <w:tr w:rsidR="00485094" w:rsidRPr="00D53BE0" w:rsidTr="00453E80">
        <w:trPr>
          <w:trHeight w:val="341"/>
          <w:jc w:val="center"/>
        </w:trPr>
        <w:tc>
          <w:tcPr>
            <w:tcW w:w="2898" w:type="dxa"/>
            <w:tcBorders>
              <w:top w:val="double" w:sz="4" w:space="0" w:color="auto"/>
            </w:tcBorders>
            <w:shd w:val="clear" w:color="auto" w:fill="FFFFCC"/>
            <w:vAlign w:val="center"/>
          </w:tcPr>
          <w:p w:rsidR="00485094" w:rsidRPr="00D53BE0" w:rsidRDefault="00485094" w:rsidP="00453E80">
            <w:pPr>
              <w:pStyle w:val="TableText"/>
              <w:jc w:val="center"/>
            </w:pPr>
            <w:r w:rsidRPr="00D53BE0">
              <w:t>Rivers</w:t>
            </w:r>
          </w:p>
        </w:tc>
        <w:tc>
          <w:tcPr>
            <w:tcW w:w="2790" w:type="dxa"/>
            <w:tcBorders>
              <w:top w:val="double" w:sz="4" w:space="0" w:color="auto"/>
            </w:tcBorders>
            <w:vAlign w:val="center"/>
          </w:tcPr>
          <w:p w:rsidR="00485094" w:rsidRPr="00D53BE0" w:rsidRDefault="00485094" w:rsidP="00453E80">
            <w:pPr>
              <w:pStyle w:val="TableText"/>
              <w:jc w:val="center"/>
            </w:pPr>
            <w:r w:rsidRPr="00D53BE0">
              <w:t>3,282 miles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Streams</w:t>
            </w:r>
          </w:p>
        </w:tc>
        <w:tc>
          <w:tcPr>
            <w:tcW w:w="2790" w:type="dxa"/>
            <w:vAlign w:val="center"/>
          </w:tcPr>
          <w:p w:rsidR="00485094" w:rsidRPr="00D53BE0" w:rsidRDefault="00485094" w:rsidP="00453E80">
            <w:pPr>
              <w:pStyle w:val="TableText"/>
              <w:jc w:val="center"/>
            </w:pPr>
            <w:r w:rsidRPr="00733FDE">
              <w:t>34,390</w:t>
            </w:r>
            <w:r w:rsidRPr="00D53BE0">
              <w:t xml:space="preserve"> miles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Large Lakes</w:t>
            </w:r>
          </w:p>
        </w:tc>
        <w:tc>
          <w:tcPr>
            <w:tcW w:w="2790" w:type="dxa"/>
            <w:vAlign w:val="center"/>
          </w:tcPr>
          <w:p w:rsidR="00485094" w:rsidRPr="00D53BE0" w:rsidRDefault="00485094" w:rsidP="00453E80">
            <w:pPr>
              <w:pStyle w:val="TableText"/>
              <w:jc w:val="center"/>
            </w:pPr>
            <w:r w:rsidRPr="00733FDE">
              <w:t>1,038,899</w:t>
            </w:r>
            <w:r w:rsidRPr="00D53BE0">
              <w:t xml:space="preserve"> acres</w:t>
            </w:r>
          </w:p>
        </w:tc>
      </w:tr>
      <w:tr w:rsidR="00485094" w:rsidRPr="00D53BE0" w:rsidTr="00453E80">
        <w:trPr>
          <w:trHeight w:val="341"/>
          <w:jc w:val="center"/>
        </w:trPr>
        <w:tc>
          <w:tcPr>
            <w:tcW w:w="2898" w:type="dxa"/>
            <w:shd w:val="clear" w:color="auto" w:fill="FFFFCC"/>
            <w:vAlign w:val="center"/>
          </w:tcPr>
          <w:p w:rsidR="00485094" w:rsidRPr="00D53BE0" w:rsidRDefault="00485094" w:rsidP="00453E80">
            <w:pPr>
              <w:pStyle w:val="TableText"/>
              <w:jc w:val="center"/>
            </w:pPr>
            <w:r w:rsidRPr="00D53BE0">
              <w:t>Small Lakes</w:t>
            </w:r>
          </w:p>
        </w:tc>
        <w:tc>
          <w:tcPr>
            <w:tcW w:w="2790" w:type="dxa"/>
            <w:vAlign w:val="center"/>
          </w:tcPr>
          <w:p w:rsidR="00485094" w:rsidRPr="00D53BE0" w:rsidRDefault="00485094" w:rsidP="00453E80">
            <w:pPr>
              <w:pStyle w:val="TableText"/>
              <w:jc w:val="center"/>
            </w:pPr>
            <w:r w:rsidRPr="00D53BE0">
              <w:t>5,882 lakes</w:t>
            </w:r>
          </w:p>
        </w:tc>
      </w:tr>
    </w:tbl>
    <w:p w:rsidR="00485094" w:rsidRPr="00D53BE0" w:rsidRDefault="00485094" w:rsidP="00692F31">
      <w:pPr>
        <w:pStyle w:val="TableText"/>
        <w:rPr>
          <w:sz w:val="16"/>
          <w:szCs w:val="16"/>
        </w:rPr>
      </w:pPr>
    </w:p>
    <w:p w:rsidR="00485094" w:rsidRPr="00D53BE0" w:rsidRDefault="00485094" w:rsidP="00692F31">
      <w:pPr>
        <w:pStyle w:val="TableText"/>
        <w:rPr>
          <w:sz w:val="16"/>
          <w:szCs w:val="16"/>
        </w:rPr>
      </w:pPr>
    </w:p>
    <w:p w:rsidR="00485094" w:rsidRDefault="00485094" w:rsidP="00692F31">
      <w:pPr>
        <w:pStyle w:val="Bodytext"/>
      </w:pPr>
      <w:r>
        <w:t>The i</w:t>
      </w:r>
      <w:r w:rsidRPr="00D53BE0">
        <w:t xml:space="preserve">ndicators selected for surface water reporting include fecal coliform, </w:t>
      </w:r>
      <w:r>
        <w:t>DO</w:t>
      </w:r>
      <w:r w:rsidRPr="00D53BE0">
        <w:t xml:space="preserve">, un-ionized ammonia, chlorophyll </w:t>
      </w:r>
      <w:r w:rsidRPr="00D53BE0">
        <w:rPr>
          <w:i/>
        </w:rPr>
        <w:t xml:space="preserve">a </w:t>
      </w:r>
      <w:r w:rsidRPr="00D53BE0">
        <w:t>(rivers and streams</w:t>
      </w:r>
      <w:r>
        <w:t xml:space="preserve">), and </w:t>
      </w:r>
      <w:r w:rsidRPr="00D53BE0">
        <w:t>T</w:t>
      </w:r>
      <w:r>
        <w:t xml:space="preserve">SI </w:t>
      </w:r>
      <w:r w:rsidRPr="00D53BE0">
        <w:t>(lakes)</w:t>
      </w:r>
      <w:r w:rsidRPr="00D53BE0">
        <w:rPr>
          <w:i/>
        </w:rPr>
        <w:t>.</w:t>
      </w:r>
      <w:r w:rsidRPr="00D53BE0">
        <w:t xml:space="preserve">  </w:t>
      </w:r>
      <w:r w:rsidRPr="004B442C">
        <w:rPr>
          <w:b/>
          <w:i/>
        </w:rPr>
        <w:t xml:space="preserve">Tables </w:t>
      </w:r>
      <w:r>
        <w:rPr>
          <w:b/>
          <w:i/>
        </w:rPr>
        <w:t>6.2</w:t>
      </w:r>
      <w:r w:rsidRPr="004B442C">
        <w:rPr>
          <w:b/>
          <w:i/>
        </w:rPr>
        <w:t xml:space="preserve">a </w:t>
      </w:r>
      <w:r>
        <w:t>through</w:t>
      </w:r>
      <w:r w:rsidRPr="004B442C">
        <w:rPr>
          <w:b/>
          <w:i/>
        </w:rPr>
        <w:t xml:space="preserve"> 6.</w:t>
      </w:r>
      <w:r>
        <w:rPr>
          <w:b/>
          <w:i/>
        </w:rPr>
        <w:t>2d</w:t>
      </w:r>
      <w:r>
        <w:t xml:space="preserve"> summarize the indicators and their threshold values.</w:t>
      </w:r>
      <w:r w:rsidRPr="005715F6">
        <w:rPr>
          <w:b/>
        </w:rPr>
        <w:t xml:space="preserve"> </w:t>
      </w:r>
      <w:r>
        <w:rPr>
          <w:b/>
        </w:rPr>
        <w:t xml:space="preserve"> </w:t>
      </w:r>
      <w:r w:rsidRPr="00D53BE0">
        <w:rPr>
          <w:b/>
        </w:rPr>
        <w:t xml:space="preserve">Appendix </w:t>
      </w:r>
      <w:r>
        <w:rPr>
          <w:b/>
        </w:rPr>
        <w:t>B</w:t>
      </w:r>
      <w:r w:rsidRPr="00D53BE0">
        <w:t xml:space="preserve"> </w:t>
      </w:r>
      <w:r>
        <w:t>discusses</w:t>
      </w:r>
      <w:r w:rsidRPr="00D53BE0">
        <w:t xml:space="preserve"> the reasoning behind the use of these indicators.</w:t>
      </w:r>
      <w:r>
        <w:t xml:space="preserve">  </w:t>
      </w:r>
      <w:r w:rsidRPr="004B442C">
        <w:rPr>
          <w:b/>
          <w:i/>
        </w:rPr>
        <w:t>Tables 5.</w:t>
      </w:r>
      <w:r>
        <w:rPr>
          <w:b/>
          <w:i/>
        </w:rPr>
        <w:t>2</w:t>
      </w:r>
      <w:r w:rsidRPr="004B442C">
        <w:rPr>
          <w:b/>
          <w:i/>
        </w:rPr>
        <w:t xml:space="preserve">a </w:t>
      </w:r>
      <w:r w:rsidRPr="004B442C">
        <w:t>through</w:t>
      </w:r>
      <w:r w:rsidRPr="004B442C">
        <w:rPr>
          <w:b/>
          <w:i/>
        </w:rPr>
        <w:t xml:space="preserve"> 5.</w:t>
      </w:r>
      <w:r>
        <w:rPr>
          <w:b/>
          <w:i/>
        </w:rPr>
        <w:t>2</w:t>
      </w:r>
      <w:r w:rsidRPr="004B442C">
        <w:rPr>
          <w:b/>
          <w:i/>
        </w:rPr>
        <w:t>f</w:t>
      </w:r>
      <w:r w:rsidRPr="004B442C">
        <w:t xml:space="preserve"> </w:t>
      </w:r>
      <w:r>
        <w:t xml:space="preserve">and </w:t>
      </w:r>
      <w:r w:rsidRPr="002019BE">
        <w:rPr>
          <w:b/>
          <w:i/>
        </w:rPr>
        <w:t>5.3a</w:t>
      </w:r>
      <w:r>
        <w:t xml:space="preserve"> through </w:t>
      </w:r>
      <w:r w:rsidRPr="002019BE">
        <w:rPr>
          <w:b/>
          <w:i/>
        </w:rPr>
        <w:t>5.3c</w:t>
      </w:r>
      <w:r>
        <w:t xml:space="preserve"> </w:t>
      </w:r>
      <w:r w:rsidRPr="004B442C">
        <w:t>contain the complete list of indicators used in the Status Monitoring</w:t>
      </w:r>
      <w:r>
        <w:t xml:space="preserve"> Network.</w:t>
      </w:r>
    </w:p>
    <w:p w:rsidR="00485094" w:rsidRDefault="00485094" w:rsidP="00692F31">
      <w:pPr>
        <w:pStyle w:val="Bodytext"/>
      </w:pPr>
    </w:p>
    <w:p w:rsidR="00485094" w:rsidRDefault="00485094" w:rsidP="00692F31">
      <w:pPr>
        <w:pStyle w:val="Bodytext"/>
      </w:pPr>
      <w:r w:rsidRPr="00D53BE0">
        <w:t xml:space="preserve">The main source </w:t>
      </w:r>
      <w:r>
        <w:t>for these</w:t>
      </w:r>
      <w:r w:rsidRPr="00D53BE0">
        <w:t xml:space="preserve"> indicators is </w:t>
      </w:r>
      <w:r>
        <w:t>Chapter</w:t>
      </w:r>
      <w:r w:rsidRPr="00D53BE0">
        <w:t xml:space="preserve"> 62-302, F.A.C., which contains the surface water </w:t>
      </w:r>
      <w:r>
        <w:t xml:space="preserve">quality standards for Florida.  </w:t>
      </w:r>
      <w:r w:rsidRPr="00E0259A">
        <w:t xml:space="preserve">The water quality criteria and thresholds are derived from </w:t>
      </w:r>
      <w:r>
        <w:t>the following:</w:t>
      </w:r>
    </w:p>
    <w:p w:rsidR="00485094" w:rsidRDefault="00485094" w:rsidP="00692F31">
      <w:pPr>
        <w:pStyle w:val="Bodytext"/>
      </w:pPr>
    </w:p>
    <w:p w:rsidR="00485094" w:rsidRDefault="00485094" w:rsidP="00692F31">
      <w:pPr>
        <w:pStyle w:val="ListBullet"/>
      </w:pPr>
      <w:r w:rsidRPr="00E0259A">
        <w:t xml:space="preserve">Section 62-302.530, F.A.C., Criteria for Surface Water Classifications; </w:t>
      </w:r>
    </w:p>
    <w:p w:rsidR="00485094" w:rsidRDefault="00485094" w:rsidP="00692F31">
      <w:pPr>
        <w:pStyle w:val="ListBullet"/>
      </w:pPr>
      <w:r>
        <w:t>Chapter</w:t>
      </w:r>
      <w:r w:rsidRPr="00E0259A">
        <w:t xml:space="preserve"> 62-550, F.A.C., Drinking Water Standards; </w:t>
      </w:r>
    </w:p>
    <w:p w:rsidR="00485094" w:rsidRDefault="00485094" w:rsidP="00692F31">
      <w:pPr>
        <w:pStyle w:val="ListBullet"/>
      </w:pPr>
      <w:r>
        <w:t xml:space="preserve">Chapter </w:t>
      </w:r>
      <w:r w:rsidRPr="00E0259A">
        <w:t xml:space="preserve">62-303, F.A.C., Identification of Impaired Surface Waters; and </w:t>
      </w:r>
    </w:p>
    <w:p w:rsidR="00485094" w:rsidRDefault="00485094" w:rsidP="00692F31">
      <w:pPr>
        <w:pStyle w:val="ListBullet"/>
      </w:pPr>
      <w:r w:rsidRPr="00E0259A">
        <w:lastRenderedPageBreak/>
        <w:t>Section 62-520.420, F.A.C., Standards for Class G-I and Class G-II Ground Water.</w:t>
      </w:r>
    </w:p>
    <w:p w:rsidR="00485094" w:rsidRPr="00D53BE0" w:rsidRDefault="00485094" w:rsidP="00692F31">
      <w:pPr>
        <w:pStyle w:val="Bodytextreduced"/>
      </w:pPr>
    </w:p>
    <w:p w:rsidR="00485094" w:rsidRPr="00AB1D07" w:rsidRDefault="00485094" w:rsidP="00692F31">
      <w:pPr>
        <w:pStyle w:val="Bodytext"/>
      </w:pPr>
      <w:bookmarkStart w:id="349" w:name="_Toc255482825"/>
      <w:bookmarkStart w:id="350" w:name="_Toc255807483"/>
      <w:bookmarkStart w:id="351" w:name="_Toc243369000"/>
      <w:r w:rsidRPr="00AB1D07">
        <w:t xml:space="preserve">It is important to note that the diversity of Florida’s aquatic ecosystems also means there is large natural variation in some water quality parameters.  For example, surface waters that are dominated by ground water inflows or flows from wetland areas will have lower DO levels.  Therefore, some Florida aquatic systems </w:t>
      </w:r>
      <w:r>
        <w:t xml:space="preserve">naturally </w:t>
      </w:r>
      <w:r w:rsidRPr="00AB1D07">
        <w:t>exhibit DO levels less than the</w:t>
      </w:r>
      <w:r>
        <w:t xml:space="preserve"> state’s standard of 5.0 mg/L.</w:t>
      </w:r>
    </w:p>
    <w:p w:rsidR="00485094" w:rsidRPr="00AB1D07" w:rsidRDefault="00485094" w:rsidP="00692F31">
      <w:pPr>
        <w:pStyle w:val="Bodytext"/>
        <w:rPr>
          <w:szCs w:val="24"/>
        </w:rPr>
      </w:pPr>
    </w:p>
    <w:p w:rsidR="00485094" w:rsidRPr="003E0901" w:rsidRDefault="00485094" w:rsidP="00692F31">
      <w:pPr>
        <w:pStyle w:val="Tableheading"/>
      </w:pPr>
      <w:bookmarkStart w:id="352" w:name="_Toc262464241"/>
      <w:bookmarkStart w:id="353" w:name="_Toc271889835"/>
      <w:r>
        <w:t>Table 6.2a</w:t>
      </w:r>
      <w:r w:rsidRPr="00F52EDE">
        <w:t>.</w:t>
      </w:r>
      <w:r>
        <w:t xml:space="preserve">  </w:t>
      </w:r>
      <w:r w:rsidRPr="00F52EDE">
        <w:t xml:space="preserve">Status Network </w:t>
      </w:r>
      <w:r>
        <w:t>Physical/Other I</w:t>
      </w:r>
      <w:r w:rsidRPr="00F52EDE">
        <w:t>ndicators</w:t>
      </w:r>
      <w:r>
        <w:t>/Index</w:t>
      </w:r>
      <w:r w:rsidRPr="00F52EDE">
        <w:t xml:space="preserve"> </w:t>
      </w:r>
      <w:r>
        <w:t xml:space="preserve">for Aquatic Life Use </w:t>
      </w:r>
      <w:r w:rsidRPr="00F52EDE">
        <w:t xml:space="preserve">with </w:t>
      </w:r>
      <w:r>
        <w:t>W</w:t>
      </w:r>
      <w:r w:rsidRPr="00F52EDE">
        <w:t xml:space="preserve">ater </w:t>
      </w:r>
      <w:r>
        <w:t>Q</w:t>
      </w:r>
      <w:r w:rsidRPr="00F52EDE">
        <w:t xml:space="preserve">uality </w:t>
      </w:r>
      <w:r>
        <w:t>C</w:t>
      </w:r>
      <w:r w:rsidRPr="00F52EDE">
        <w:t>riteria</w:t>
      </w:r>
      <w:r>
        <w:t>/Thresholds</w:t>
      </w:r>
      <w:bookmarkEnd w:id="349"/>
      <w:bookmarkEnd w:id="350"/>
      <w:bookmarkEnd w:id="352"/>
      <w:bookmarkEnd w:id="353"/>
    </w:p>
    <w:p w:rsidR="00485094" w:rsidRDefault="00485094" w:rsidP="00692F31">
      <w:pPr>
        <w:pStyle w:val="TabledescriptionBF"/>
      </w:pPr>
      <w:r>
        <w:t>This is a two-</w:t>
      </w:r>
      <w:r w:rsidRPr="001A77D7">
        <w:t>column table</w:t>
      </w:r>
      <w:r>
        <w:t>.  Column 1</w:t>
      </w:r>
      <w:r w:rsidRPr="001A77D7">
        <w:t xml:space="preserve"> </w:t>
      </w:r>
      <w:r>
        <w:t>lists</w:t>
      </w:r>
      <w:r w:rsidRPr="001A77D7">
        <w:t xml:space="preserve"> the indicators and </w:t>
      </w:r>
      <w:r>
        <w:t>Column 2</w:t>
      </w:r>
      <w:r w:rsidRPr="001A77D7">
        <w:t xml:space="preserve"> </w:t>
      </w:r>
      <w:r>
        <w:t>lists</w:t>
      </w:r>
      <w:r w:rsidRPr="001A77D7">
        <w:t xml:space="preserve"> </w:t>
      </w:r>
      <w:r>
        <w:t xml:space="preserve">the </w:t>
      </w:r>
      <w:r w:rsidRPr="001A77D7">
        <w:t>water quality criteria/thresholds.</w:t>
      </w:r>
      <w:bookmarkEnd w:id="351"/>
    </w:p>
    <w:p w:rsidR="00485094" w:rsidRPr="00120457" w:rsidRDefault="00485094" w:rsidP="00692F31">
      <w:pPr>
        <w:pStyle w:val="Bodytextreduced"/>
      </w:pPr>
    </w:p>
    <w:p w:rsidR="00485094" w:rsidRPr="00120457" w:rsidRDefault="00485094" w:rsidP="00692F31">
      <w:pPr>
        <w:pStyle w:val="Bodytextreduced"/>
      </w:pPr>
      <w:r w:rsidRPr="00120457">
        <w:rPr>
          <w:vertAlign w:val="superscript"/>
        </w:rPr>
        <w:t xml:space="preserve">1 </w:t>
      </w:r>
      <w:r w:rsidRPr="00120457">
        <w:t xml:space="preserve">Both TSI and chlorophyll a are not criteria, but thresholds used to estimate the impairment of state waters.  These thresholds are used in the analysis of Status Monitoring Network data, based on single samples.  The analysis and representation of these data are not intended to infer the verification of impairment, as defined in </w:t>
      </w:r>
      <w:r>
        <w:t>Chapter</w:t>
      </w:r>
      <w:r w:rsidRPr="00120457">
        <w:t xml:space="preserve"> 62-303, F.A.C.</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3326"/>
      </w:tblGrid>
      <w:tr w:rsidR="00485094" w:rsidRPr="00F13A39" w:rsidTr="00F01F27">
        <w:trPr>
          <w:jc w:val="center"/>
        </w:trPr>
        <w:tc>
          <w:tcPr>
            <w:tcW w:w="3330" w:type="dxa"/>
            <w:tcBorders>
              <w:bottom w:val="double" w:sz="4" w:space="0" w:color="auto"/>
            </w:tcBorders>
            <w:shd w:val="clear" w:color="auto" w:fill="BDFFFF"/>
            <w:vAlign w:val="bottom"/>
          </w:tcPr>
          <w:p w:rsidR="00F01F27" w:rsidRDefault="00485094" w:rsidP="00F01F27">
            <w:pPr>
              <w:pStyle w:val="TableText"/>
              <w:jc w:val="center"/>
              <w:rPr>
                <w:b/>
                <w:i/>
              </w:rPr>
            </w:pPr>
            <w:r w:rsidRPr="00F13A39">
              <w:rPr>
                <w:b/>
                <w:i/>
              </w:rPr>
              <w:t>Physical/Other Indicators/</w:t>
            </w:r>
          </w:p>
          <w:p w:rsidR="0064329B" w:rsidRDefault="00485094">
            <w:pPr>
              <w:pStyle w:val="TableText"/>
              <w:jc w:val="center"/>
              <w:rPr>
                <w:b/>
                <w:i/>
              </w:rPr>
            </w:pPr>
            <w:proofErr w:type="spellStart"/>
            <w:r w:rsidRPr="00F13A39">
              <w:rPr>
                <w:b/>
                <w:i/>
              </w:rPr>
              <w:t>Indexfor</w:t>
            </w:r>
            <w:proofErr w:type="spellEnd"/>
            <w:r w:rsidRPr="00F13A39">
              <w:rPr>
                <w:b/>
                <w:i/>
              </w:rPr>
              <w:t xml:space="preserve"> Aquatic Life Use</w:t>
            </w:r>
          </w:p>
          <w:p w:rsidR="0064329B" w:rsidRDefault="00485094">
            <w:pPr>
              <w:pStyle w:val="TableText"/>
              <w:jc w:val="center"/>
              <w:rPr>
                <w:b/>
                <w:i/>
              </w:rPr>
            </w:pPr>
            <w:r w:rsidRPr="00F13A39">
              <w:rPr>
                <w:b/>
                <w:i/>
              </w:rPr>
              <w:t>(Surface Water)</w:t>
            </w:r>
          </w:p>
        </w:tc>
        <w:tc>
          <w:tcPr>
            <w:tcW w:w="3326" w:type="dxa"/>
            <w:tcBorders>
              <w:bottom w:val="double" w:sz="4" w:space="0" w:color="auto"/>
            </w:tcBorders>
            <w:shd w:val="clear" w:color="auto" w:fill="BDFFFF"/>
            <w:vAlign w:val="bottom"/>
          </w:tcPr>
          <w:p w:rsidR="0064329B" w:rsidRDefault="00485094">
            <w:pPr>
              <w:pStyle w:val="TableText"/>
              <w:jc w:val="center"/>
              <w:rPr>
                <w:b/>
                <w:i/>
              </w:rPr>
            </w:pPr>
            <w:r w:rsidRPr="00F13A39">
              <w:rPr>
                <w:rFonts w:cs="Arial"/>
                <w:b/>
                <w:i/>
              </w:rPr>
              <w:t>Criterion/Threshold</w:t>
            </w:r>
          </w:p>
        </w:tc>
      </w:tr>
      <w:tr w:rsidR="00485094" w:rsidTr="00453E80">
        <w:trPr>
          <w:trHeight w:val="288"/>
          <w:jc w:val="center"/>
        </w:trPr>
        <w:tc>
          <w:tcPr>
            <w:tcW w:w="3330" w:type="dxa"/>
            <w:tcBorders>
              <w:top w:val="double" w:sz="4" w:space="0" w:color="auto"/>
            </w:tcBorders>
            <w:shd w:val="clear" w:color="auto" w:fill="FFFFCC"/>
            <w:vAlign w:val="center"/>
          </w:tcPr>
          <w:p w:rsidR="00485094" w:rsidRPr="003B37D3" w:rsidRDefault="00485094" w:rsidP="00453E80">
            <w:pPr>
              <w:pStyle w:val="TableText"/>
              <w:jc w:val="center"/>
              <w:rPr>
                <w:rFonts w:cs="Arial"/>
              </w:rPr>
            </w:pPr>
            <w:r>
              <w:rPr>
                <w:rFonts w:cs="Arial"/>
              </w:rPr>
              <w:t>DO</w:t>
            </w:r>
          </w:p>
        </w:tc>
        <w:tc>
          <w:tcPr>
            <w:tcW w:w="3326" w:type="dxa"/>
            <w:tcBorders>
              <w:top w:val="double" w:sz="4" w:space="0" w:color="auto"/>
            </w:tcBorders>
            <w:vAlign w:val="center"/>
          </w:tcPr>
          <w:p w:rsidR="00485094" w:rsidRPr="003B37D3" w:rsidRDefault="00485094" w:rsidP="00453E80">
            <w:pPr>
              <w:pStyle w:val="TableText"/>
              <w:jc w:val="center"/>
              <w:rPr>
                <w:rFonts w:cs="Arial"/>
                <w:lang w:val="fr-FR"/>
              </w:rPr>
            </w:pPr>
            <w:r w:rsidRPr="003B37D3">
              <w:rPr>
                <w:rFonts w:cs="Arial"/>
                <w:lang w:val="fr-FR"/>
              </w:rPr>
              <w:t>≥ 5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Un-ionized Ammonia</w:t>
            </w:r>
          </w:p>
        </w:tc>
        <w:tc>
          <w:tcPr>
            <w:tcW w:w="3326" w:type="dxa"/>
            <w:vAlign w:val="center"/>
          </w:tcPr>
          <w:p w:rsidR="00485094" w:rsidRPr="003B37D3" w:rsidRDefault="00485094" w:rsidP="00453E80">
            <w:pPr>
              <w:pStyle w:val="TableText"/>
              <w:jc w:val="center"/>
              <w:rPr>
                <w:rFonts w:cs="Arial"/>
              </w:rPr>
            </w:pPr>
            <w:r w:rsidRPr="003B37D3">
              <w:rPr>
                <w:rFonts w:cs="Arial"/>
              </w:rPr>
              <w:t>≤ 0.02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Fluoride</w:t>
            </w:r>
          </w:p>
        </w:tc>
        <w:tc>
          <w:tcPr>
            <w:tcW w:w="3326" w:type="dxa"/>
            <w:vAlign w:val="center"/>
          </w:tcPr>
          <w:p w:rsidR="00485094" w:rsidRPr="003B37D3" w:rsidRDefault="00485094" w:rsidP="00453E80">
            <w:pPr>
              <w:pStyle w:val="TableText"/>
              <w:jc w:val="center"/>
              <w:rPr>
                <w:rFonts w:cs="Arial"/>
                <w:lang w:val="fr-FR"/>
              </w:rPr>
            </w:pPr>
            <w:r w:rsidRPr="003B37D3">
              <w:rPr>
                <w:rFonts w:cs="Arial"/>
              </w:rPr>
              <w:t>≤</w:t>
            </w:r>
            <w:r w:rsidRPr="003B37D3">
              <w:rPr>
                <w:rFonts w:cs="Arial"/>
                <w:lang w:val="fr-FR"/>
              </w:rPr>
              <w:t>10 mg/L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Specific Conductance</w:t>
            </w:r>
          </w:p>
        </w:tc>
        <w:tc>
          <w:tcPr>
            <w:tcW w:w="3326" w:type="dxa"/>
            <w:vAlign w:val="center"/>
          </w:tcPr>
          <w:p w:rsidR="00485094" w:rsidRPr="003B37D3" w:rsidRDefault="00485094" w:rsidP="00453E80">
            <w:pPr>
              <w:pStyle w:val="TableText"/>
              <w:jc w:val="center"/>
              <w:rPr>
                <w:rFonts w:cs="Arial"/>
              </w:rPr>
            </w:pPr>
            <w:r w:rsidRPr="003B37D3">
              <w:rPr>
                <w:rFonts w:cs="Arial"/>
              </w:rPr>
              <w:t>≤1,275 or 50% above background</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 xml:space="preserve">Chlorophyll </w:t>
            </w:r>
            <w:r w:rsidRPr="003B37D3">
              <w:rPr>
                <w:rFonts w:cs="Arial"/>
                <w:i/>
              </w:rPr>
              <w:t>a</w:t>
            </w:r>
            <w:r w:rsidRPr="003E0901">
              <w:rPr>
                <w:rFonts w:cs="Arial"/>
                <w:vertAlign w:val="superscript"/>
              </w:rPr>
              <w:t>1</w:t>
            </w:r>
          </w:p>
        </w:tc>
        <w:tc>
          <w:tcPr>
            <w:tcW w:w="3326" w:type="dxa"/>
            <w:vAlign w:val="center"/>
          </w:tcPr>
          <w:p w:rsidR="00485094" w:rsidRPr="003B37D3" w:rsidRDefault="00485094" w:rsidP="00453E80">
            <w:pPr>
              <w:pStyle w:val="TableText"/>
              <w:jc w:val="center"/>
              <w:rPr>
                <w:rFonts w:cs="Arial"/>
                <w:lang w:val="fr-FR"/>
              </w:rPr>
            </w:pPr>
            <w:r w:rsidRPr="003B37D3">
              <w:rPr>
                <w:rFonts w:cs="Arial"/>
              </w:rPr>
              <w:t xml:space="preserve">≤ </w:t>
            </w:r>
            <w:r w:rsidRPr="003B37D3">
              <w:rPr>
                <w:rFonts w:cs="Arial"/>
                <w:lang w:val="fr-FR"/>
              </w:rPr>
              <w:t xml:space="preserve">20 </w:t>
            </w:r>
            <w:r w:rsidRPr="003B37D3">
              <w:rPr>
                <w:rFonts w:cs="Arial"/>
              </w:rPr>
              <w:t>µ</w:t>
            </w:r>
            <w:r w:rsidRPr="003B37D3">
              <w:rPr>
                <w:rFonts w:cs="Arial"/>
                <w:lang w:val="fr-FR"/>
              </w:rPr>
              <w:t>g/L</w:t>
            </w:r>
          </w:p>
        </w:tc>
      </w:tr>
      <w:tr w:rsidR="00485094" w:rsidTr="00453E80">
        <w:trPr>
          <w:trHeight w:val="288"/>
          <w:jc w:val="center"/>
        </w:trPr>
        <w:tc>
          <w:tcPr>
            <w:tcW w:w="3330" w:type="dxa"/>
            <w:shd w:val="clear" w:color="auto" w:fill="FFFFCC"/>
            <w:vAlign w:val="center"/>
          </w:tcPr>
          <w:p w:rsidR="00485094" w:rsidRPr="003B37D3" w:rsidRDefault="00485094" w:rsidP="00453E80">
            <w:pPr>
              <w:pStyle w:val="TableText"/>
              <w:jc w:val="center"/>
              <w:rPr>
                <w:rFonts w:cs="Arial"/>
              </w:rPr>
            </w:pPr>
            <w:r w:rsidRPr="003B37D3">
              <w:rPr>
                <w:rFonts w:cs="Arial"/>
              </w:rPr>
              <w:t>T</w:t>
            </w:r>
            <w:r>
              <w:rPr>
                <w:rFonts w:cs="Arial"/>
              </w:rPr>
              <w:t>SI</w:t>
            </w:r>
            <w:r w:rsidRPr="003E0901">
              <w:rPr>
                <w:rFonts w:cs="Arial"/>
                <w:vertAlign w:val="superscript"/>
              </w:rPr>
              <w:t>1</w:t>
            </w:r>
          </w:p>
        </w:tc>
        <w:tc>
          <w:tcPr>
            <w:tcW w:w="3326" w:type="dxa"/>
            <w:vAlign w:val="center"/>
          </w:tcPr>
          <w:p w:rsidR="00485094" w:rsidRPr="003B37D3" w:rsidRDefault="00485094" w:rsidP="00453E80">
            <w:pPr>
              <w:pStyle w:val="TableText"/>
              <w:jc w:val="center"/>
              <w:rPr>
                <w:rFonts w:cs="Arial"/>
              </w:rPr>
            </w:pPr>
            <w:r w:rsidRPr="003B37D3">
              <w:rPr>
                <w:rFonts w:cs="Arial"/>
              </w:rPr>
              <w:t>Color ≤ 40 PCUs, then TSI ≤ 40</w:t>
            </w:r>
          </w:p>
          <w:p w:rsidR="00485094" w:rsidRDefault="00485094" w:rsidP="00453E80">
            <w:pPr>
              <w:pStyle w:val="TableText"/>
              <w:jc w:val="center"/>
            </w:pPr>
            <w:r w:rsidRPr="003B37D3">
              <w:rPr>
                <w:rFonts w:cs="Arial"/>
              </w:rPr>
              <w:t>Color &gt; 40 PCUs, then TSI ≤ 60</w:t>
            </w:r>
          </w:p>
        </w:tc>
      </w:tr>
    </w:tbl>
    <w:p w:rsidR="00485094" w:rsidRDefault="00485094" w:rsidP="00692F31">
      <w:pPr>
        <w:pStyle w:val="Bodytextreduced"/>
      </w:pPr>
    </w:p>
    <w:p w:rsidR="003D799D" w:rsidRDefault="003D799D" w:rsidP="00692F31">
      <w:pPr>
        <w:pStyle w:val="Bodytextreduced"/>
      </w:pPr>
    </w:p>
    <w:p w:rsidR="00485094" w:rsidRDefault="00485094" w:rsidP="00692F31">
      <w:pPr>
        <w:pStyle w:val="Tableheading"/>
      </w:pPr>
      <w:bookmarkStart w:id="354" w:name="_Toc255482826"/>
      <w:bookmarkStart w:id="355" w:name="_Toc255807484"/>
      <w:bookmarkStart w:id="356" w:name="_Toc262464242"/>
      <w:bookmarkStart w:id="357" w:name="_Toc271889836"/>
      <w:r>
        <w:t>Table 6.2b</w:t>
      </w:r>
      <w:r w:rsidRPr="00F52EDE">
        <w:t>.</w:t>
      </w:r>
      <w:r>
        <w:t xml:space="preserve">  </w:t>
      </w:r>
      <w:r w:rsidRPr="00F52EDE">
        <w:t xml:space="preserve">Status Network </w:t>
      </w:r>
      <w:r>
        <w:t>Microbiological I</w:t>
      </w:r>
      <w:r w:rsidRPr="00F52EDE">
        <w:t>ndicators</w:t>
      </w:r>
      <w:r>
        <w:t>/Index</w:t>
      </w:r>
      <w:r w:rsidRPr="00F52EDE">
        <w:t xml:space="preserve"> </w:t>
      </w:r>
      <w:r>
        <w:t xml:space="preserve">for Recreation Use </w:t>
      </w:r>
      <w:r w:rsidRPr="00F52EDE">
        <w:t xml:space="preserve">with </w:t>
      </w:r>
      <w:r>
        <w:t>W</w:t>
      </w:r>
      <w:r w:rsidRPr="00F52EDE">
        <w:t xml:space="preserve">ater </w:t>
      </w:r>
      <w:r>
        <w:t>Q</w:t>
      </w:r>
      <w:r w:rsidRPr="00F52EDE">
        <w:t xml:space="preserve">uality </w:t>
      </w:r>
      <w:r>
        <w:t>C</w:t>
      </w:r>
      <w:r w:rsidRPr="00F52EDE">
        <w:t>riteria</w:t>
      </w:r>
      <w:r>
        <w:t>/Thresholds</w:t>
      </w:r>
      <w:bookmarkEnd w:id="354"/>
      <w:bookmarkEnd w:id="355"/>
      <w:bookmarkEnd w:id="356"/>
      <w:bookmarkEnd w:id="357"/>
    </w:p>
    <w:p w:rsidR="00485094" w:rsidRDefault="00485094" w:rsidP="00692F31">
      <w:pPr>
        <w:pStyle w:val="TabledescriptionBF"/>
      </w:pPr>
      <w:r>
        <w:t>This is a two-</w:t>
      </w:r>
      <w:r w:rsidRPr="001A77D7">
        <w:t>column table</w:t>
      </w:r>
      <w:r>
        <w:t>.  C</w:t>
      </w:r>
      <w:r w:rsidRPr="001A77D7">
        <w:t xml:space="preserve">olumn </w:t>
      </w:r>
      <w:r>
        <w:t>1</w:t>
      </w:r>
      <w:r w:rsidRPr="001A77D7">
        <w:t xml:space="preserve"> </w:t>
      </w:r>
      <w:r>
        <w:t>lists</w:t>
      </w:r>
      <w:r w:rsidRPr="001A77D7">
        <w:t xml:space="preserve"> the indicators and </w:t>
      </w:r>
      <w:r>
        <w:t>C</w:t>
      </w:r>
      <w:r w:rsidRPr="001A77D7">
        <w:t xml:space="preserve">olumn </w:t>
      </w:r>
      <w:r>
        <w:t>2 lists</w:t>
      </w:r>
      <w:r w:rsidRPr="001A77D7">
        <w:t xml:space="preserve"> </w:t>
      </w:r>
      <w:r>
        <w:t xml:space="preserve">the </w:t>
      </w:r>
      <w:r w:rsidRPr="001A77D7">
        <w:t>water quality criteria/thresholds.</w:t>
      </w:r>
    </w:p>
    <w:p w:rsidR="00485094" w:rsidRPr="00F52EDE"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double" w:sz="4" w:space="0" w:color="auto"/>
          <w:insideV w:val="single" w:sz="4" w:space="0" w:color="auto"/>
        </w:tblBorders>
        <w:tblLook w:val="04A0"/>
      </w:tblPr>
      <w:tblGrid>
        <w:gridCol w:w="3330"/>
        <w:gridCol w:w="3326"/>
      </w:tblGrid>
      <w:tr w:rsidR="00485094" w:rsidRPr="00F13A39" w:rsidTr="000F2909">
        <w:trPr>
          <w:jc w:val="center"/>
        </w:trPr>
        <w:tc>
          <w:tcPr>
            <w:tcW w:w="3330" w:type="dxa"/>
            <w:tcBorders>
              <w:top w:val="single" w:sz="4" w:space="0" w:color="auto"/>
            </w:tcBorders>
            <w:shd w:val="clear" w:color="auto" w:fill="BDFFFF"/>
            <w:vAlign w:val="bottom"/>
          </w:tcPr>
          <w:p w:rsidR="00F01F27" w:rsidRDefault="00485094" w:rsidP="00453E80">
            <w:pPr>
              <w:pStyle w:val="TableText"/>
              <w:jc w:val="center"/>
              <w:rPr>
                <w:b/>
                <w:i/>
              </w:rPr>
            </w:pPr>
            <w:r w:rsidRPr="00F13A39">
              <w:rPr>
                <w:b/>
                <w:i/>
              </w:rPr>
              <w:t>Microbiological Indicator/</w:t>
            </w:r>
          </w:p>
          <w:p w:rsidR="00485094" w:rsidRPr="00F13A39" w:rsidRDefault="00485094" w:rsidP="00453E80">
            <w:pPr>
              <w:pStyle w:val="TableText"/>
              <w:jc w:val="center"/>
              <w:rPr>
                <w:b/>
                <w:i/>
              </w:rPr>
            </w:pPr>
            <w:r w:rsidRPr="00F13A39">
              <w:rPr>
                <w:b/>
                <w:i/>
              </w:rPr>
              <w:t>Index for Recreation Use</w:t>
            </w:r>
          </w:p>
          <w:p w:rsidR="00485094" w:rsidRPr="00F13A39" w:rsidRDefault="00485094" w:rsidP="00453E80">
            <w:pPr>
              <w:pStyle w:val="TableText"/>
              <w:jc w:val="center"/>
              <w:rPr>
                <w:b/>
                <w:i/>
              </w:rPr>
            </w:pPr>
            <w:r w:rsidRPr="00F13A39">
              <w:rPr>
                <w:b/>
                <w:i/>
              </w:rPr>
              <w:t>(Surface Water)</w:t>
            </w:r>
          </w:p>
        </w:tc>
        <w:tc>
          <w:tcPr>
            <w:tcW w:w="3326" w:type="dxa"/>
            <w:tcBorders>
              <w:top w:val="single" w:sz="4" w:space="0" w:color="auto"/>
            </w:tcBorders>
            <w:shd w:val="clear" w:color="auto" w:fill="BDFFFF"/>
            <w:vAlign w:val="bottom"/>
          </w:tcPr>
          <w:p w:rsidR="00485094" w:rsidRPr="00F13A39" w:rsidRDefault="00485094" w:rsidP="00453E80">
            <w:pPr>
              <w:pStyle w:val="TableText"/>
              <w:jc w:val="center"/>
              <w:rPr>
                <w:b/>
                <w:i/>
              </w:rPr>
            </w:pPr>
            <w:r w:rsidRPr="00F13A39">
              <w:rPr>
                <w:rFonts w:cs="Arial"/>
                <w:b/>
                <w:i/>
              </w:rPr>
              <w:t>Criterion/Threshold</w:t>
            </w:r>
          </w:p>
        </w:tc>
      </w:tr>
      <w:tr w:rsidR="00485094" w:rsidRPr="0056091B" w:rsidTr="00453E80">
        <w:trPr>
          <w:trHeight w:val="288"/>
          <w:jc w:val="center"/>
        </w:trPr>
        <w:tc>
          <w:tcPr>
            <w:tcW w:w="3330" w:type="dxa"/>
            <w:tcBorders>
              <w:bottom w:val="single" w:sz="4" w:space="0" w:color="auto"/>
            </w:tcBorders>
            <w:shd w:val="clear" w:color="auto" w:fill="FFFFCC"/>
            <w:vAlign w:val="center"/>
          </w:tcPr>
          <w:p w:rsidR="00485094" w:rsidRPr="003B37D3" w:rsidRDefault="00485094" w:rsidP="00453E80">
            <w:pPr>
              <w:pStyle w:val="TableText"/>
              <w:jc w:val="center"/>
            </w:pPr>
            <w:r w:rsidRPr="003B37D3">
              <w:rPr>
                <w:rFonts w:cs="Arial"/>
                <w:lang w:val="pt-BR"/>
              </w:rPr>
              <w:t>Fecal Coliform Bacteria</w:t>
            </w:r>
          </w:p>
        </w:tc>
        <w:tc>
          <w:tcPr>
            <w:tcW w:w="3326" w:type="dxa"/>
            <w:tcBorders>
              <w:bottom w:val="single" w:sz="4" w:space="0" w:color="auto"/>
            </w:tcBorders>
            <w:vAlign w:val="center"/>
          </w:tcPr>
          <w:p w:rsidR="00485094" w:rsidRPr="003B37D3" w:rsidRDefault="00485094" w:rsidP="00453E80">
            <w:pPr>
              <w:pStyle w:val="TableText"/>
              <w:jc w:val="center"/>
            </w:pPr>
            <w:r w:rsidRPr="003B37D3">
              <w:rPr>
                <w:rFonts w:cs="Arial"/>
              </w:rPr>
              <w:t>&lt; 400 colonies/100mL</w:t>
            </w:r>
          </w:p>
        </w:tc>
      </w:tr>
    </w:tbl>
    <w:p w:rsidR="00485094" w:rsidRDefault="00485094" w:rsidP="00692F31">
      <w:pPr>
        <w:pStyle w:val="Bodytextreduced"/>
        <w:rPr>
          <w:snapToGrid w:val="0"/>
          <w:szCs w:val="24"/>
        </w:rPr>
      </w:pPr>
    </w:p>
    <w:p w:rsidR="00485094" w:rsidRDefault="003D799D" w:rsidP="00692F31">
      <w:pPr>
        <w:pStyle w:val="Tableheading"/>
      </w:pPr>
      <w:bookmarkStart w:id="358" w:name="_Toc255482827"/>
      <w:bookmarkStart w:id="359" w:name="_Toc255807485"/>
      <w:bookmarkStart w:id="360" w:name="_Toc262464243"/>
      <w:r>
        <w:br w:type="page"/>
      </w:r>
      <w:bookmarkStart w:id="361" w:name="_Toc271889837"/>
      <w:r w:rsidR="00485094" w:rsidRPr="008C2D3D">
        <w:lastRenderedPageBreak/>
        <w:t xml:space="preserve">Table </w:t>
      </w:r>
      <w:r w:rsidR="00485094">
        <w:t>6.2c</w:t>
      </w:r>
      <w:r w:rsidR="00485094" w:rsidRPr="008C2D3D">
        <w:t>.</w:t>
      </w:r>
      <w:r w:rsidR="00485094">
        <w:t xml:space="preserve">  FDEP Freshwater</w:t>
      </w:r>
      <w:r w:rsidR="00485094" w:rsidRPr="008C2D3D">
        <w:t xml:space="preserve"> </w:t>
      </w:r>
      <w:r w:rsidR="00485094">
        <w:t>Lake S</w:t>
      </w:r>
      <w:r w:rsidR="00485094" w:rsidRPr="008C2D3D">
        <w:t xml:space="preserve">ediment </w:t>
      </w:r>
      <w:r w:rsidR="00485094">
        <w:t>C</w:t>
      </w:r>
      <w:r w:rsidR="00485094" w:rsidRPr="008C2D3D">
        <w:t xml:space="preserve">ontaminant </w:t>
      </w:r>
      <w:r w:rsidR="00485094">
        <w:t>T</w:t>
      </w:r>
      <w:r w:rsidR="00485094" w:rsidRPr="008C2D3D">
        <w:t>hresholds</w:t>
      </w:r>
      <w:r w:rsidR="00485094">
        <w:t xml:space="preserve"> for Metals</w:t>
      </w:r>
      <w:bookmarkEnd w:id="358"/>
      <w:bookmarkEnd w:id="359"/>
      <w:bookmarkEnd w:id="360"/>
      <w:bookmarkEnd w:id="361"/>
    </w:p>
    <w:p w:rsidR="00485094" w:rsidRDefault="00485094" w:rsidP="00692F31">
      <w:pPr>
        <w:pStyle w:val="TabledescriptionBF"/>
      </w:pPr>
      <w:r>
        <w:t>This is a three-</w:t>
      </w:r>
      <w:r w:rsidRPr="001A77D7">
        <w:t>column table</w:t>
      </w:r>
      <w:r>
        <w:t>.  C</w:t>
      </w:r>
      <w:r w:rsidRPr="001A77D7">
        <w:t xml:space="preserve">olumn </w:t>
      </w:r>
      <w:r>
        <w:t>1</w:t>
      </w:r>
      <w:r w:rsidRPr="001A77D7">
        <w:t xml:space="preserve"> list</w:t>
      </w:r>
      <w:r>
        <w:t>s</w:t>
      </w:r>
      <w:r w:rsidRPr="001A77D7">
        <w:t xml:space="preserve"> the </w:t>
      </w:r>
      <w:r>
        <w:t>metals, C</w:t>
      </w:r>
      <w:r w:rsidRPr="001A77D7">
        <w:t xml:space="preserve">olumn </w:t>
      </w:r>
      <w:r>
        <w:t>2 lists the threshold effects concentration, and Column 3 lists the probable effects concentration.</w:t>
      </w:r>
    </w:p>
    <w:p w:rsidR="00485094"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790"/>
        <w:gridCol w:w="2610"/>
      </w:tblGrid>
      <w:tr w:rsidR="00485094" w:rsidRPr="00F13A39" w:rsidTr="000F2909">
        <w:trPr>
          <w:trHeight w:val="288"/>
          <w:jc w:val="center"/>
        </w:trPr>
        <w:tc>
          <w:tcPr>
            <w:tcW w:w="2538" w:type="dxa"/>
            <w:tcBorders>
              <w:bottom w:val="double" w:sz="4" w:space="0" w:color="auto"/>
            </w:tcBorders>
            <w:shd w:val="clear" w:color="auto" w:fill="BDFFFF"/>
            <w:vAlign w:val="bottom"/>
          </w:tcPr>
          <w:p w:rsidR="00485094" w:rsidRPr="00F13A39" w:rsidRDefault="00485094" w:rsidP="00453E80">
            <w:pPr>
              <w:pStyle w:val="TableText"/>
              <w:jc w:val="center"/>
              <w:rPr>
                <w:b/>
                <w:i/>
              </w:rPr>
            </w:pPr>
            <w:r w:rsidRPr="00F13A39">
              <w:rPr>
                <w:b/>
                <w:i/>
              </w:rPr>
              <w:t>Metal</w:t>
            </w:r>
          </w:p>
        </w:tc>
        <w:tc>
          <w:tcPr>
            <w:tcW w:w="279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Threshold Effects Concentration</w:t>
            </w:r>
          </w:p>
          <w:p w:rsidR="00485094" w:rsidRPr="00F13A39" w:rsidRDefault="00485094" w:rsidP="00453E80">
            <w:pPr>
              <w:pStyle w:val="TableText"/>
              <w:jc w:val="center"/>
              <w:rPr>
                <w:b/>
                <w:bCs/>
                <w:i/>
              </w:rPr>
            </w:pPr>
            <w:r w:rsidRPr="00F13A39">
              <w:rPr>
                <w:b/>
                <w:bCs/>
                <w:i/>
              </w:rPr>
              <w:t>(mg/kg)</w:t>
            </w:r>
          </w:p>
        </w:tc>
        <w:tc>
          <w:tcPr>
            <w:tcW w:w="261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Probable Effects Concentration</w:t>
            </w:r>
          </w:p>
          <w:p w:rsidR="00485094" w:rsidRPr="00F13A39" w:rsidRDefault="00485094" w:rsidP="00453E80">
            <w:pPr>
              <w:pStyle w:val="TableText"/>
              <w:jc w:val="center"/>
              <w:rPr>
                <w:b/>
                <w:bCs/>
                <w:i/>
              </w:rPr>
            </w:pPr>
            <w:r w:rsidRPr="00F13A39">
              <w:rPr>
                <w:b/>
                <w:bCs/>
                <w:i/>
              </w:rPr>
              <w:t>(mg/kg)</w:t>
            </w:r>
          </w:p>
        </w:tc>
      </w:tr>
      <w:tr w:rsidR="00485094" w:rsidTr="00453E80">
        <w:trPr>
          <w:trHeight w:val="288"/>
          <w:jc w:val="center"/>
        </w:trPr>
        <w:tc>
          <w:tcPr>
            <w:tcW w:w="2538" w:type="dxa"/>
            <w:tcBorders>
              <w:top w:val="double" w:sz="4" w:space="0" w:color="auto"/>
            </w:tcBorders>
            <w:shd w:val="clear" w:color="auto" w:fill="FFFFCC"/>
            <w:vAlign w:val="center"/>
          </w:tcPr>
          <w:p w:rsidR="00485094" w:rsidRPr="003B37D3" w:rsidRDefault="00485094" w:rsidP="00453E80">
            <w:pPr>
              <w:pStyle w:val="TableText"/>
              <w:jc w:val="center"/>
            </w:pPr>
            <w:r w:rsidRPr="003B37D3">
              <w:t>Arsenic</w:t>
            </w:r>
          </w:p>
        </w:tc>
        <w:tc>
          <w:tcPr>
            <w:tcW w:w="2790" w:type="dxa"/>
            <w:tcBorders>
              <w:top w:val="double" w:sz="4" w:space="0" w:color="auto"/>
            </w:tcBorders>
            <w:vAlign w:val="center"/>
          </w:tcPr>
          <w:p w:rsidR="00485094" w:rsidRPr="003B37D3" w:rsidRDefault="00485094" w:rsidP="00453E80">
            <w:pPr>
              <w:pStyle w:val="TableText"/>
              <w:jc w:val="center"/>
            </w:pPr>
            <w:r w:rsidRPr="003B37D3">
              <w:t>9.8</w:t>
            </w:r>
          </w:p>
        </w:tc>
        <w:tc>
          <w:tcPr>
            <w:tcW w:w="2610" w:type="dxa"/>
            <w:tcBorders>
              <w:top w:val="double" w:sz="4" w:space="0" w:color="auto"/>
            </w:tcBorders>
            <w:vAlign w:val="center"/>
          </w:tcPr>
          <w:p w:rsidR="00485094" w:rsidRPr="003B37D3" w:rsidRDefault="00485094" w:rsidP="00453E80">
            <w:pPr>
              <w:pStyle w:val="TableText"/>
              <w:jc w:val="center"/>
            </w:pPr>
            <w:r w:rsidRPr="003B37D3">
              <w:t>33</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Cadmium</w:t>
            </w:r>
          </w:p>
        </w:tc>
        <w:tc>
          <w:tcPr>
            <w:tcW w:w="2790" w:type="dxa"/>
            <w:vAlign w:val="center"/>
          </w:tcPr>
          <w:p w:rsidR="00485094" w:rsidRPr="003B37D3" w:rsidRDefault="00485094" w:rsidP="00453E80">
            <w:pPr>
              <w:pStyle w:val="TableText"/>
              <w:jc w:val="center"/>
            </w:pPr>
            <w:r w:rsidRPr="003B37D3">
              <w:t>1.00</w:t>
            </w:r>
          </w:p>
        </w:tc>
        <w:tc>
          <w:tcPr>
            <w:tcW w:w="2610" w:type="dxa"/>
            <w:vAlign w:val="center"/>
          </w:tcPr>
          <w:p w:rsidR="00485094" w:rsidRPr="003B37D3" w:rsidRDefault="00485094" w:rsidP="00453E80">
            <w:pPr>
              <w:pStyle w:val="TableText"/>
              <w:jc w:val="center"/>
            </w:pPr>
            <w:r w:rsidRPr="003B37D3">
              <w:t>5</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Chromium</w:t>
            </w:r>
          </w:p>
        </w:tc>
        <w:tc>
          <w:tcPr>
            <w:tcW w:w="2790" w:type="dxa"/>
            <w:vAlign w:val="center"/>
          </w:tcPr>
          <w:p w:rsidR="00485094" w:rsidRPr="003B37D3" w:rsidRDefault="00485094" w:rsidP="00453E80">
            <w:pPr>
              <w:pStyle w:val="TableText"/>
              <w:jc w:val="center"/>
            </w:pPr>
            <w:r w:rsidRPr="003B37D3">
              <w:t>43.4</w:t>
            </w:r>
          </w:p>
        </w:tc>
        <w:tc>
          <w:tcPr>
            <w:tcW w:w="2610" w:type="dxa"/>
            <w:vAlign w:val="center"/>
          </w:tcPr>
          <w:p w:rsidR="00485094" w:rsidRPr="003B37D3" w:rsidRDefault="00485094" w:rsidP="00453E80">
            <w:pPr>
              <w:pStyle w:val="TableText"/>
              <w:jc w:val="center"/>
            </w:pPr>
            <w:r w:rsidRPr="003B37D3">
              <w:t>111</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Copper</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149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Lead</w:t>
            </w:r>
          </w:p>
        </w:tc>
        <w:tc>
          <w:tcPr>
            <w:tcW w:w="2790" w:type="dxa"/>
            <w:vAlign w:val="center"/>
          </w:tcPr>
          <w:p w:rsidR="00485094" w:rsidRPr="003B37D3" w:rsidRDefault="00485094" w:rsidP="00453E80">
            <w:pPr>
              <w:pStyle w:val="TableText"/>
              <w:jc w:val="center"/>
            </w:pPr>
            <w:r w:rsidRPr="003B37D3">
              <w:t>36</w:t>
            </w:r>
          </w:p>
        </w:tc>
        <w:tc>
          <w:tcPr>
            <w:tcW w:w="2610" w:type="dxa"/>
            <w:vAlign w:val="center"/>
          </w:tcPr>
          <w:p w:rsidR="00485094" w:rsidRPr="003B37D3" w:rsidRDefault="00485094" w:rsidP="00453E80">
            <w:pPr>
              <w:pStyle w:val="TableText"/>
              <w:jc w:val="center"/>
            </w:pPr>
            <w:r w:rsidRPr="003B37D3">
              <w:t>128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Mercury</w:t>
            </w:r>
          </w:p>
        </w:tc>
        <w:tc>
          <w:tcPr>
            <w:tcW w:w="2790" w:type="dxa"/>
            <w:vAlign w:val="center"/>
          </w:tcPr>
          <w:p w:rsidR="00485094" w:rsidRPr="003B37D3" w:rsidRDefault="00485094" w:rsidP="00453E80">
            <w:pPr>
              <w:pStyle w:val="TableText"/>
              <w:jc w:val="center"/>
            </w:pPr>
            <w:r w:rsidRPr="003B37D3">
              <w:t>0.18</w:t>
            </w:r>
          </w:p>
        </w:tc>
        <w:tc>
          <w:tcPr>
            <w:tcW w:w="2610" w:type="dxa"/>
            <w:vAlign w:val="center"/>
          </w:tcPr>
          <w:p w:rsidR="00485094" w:rsidRPr="003B37D3" w:rsidRDefault="00485094" w:rsidP="00453E80">
            <w:pPr>
              <w:pStyle w:val="TableText"/>
              <w:jc w:val="center"/>
            </w:pPr>
            <w:r w:rsidRPr="003B37D3">
              <w:t>1.06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Nickel</w:t>
            </w:r>
          </w:p>
        </w:tc>
        <w:tc>
          <w:tcPr>
            <w:tcW w:w="2790" w:type="dxa"/>
            <w:vAlign w:val="center"/>
          </w:tcPr>
          <w:p w:rsidR="00485094" w:rsidRPr="003B37D3" w:rsidRDefault="00485094" w:rsidP="00453E80">
            <w:pPr>
              <w:pStyle w:val="TableText"/>
              <w:jc w:val="center"/>
            </w:pPr>
            <w:r w:rsidRPr="003B37D3">
              <w:t>23</w:t>
            </w:r>
          </w:p>
        </w:tc>
        <w:tc>
          <w:tcPr>
            <w:tcW w:w="2610" w:type="dxa"/>
            <w:vAlign w:val="center"/>
          </w:tcPr>
          <w:p w:rsidR="00485094" w:rsidRPr="003B37D3" w:rsidRDefault="00485094" w:rsidP="00453E80">
            <w:pPr>
              <w:pStyle w:val="TableText"/>
              <w:jc w:val="center"/>
            </w:pPr>
            <w:r w:rsidRPr="003B37D3">
              <w:t>48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Zinc</w:t>
            </w:r>
          </w:p>
        </w:tc>
        <w:tc>
          <w:tcPr>
            <w:tcW w:w="2790" w:type="dxa"/>
            <w:vAlign w:val="center"/>
          </w:tcPr>
          <w:p w:rsidR="00485094" w:rsidRPr="003B37D3" w:rsidRDefault="00485094" w:rsidP="00453E80">
            <w:pPr>
              <w:pStyle w:val="TableText"/>
              <w:jc w:val="center"/>
            </w:pPr>
            <w:r w:rsidRPr="003B37D3">
              <w:t>121</w:t>
            </w:r>
          </w:p>
        </w:tc>
        <w:tc>
          <w:tcPr>
            <w:tcW w:w="2610" w:type="dxa"/>
            <w:vAlign w:val="center"/>
          </w:tcPr>
          <w:p w:rsidR="00485094" w:rsidRPr="003B37D3" w:rsidRDefault="00485094" w:rsidP="00453E80">
            <w:pPr>
              <w:pStyle w:val="TableText"/>
              <w:jc w:val="center"/>
            </w:pPr>
            <w:r w:rsidRPr="003B37D3">
              <w:t>459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Silver</w:t>
            </w:r>
          </w:p>
        </w:tc>
        <w:tc>
          <w:tcPr>
            <w:tcW w:w="2790" w:type="dxa"/>
            <w:vAlign w:val="center"/>
          </w:tcPr>
          <w:p w:rsidR="00485094" w:rsidRPr="003B37D3" w:rsidRDefault="00485094" w:rsidP="00453E80">
            <w:pPr>
              <w:pStyle w:val="TableText"/>
              <w:jc w:val="center"/>
            </w:pPr>
            <w:r w:rsidRPr="003B37D3">
              <w:t>1</w:t>
            </w:r>
          </w:p>
        </w:tc>
        <w:tc>
          <w:tcPr>
            <w:tcW w:w="2610" w:type="dxa"/>
            <w:vAlign w:val="center"/>
          </w:tcPr>
          <w:p w:rsidR="00485094" w:rsidRPr="003B37D3" w:rsidRDefault="00485094" w:rsidP="00453E80">
            <w:pPr>
              <w:pStyle w:val="TableText"/>
              <w:jc w:val="center"/>
            </w:pPr>
            <w:r w:rsidRPr="003B37D3">
              <w:t>2.2</w:t>
            </w:r>
          </w:p>
        </w:tc>
      </w:tr>
    </w:tbl>
    <w:p w:rsidR="00485094" w:rsidRDefault="00485094" w:rsidP="00692F31">
      <w:pPr>
        <w:pStyle w:val="Bodytextreduced"/>
      </w:pPr>
    </w:p>
    <w:p w:rsidR="00485094" w:rsidRPr="00F13A39" w:rsidRDefault="00485094" w:rsidP="00692F31">
      <w:pPr>
        <w:pStyle w:val="Bodytextreduced"/>
      </w:pPr>
    </w:p>
    <w:p w:rsidR="00485094" w:rsidRDefault="00485094" w:rsidP="00692F31">
      <w:pPr>
        <w:pStyle w:val="Tableheading"/>
      </w:pPr>
      <w:bookmarkStart w:id="362" w:name="_Toc255482828"/>
      <w:bookmarkStart w:id="363" w:name="_Toc255807486"/>
      <w:bookmarkStart w:id="364" w:name="_Toc262464244"/>
      <w:bookmarkStart w:id="365" w:name="_Toc271889838"/>
      <w:r w:rsidRPr="008C2D3D">
        <w:t xml:space="preserve">Table </w:t>
      </w:r>
      <w:r>
        <w:t>6.2d</w:t>
      </w:r>
      <w:r w:rsidRPr="008C2D3D">
        <w:t>.</w:t>
      </w:r>
      <w:r>
        <w:t xml:space="preserve">  FDEP Freshwater</w:t>
      </w:r>
      <w:r w:rsidRPr="008C2D3D">
        <w:t xml:space="preserve"> </w:t>
      </w:r>
      <w:r>
        <w:t>Lake S</w:t>
      </w:r>
      <w:r w:rsidRPr="008C2D3D">
        <w:t xml:space="preserve">ediment </w:t>
      </w:r>
      <w:r>
        <w:t>C</w:t>
      </w:r>
      <w:r w:rsidRPr="008C2D3D">
        <w:t xml:space="preserve">ontaminant </w:t>
      </w:r>
      <w:r>
        <w:t>T</w:t>
      </w:r>
      <w:r w:rsidRPr="008C2D3D">
        <w:t>hresholds</w:t>
      </w:r>
      <w:r>
        <w:t xml:space="preserve"> for Organic Contaminants</w:t>
      </w:r>
      <w:bookmarkEnd w:id="362"/>
      <w:bookmarkEnd w:id="363"/>
      <w:bookmarkEnd w:id="364"/>
      <w:bookmarkEnd w:id="365"/>
    </w:p>
    <w:p w:rsidR="00485094" w:rsidRDefault="00485094" w:rsidP="00692F31">
      <w:pPr>
        <w:pStyle w:val="TabledescriptionBF"/>
      </w:pPr>
      <w:r>
        <w:t>This is a three-</w:t>
      </w:r>
      <w:r w:rsidRPr="001A77D7">
        <w:t>column table</w:t>
      </w:r>
      <w:r>
        <w:t>.  C</w:t>
      </w:r>
      <w:r w:rsidRPr="001A77D7">
        <w:t xml:space="preserve">olumn </w:t>
      </w:r>
      <w:r>
        <w:t>1</w:t>
      </w:r>
      <w:r w:rsidRPr="001A77D7">
        <w:t xml:space="preserve"> list</w:t>
      </w:r>
      <w:r>
        <w:t>s</w:t>
      </w:r>
      <w:r w:rsidRPr="001A77D7">
        <w:t xml:space="preserve"> the </w:t>
      </w:r>
      <w:r>
        <w:t>organic contaminants, C</w:t>
      </w:r>
      <w:r w:rsidRPr="001A77D7">
        <w:t xml:space="preserve">olumn </w:t>
      </w:r>
      <w:r>
        <w:t>2 lists the threshold effects concentration, and Column 3 lists the probable effects concentration.</w:t>
      </w:r>
    </w:p>
    <w:p w:rsidR="00485094" w:rsidRDefault="00485094" w:rsidP="00692F31">
      <w:pPr>
        <w:pStyle w:val="Tableheading"/>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38"/>
        <w:gridCol w:w="2790"/>
        <w:gridCol w:w="2610"/>
      </w:tblGrid>
      <w:tr w:rsidR="00485094" w:rsidRPr="00F13A39" w:rsidTr="000F2909">
        <w:trPr>
          <w:trHeight w:val="288"/>
          <w:jc w:val="center"/>
        </w:trPr>
        <w:tc>
          <w:tcPr>
            <w:tcW w:w="2538" w:type="dxa"/>
            <w:tcBorders>
              <w:bottom w:val="double" w:sz="4" w:space="0" w:color="auto"/>
            </w:tcBorders>
            <w:shd w:val="clear" w:color="auto" w:fill="BDFFFF"/>
            <w:vAlign w:val="bottom"/>
          </w:tcPr>
          <w:p w:rsidR="00485094" w:rsidRPr="00F13A39" w:rsidRDefault="00485094" w:rsidP="00F01F27">
            <w:pPr>
              <w:pStyle w:val="TableText"/>
              <w:jc w:val="center"/>
              <w:rPr>
                <w:b/>
                <w:i/>
              </w:rPr>
            </w:pPr>
            <w:r w:rsidRPr="00F13A39">
              <w:rPr>
                <w:b/>
                <w:i/>
              </w:rPr>
              <w:t>Organic Contaminant</w:t>
            </w:r>
          </w:p>
        </w:tc>
        <w:tc>
          <w:tcPr>
            <w:tcW w:w="279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Threshold Effects Concentration</w:t>
            </w:r>
          </w:p>
          <w:p w:rsidR="00485094" w:rsidRPr="00F13A39" w:rsidRDefault="00485094" w:rsidP="00453E80">
            <w:pPr>
              <w:pStyle w:val="TableText"/>
              <w:jc w:val="center"/>
              <w:rPr>
                <w:b/>
                <w:bCs/>
                <w:i/>
              </w:rPr>
            </w:pPr>
            <w:r w:rsidRPr="00F13A39">
              <w:rPr>
                <w:b/>
                <w:bCs/>
                <w:i/>
              </w:rPr>
              <w:t>(µg/kg)</w:t>
            </w:r>
          </w:p>
        </w:tc>
        <w:tc>
          <w:tcPr>
            <w:tcW w:w="2610" w:type="dxa"/>
            <w:tcBorders>
              <w:bottom w:val="double" w:sz="4" w:space="0" w:color="auto"/>
            </w:tcBorders>
            <w:shd w:val="clear" w:color="auto" w:fill="BDFFFF"/>
            <w:vAlign w:val="bottom"/>
          </w:tcPr>
          <w:p w:rsidR="00485094" w:rsidRPr="00F13A39" w:rsidRDefault="00485094" w:rsidP="00453E80">
            <w:pPr>
              <w:pStyle w:val="TableText"/>
              <w:jc w:val="center"/>
              <w:rPr>
                <w:b/>
                <w:bCs/>
                <w:i/>
              </w:rPr>
            </w:pPr>
            <w:r w:rsidRPr="00F13A39">
              <w:rPr>
                <w:b/>
                <w:bCs/>
                <w:i/>
              </w:rPr>
              <w:t>Probable Effects Concentration</w:t>
            </w:r>
          </w:p>
          <w:p w:rsidR="00485094" w:rsidRPr="00F13A39" w:rsidRDefault="00485094" w:rsidP="00453E80">
            <w:pPr>
              <w:pStyle w:val="TableText"/>
              <w:jc w:val="center"/>
              <w:rPr>
                <w:b/>
                <w:bCs/>
                <w:i/>
              </w:rPr>
            </w:pPr>
            <w:r w:rsidRPr="00F13A39">
              <w:rPr>
                <w:b/>
                <w:bCs/>
                <w:i/>
              </w:rPr>
              <w:t>(µg/kg)</w:t>
            </w:r>
          </w:p>
        </w:tc>
      </w:tr>
      <w:tr w:rsidR="00485094" w:rsidTr="00453E80">
        <w:trPr>
          <w:trHeight w:val="288"/>
          <w:jc w:val="center"/>
        </w:trPr>
        <w:tc>
          <w:tcPr>
            <w:tcW w:w="2538" w:type="dxa"/>
            <w:tcBorders>
              <w:top w:val="double" w:sz="4" w:space="0" w:color="auto"/>
            </w:tcBorders>
            <w:shd w:val="clear" w:color="auto" w:fill="FFFFCC"/>
            <w:vAlign w:val="center"/>
          </w:tcPr>
          <w:p w:rsidR="00485094" w:rsidRPr="003B37D3" w:rsidRDefault="00485094" w:rsidP="00453E80">
            <w:pPr>
              <w:pStyle w:val="TableText"/>
              <w:jc w:val="center"/>
            </w:pPr>
            <w:r w:rsidRPr="003B37D3">
              <w:t>Anthracene</w:t>
            </w:r>
          </w:p>
        </w:tc>
        <w:tc>
          <w:tcPr>
            <w:tcW w:w="2790" w:type="dxa"/>
            <w:tcBorders>
              <w:top w:val="double" w:sz="4" w:space="0" w:color="auto"/>
            </w:tcBorders>
            <w:vAlign w:val="center"/>
          </w:tcPr>
          <w:p w:rsidR="00485094" w:rsidRPr="003B37D3" w:rsidRDefault="00485094" w:rsidP="00453E80">
            <w:pPr>
              <w:pStyle w:val="TableText"/>
              <w:jc w:val="center"/>
            </w:pPr>
            <w:r w:rsidRPr="003B37D3">
              <w:t>57</w:t>
            </w:r>
          </w:p>
        </w:tc>
        <w:tc>
          <w:tcPr>
            <w:tcW w:w="2610" w:type="dxa"/>
            <w:tcBorders>
              <w:top w:val="double" w:sz="4" w:space="0" w:color="auto"/>
            </w:tcBorders>
            <w:vAlign w:val="center"/>
          </w:tcPr>
          <w:p w:rsidR="00485094" w:rsidRPr="003B37D3" w:rsidRDefault="00485094" w:rsidP="00453E80">
            <w:pPr>
              <w:pStyle w:val="TableText"/>
              <w:jc w:val="center"/>
            </w:pPr>
            <w:r w:rsidRPr="003B37D3">
              <w:t>845</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Fluorene</w:t>
            </w:r>
          </w:p>
        </w:tc>
        <w:tc>
          <w:tcPr>
            <w:tcW w:w="2790" w:type="dxa"/>
            <w:vAlign w:val="center"/>
          </w:tcPr>
          <w:p w:rsidR="00485094" w:rsidRPr="003B37D3" w:rsidRDefault="00485094" w:rsidP="00453E80">
            <w:pPr>
              <w:pStyle w:val="TableText"/>
              <w:jc w:val="center"/>
            </w:pPr>
            <w:r w:rsidRPr="003B37D3">
              <w:t>77</w:t>
            </w:r>
          </w:p>
        </w:tc>
        <w:tc>
          <w:tcPr>
            <w:tcW w:w="2610" w:type="dxa"/>
            <w:vAlign w:val="center"/>
          </w:tcPr>
          <w:p w:rsidR="00485094" w:rsidRPr="003B37D3" w:rsidRDefault="00485094" w:rsidP="00453E80">
            <w:pPr>
              <w:pStyle w:val="TableText"/>
              <w:jc w:val="center"/>
            </w:pPr>
            <w:r w:rsidRPr="003B37D3">
              <w:t>536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Naphthalene</w:t>
            </w:r>
          </w:p>
        </w:tc>
        <w:tc>
          <w:tcPr>
            <w:tcW w:w="2790" w:type="dxa"/>
            <w:vAlign w:val="center"/>
          </w:tcPr>
          <w:p w:rsidR="00485094" w:rsidRPr="003B37D3" w:rsidRDefault="00485094" w:rsidP="00453E80">
            <w:pPr>
              <w:pStyle w:val="TableText"/>
              <w:jc w:val="center"/>
            </w:pPr>
            <w:r w:rsidRPr="003B37D3">
              <w:t>176</w:t>
            </w:r>
          </w:p>
        </w:tc>
        <w:tc>
          <w:tcPr>
            <w:tcW w:w="2610" w:type="dxa"/>
            <w:vAlign w:val="center"/>
          </w:tcPr>
          <w:p w:rsidR="00485094" w:rsidRPr="003B37D3" w:rsidRDefault="00485094" w:rsidP="00453E80">
            <w:pPr>
              <w:pStyle w:val="TableText"/>
              <w:jc w:val="center"/>
            </w:pPr>
            <w:r w:rsidRPr="003B37D3">
              <w:t>561</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Phenanthrene</w:t>
            </w:r>
          </w:p>
        </w:tc>
        <w:tc>
          <w:tcPr>
            <w:tcW w:w="2790" w:type="dxa"/>
            <w:vAlign w:val="center"/>
          </w:tcPr>
          <w:p w:rsidR="00485094" w:rsidRPr="003B37D3" w:rsidRDefault="00485094" w:rsidP="00453E80">
            <w:pPr>
              <w:pStyle w:val="TableText"/>
              <w:jc w:val="center"/>
            </w:pPr>
            <w:r w:rsidRPr="003B37D3">
              <w:t>204</w:t>
            </w:r>
          </w:p>
        </w:tc>
        <w:tc>
          <w:tcPr>
            <w:tcW w:w="2610" w:type="dxa"/>
            <w:vAlign w:val="center"/>
          </w:tcPr>
          <w:p w:rsidR="00485094" w:rsidRPr="003B37D3" w:rsidRDefault="00485094" w:rsidP="00453E80">
            <w:pPr>
              <w:pStyle w:val="TableText"/>
              <w:jc w:val="center"/>
            </w:pPr>
            <w:r w:rsidRPr="003B37D3">
              <w:t>1</w:t>
            </w:r>
            <w:r>
              <w:t>,</w:t>
            </w:r>
            <w:r w:rsidRPr="003B37D3">
              <w:t>170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Benz[a]anthracene</w:t>
            </w:r>
          </w:p>
        </w:tc>
        <w:tc>
          <w:tcPr>
            <w:tcW w:w="2790" w:type="dxa"/>
            <w:vAlign w:val="center"/>
          </w:tcPr>
          <w:p w:rsidR="00485094" w:rsidRPr="003B37D3" w:rsidRDefault="00485094" w:rsidP="00453E80">
            <w:pPr>
              <w:pStyle w:val="TableText"/>
              <w:jc w:val="center"/>
            </w:pPr>
            <w:r w:rsidRPr="003B37D3">
              <w:t>108</w:t>
            </w:r>
          </w:p>
        </w:tc>
        <w:tc>
          <w:tcPr>
            <w:tcW w:w="2610" w:type="dxa"/>
            <w:vAlign w:val="center"/>
          </w:tcPr>
          <w:p w:rsidR="00485094" w:rsidRPr="003B37D3" w:rsidRDefault="00485094" w:rsidP="00453E80">
            <w:pPr>
              <w:pStyle w:val="TableText"/>
              <w:jc w:val="center"/>
            </w:pPr>
            <w:r w:rsidRPr="003B37D3">
              <w:t>1</w:t>
            </w:r>
            <w:r>
              <w:t>,</w:t>
            </w:r>
            <w:r w:rsidRPr="003B37D3">
              <w:t>050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Benzo(a)pyrene</w:t>
            </w:r>
          </w:p>
        </w:tc>
        <w:tc>
          <w:tcPr>
            <w:tcW w:w="2790" w:type="dxa"/>
            <w:vAlign w:val="center"/>
          </w:tcPr>
          <w:p w:rsidR="00485094" w:rsidRPr="003B37D3" w:rsidRDefault="00485094" w:rsidP="00453E80">
            <w:pPr>
              <w:pStyle w:val="TableText"/>
              <w:jc w:val="center"/>
            </w:pPr>
            <w:r w:rsidRPr="003B37D3">
              <w:t>150</w:t>
            </w:r>
          </w:p>
        </w:tc>
        <w:tc>
          <w:tcPr>
            <w:tcW w:w="2610" w:type="dxa"/>
            <w:vAlign w:val="center"/>
          </w:tcPr>
          <w:p w:rsidR="00485094" w:rsidRPr="003B37D3" w:rsidRDefault="00485094" w:rsidP="00453E80">
            <w:pPr>
              <w:pStyle w:val="TableText"/>
              <w:jc w:val="center"/>
            </w:pPr>
            <w:r w:rsidRPr="003B37D3">
              <w:t>1</w:t>
            </w:r>
            <w:r>
              <w:t>,</w:t>
            </w:r>
            <w:r w:rsidRPr="003B37D3">
              <w:t>450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Chrysene</w:t>
            </w:r>
          </w:p>
        </w:tc>
        <w:tc>
          <w:tcPr>
            <w:tcW w:w="2790" w:type="dxa"/>
            <w:vAlign w:val="center"/>
          </w:tcPr>
          <w:p w:rsidR="00485094" w:rsidRPr="003B37D3" w:rsidRDefault="00485094" w:rsidP="00453E80">
            <w:pPr>
              <w:pStyle w:val="TableText"/>
              <w:jc w:val="center"/>
            </w:pPr>
            <w:r w:rsidRPr="003B37D3">
              <w:t>166</w:t>
            </w:r>
          </w:p>
        </w:tc>
        <w:tc>
          <w:tcPr>
            <w:tcW w:w="2610" w:type="dxa"/>
            <w:vAlign w:val="center"/>
          </w:tcPr>
          <w:p w:rsidR="00485094" w:rsidRPr="003B37D3" w:rsidRDefault="00485094" w:rsidP="00453E80">
            <w:pPr>
              <w:pStyle w:val="TableText"/>
              <w:jc w:val="center"/>
            </w:pPr>
            <w:r w:rsidRPr="003B37D3">
              <w:t>1</w:t>
            </w:r>
            <w:r>
              <w:t>,</w:t>
            </w:r>
            <w:r w:rsidRPr="003B37D3">
              <w:t>290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Fluoranthene</w:t>
            </w:r>
          </w:p>
        </w:tc>
        <w:tc>
          <w:tcPr>
            <w:tcW w:w="2790" w:type="dxa"/>
            <w:vAlign w:val="center"/>
          </w:tcPr>
          <w:p w:rsidR="00485094" w:rsidRPr="003B37D3" w:rsidRDefault="00485094" w:rsidP="00453E80">
            <w:pPr>
              <w:pStyle w:val="TableText"/>
              <w:jc w:val="center"/>
            </w:pPr>
            <w:r w:rsidRPr="003B37D3">
              <w:t>423</w:t>
            </w:r>
          </w:p>
        </w:tc>
        <w:tc>
          <w:tcPr>
            <w:tcW w:w="2610" w:type="dxa"/>
            <w:vAlign w:val="center"/>
          </w:tcPr>
          <w:p w:rsidR="00485094" w:rsidRPr="003B37D3" w:rsidRDefault="00485094" w:rsidP="00453E80">
            <w:pPr>
              <w:pStyle w:val="TableText"/>
              <w:jc w:val="center"/>
            </w:pPr>
            <w:r w:rsidRPr="003B37D3">
              <w:t>2</w:t>
            </w:r>
            <w:r>
              <w:t>,</w:t>
            </w:r>
            <w:r w:rsidRPr="003B37D3">
              <w:t>230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Pyrene</w:t>
            </w:r>
          </w:p>
        </w:tc>
        <w:tc>
          <w:tcPr>
            <w:tcW w:w="2790" w:type="dxa"/>
            <w:vAlign w:val="center"/>
          </w:tcPr>
          <w:p w:rsidR="00485094" w:rsidRPr="003B37D3" w:rsidRDefault="00485094" w:rsidP="00453E80">
            <w:pPr>
              <w:pStyle w:val="TableText"/>
              <w:jc w:val="center"/>
            </w:pPr>
            <w:r w:rsidRPr="003B37D3">
              <w:t>195</w:t>
            </w:r>
          </w:p>
        </w:tc>
        <w:tc>
          <w:tcPr>
            <w:tcW w:w="2610" w:type="dxa"/>
            <w:vAlign w:val="center"/>
          </w:tcPr>
          <w:p w:rsidR="00485094" w:rsidRPr="003B37D3" w:rsidRDefault="00485094" w:rsidP="00453E80">
            <w:pPr>
              <w:pStyle w:val="TableText"/>
              <w:jc w:val="center"/>
            </w:pPr>
            <w:r w:rsidRPr="003B37D3">
              <w:t>1</w:t>
            </w:r>
            <w:r>
              <w:t>,</w:t>
            </w:r>
            <w:r w:rsidRPr="003B37D3">
              <w:t>520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Total Polynuclear Aromatic Hydrocarbons (PAH</w:t>
            </w:r>
            <w:r>
              <w:t>s</w:t>
            </w:r>
            <w:r w:rsidRPr="003B37D3">
              <w:t>)</w:t>
            </w:r>
          </w:p>
        </w:tc>
        <w:tc>
          <w:tcPr>
            <w:tcW w:w="2790" w:type="dxa"/>
            <w:vAlign w:val="center"/>
          </w:tcPr>
          <w:p w:rsidR="00485094" w:rsidRPr="003B37D3" w:rsidRDefault="00485094" w:rsidP="00453E80">
            <w:pPr>
              <w:pStyle w:val="TableText"/>
              <w:jc w:val="center"/>
            </w:pPr>
            <w:r w:rsidRPr="003B37D3">
              <w:t>1</w:t>
            </w:r>
            <w:r>
              <w:t>,</w:t>
            </w:r>
            <w:r w:rsidRPr="003B37D3">
              <w:t>610</w:t>
            </w:r>
          </w:p>
        </w:tc>
        <w:tc>
          <w:tcPr>
            <w:tcW w:w="2610" w:type="dxa"/>
            <w:vAlign w:val="center"/>
          </w:tcPr>
          <w:p w:rsidR="00485094" w:rsidRPr="003B37D3" w:rsidRDefault="00485094" w:rsidP="00453E80">
            <w:pPr>
              <w:pStyle w:val="TableText"/>
              <w:jc w:val="center"/>
            </w:pPr>
            <w:r w:rsidRPr="003B37D3">
              <w:t>22</w:t>
            </w:r>
            <w:r>
              <w:t>,</w:t>
            </w:r>
            <w:r w:rsidRPr="003B37D3">
              <w:t>800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Chlordane</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17.6</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Dieldrin</w:t>
            </w:r>
          </w:p>
        </w:tc>
        <w:tc>
          <w:tcPr>
            <w:tcW w:w="2790" w:type="dxa"/>
            <w:vAlign w:val="center"/>
          </w:tcPr>
          <w:p w:rsidR="00485094" w:rsidRPr="003B37D3" w:rsidRDefault="00485094" w:rsidP="00453E80">
            <w:pPr>
              <w:pStyle w:val="TableText"/>
              <w:jc w:val="center"/>
            </w:pPr>
            <w:r w:rsidRPr="003B37D3">
              <w:t>1.9</w:t>
            </w:r>
          </w:p>
        </w:tc>
        <w:tc>
          <w:tcPr>
            <w:tcW w:w="2610" w:type="dxa"/>
            <w:vAlign w:val="center"/>
          </w:tcPr>
          <w:p w:rsidR="00485094" w:rsidRPr="003B37D3" w:rsidRDefault="00485094" w:rsidP="00453E80">
            <w:pPr>
              <w:pStyle w:val="TableText"/>
              <w:jc w:val="center"/>
            </w:pPr>
            <w:r w:rsidRPr="003B37D3">
              <w:t>61.8</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DDD</w:t>
            </w:r>
          </w:p>
        </w:tc>
        <w:tc>
          <w:tcPr>
            <w:tcW w:w="2790" w:type="dxa"/>
            <w:vAlign w:val="center"/>
          </w:tcPr>
          <w:p w:rsidR="00485094" w:rsidRPr="003B37D3" w:rsidRDefault="00485094" w:rsidP="00453E80">
            <w:pPr>
              <w:pStyle w:val="TableText"/>
              <w:jc w:val="center"/>
            </w:pPr>
            <w:r w:rsidRPr="003B37D3">
              <w:t>4.9</w:t>
            </w:r>
          </w:p>
        </w:tc>
        <w:tc>
          <w:tcPr>
            <w:tcW w:w="2610" w:type="dxa"/>
            <w:vAlign w:val="center"/>
          </w:tcPr>
          <w:p w:rsidR="00485094" w:rsidRPr="003B37D3" w:rsidRDefault="00485094" w:rsidP="00453E80">
            <w:pPr>
              <w:pStyle w:val="TableText"/>
              <w:jc w:val="center"/>
            </w:pPr>
            <w:r w:rsidRPr="003B37D3">
              <w:t>28.0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DDE</w:t>
            </w:r>
          </w:p>
        </w:tc>
        <w:tc>
          <w:tcPr>
            <w:tcW w:w="2790" w:type="dxa"/>
            <w:vAlign w:val="center"/>
          </w:tcPr>
          <w:p w:rsidR="00485094" w:rsidRPr="003B37D3" w:rsidRDefault="00485094" w:rsidP="00453E80">
            <w:pPr>
              <w:pStyle w:val="TableText"/>
              <w:jc w:val="center"/>
            </w:pPr>
            <w:r w:rsidRPr="003B37D3">
              <w:t>3.2</w:t>
            </w:r>
          </w:p>
        </w:tc>
        <w:tc>
          <w:tcPr>
            <w:tcW w:w="2610" w:type="dxa"/>
            <w:vAlign w:val="center"/>
          </w:tcPr>
          <w:p w:rsidR="00485094" w:rsidRPr="003B37D3" w:rsidRDefault="00485094" w:rsidP="00453E80">
            <w:pPr>
              <w:pStyle w:val="TableText"/>
              <w:jc w:val="center"/>
            </w:pPr>
            <w:r w:rsidRPr="003B37D3">
              <w:t>31.3</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DDT</w:t>
            </w:r>
          </w:p>
        </w:tc>
        <w:tc>
          <w:tcPr>
            <w:tcW w:w="2790" w:type="dxa"/>
            <w:vAlign w:val="center"/>
          </w:tcPr>
          <w:p w:rsidR="00485094" w:rsidRPr="003B37D3" w:rsidRDefault="00485094" w:rsidP="00453E80">
            <w:pPr>
              <w:pStyle w:val="TableText"/>
              <w:jc w:val="center"/>
            </w:pPr>
            <w:r w:rsidRPr="003B37D3">
              <w:t>4.2</w:t>
            </w:r>
          </w:p>
        </w:tc>
        <w:tc>
          <w:tcPr>
            <w:tcW w:w="2610" w:type="dxa"/>
            <w:vAlign w:val="center"/>
          </w:tcPr>
          <w:p w:rsidR="00485094" w:rsidRPr="003B37D3" w:rsidRDefault="00485094" w:rsidP="00453E80">
            <w:pPr>
              <w:pStyle w:val="TableText"/>
              <w:jc w:val="center"/>
            </w:pPr>
            <w:r w:rsidRPr="003B37D3">
              <w:t>62.9</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Endrin</w:t>
            </w:r>
          </w:p>
        </w:tc>
        <w:tc>
          <w:tcPr>
            <w:tcW w:w="2790" w:type="dxa"/>
            <w:vAlign w:val="center"/>
          </w:tcPr>
          <w:p w:rsidR="00485094" w:rsidRPr="003B37D3" w:rsidRDefault="00485094" w:rsidP="00453E80">
            <w:pPr>
              <w:pStyle w:val="TableText"/>
              <w:jc w:val="center"/>
            </w:pPr>
            <w:r w:rsidRPr="003B37D3">
              <w:t>2.2</w:t>
            </w:r>
          </w:p>
        </w:tc>
        <w:tc>
          <w:tcPr>
            <w:tcW w:w="2610" w:type="dxa"/>
            <w:vAlign w:val="center"/>
          </w:tcPr>
          <w:p w:rsidR="00485094" w:rsidRPr="003B37D3" w:rsidRDefault="00485094" w:rsidP="00453E80">
            <w:pPr>
              <w:pStyle w:val="TableText"/>
              <w:jc w:val="center"/>
            </w:pPr>
            <w:r w:rsidRPr="003B37D3">
              <w:t>207</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Lindane</w:t>
            </w:r>
          </w:p>
        </w:tc>
        <w:tc>
          <w:tcPr>
            <w:tcW w:w="2790" w:type="dxa"/>
            <w:vAlign w:val="center"/>
          </w:tcPr>
          <w:p w:rsidR="00485094" w:rsidRPr="003B37D3" w:rsidRDefault="00485094" w:rsidP="00453E80">
            <w:pPr>
              <w:pStyle w:val="TableText"/>
              <w:jc w:val="center"/>
            </w:pPr>
            <w:r w:rsidRPr="003B37D3">
              <w:t>2.4</w:t>
            </w:r>
          </w:p>
        </w:tc>
        <w:tc>
          <w:tcPr>
            <w:tcW w:w="2610" w:type="dxa"/>
            <w:vAlign w:val="center"/>
          </w:tcPr>
          <w:p w:rsidR="00485094" w:rsidRPr="003B37D3" w:rsidRDefault="00485094" w:rsidP="00453E80">
            <w:pPr>
              <w:pStyle w:val="TableText"/>
              <w:jc w:val="center"/>
            </w:pPr>
            <w:r w:rsidRPr="003B37D3">
              <w:t>5.0</w:t>
            </w:r>
          </w:p>
        </w:tc>
      </w:tr>
      <w:tr w:rsidR="00485094" w:rsidTr="00453E80">
        <w:trPr>
          <w:trHeight w:val="288"/>
          <w:jc w:val="center"/>
        </w:trPr>
        <w:tc>
          <w:tcPr>
            <w:tcW w:w="2538" w:type="dxa"/>
            <w:shd w:val="clear" w:color="auto" w:fill="FFFFCC"/>
            <w:vAlign w:val="center"/>
          </w:tcPr>
          <w:p w:rsidR="00485094" w:rsidRPr="003B37D3" w:rsidRDefault="00485094" w:rsidP="00453E80">
            <w:pPr>
              <w:pStyle w:val="TableText"/>
              <w:jc w:val="center"/>
            </w:pPr>
            <w:r w:rsidRPr="003B37D3">
              <w:t>Total Polychlorinated Biphenyls (PCB</w:t>
            </w:r>
            <w:r>
              <w:t>s</w:t>
            </w:r>
            <w:r w:rsidRPr="003B37D3">
              <w:t>)</w:t>
            </w:r>
          </w:p>
        </w:tc>
        <w:tc>
          <w:tcPr>
            <w:tcW w:w="2790" w:type="dxa"/>
            <w:vAlign w:val="center"/>
          </w:tcPr>
          <w:p w:rsidR="00485094" w:rsidRPr="003B37D3" w:rsidRDefault="00485094" w:rsidP="00453E80">
            <w:pPr>
              <w:pStyle w:val="TableText"/>
              <w:jc w:val="center"/>
            </w:pPr>
            <w:r w:rsidRPr="003B37D3">
              <w:t>60</w:t>
            </w:r>
          </w:p>
        </w:tc>
        <w:tc>
          <w:tcPr>
            <w:tcW w:w="2610" w:type="dxa"/>
            <w:vAlign w:val="center"/>
          </w:tcPr>
          <w:p w:rsidR="00485094" w:rsidRPr="003B37D3" w:rsidRDefault="00485094" w:rsidP="00453E80">
            <w:pPr>
              <w:pStyle w:val="TableText"/>
              <w:jc w:val="center"/>
            </w:pPr>
            <w:r w:rsidRPr="003B37D3">
              <w:t>676</w:t>
            </w:r>
          </w:p>
        </w:tc>
      </w:tr>
    </w:tbl>
    <w:p w:rsidR="00485094" w:rsidRDefault="00485094" w:rsidP="00692F31">
      <w:pPr>
        <w:pStyle w:val="Bodytextreduced"/>
      </w:pPr>
    </w:p>
    <w:p w:rsidR="00485094" w:rsidRDefault="00485094" w:rsidP="00692F31">
      <w:pPr>
        <w:pStyle w:val="Bodytextreduced"/>
      </w:pPr>
    </w:p>
    <w:p w:rsidR="00485094" w:rsidRPr="008B521E" w:rsidRDefault="00485094" w:rsidP="00692F31">
      <w:pPr>
        <w:pStyle w:val="Heading3"/>
      </w:pPr>
      <w:bookmarkStart w:id="366" w:name="_Toc255822531"/>
      <w:bookmarkStart w:id="367" w:name="_Toc262464149"/>
      <w:bookmarkStart w:id="368" w:name="_Toc271794344"/>
      <w:r w:rsidRPr="008B521E">
        <w:lastRenderedPageBreak/>
        <w:t>Rivers, Streams, Large Lakes, and Small Lakes</w:t>
      </w:r>
      <w:bookmarkEnd w:id="366"/>
      <w:bookmarkEnd w:id="367"/>
      <w:bookmarkEnd w:id="368"/>
    </w:p>
    <w:p w:rsidR="00485094" w:rsidRDefault="00485094" w:rsidP="00692F31">
      <w:pPr>
        <w:pStyle w:val="Bodytext"/>
      </w:pPr>
      <w:r w:rsidRPr="000D2F61">
        <w:t xml:space="preserve">The </w:t>
      </w:r>
      <w:r>
        <w:t xml:space="preserve">following pages present the </w:t>
      </w:r>
      <w:r w:rsidRPr="000D2F61">
        <w:t xml:space="preserve">surface water </w:t>
      </w:r>
      <w:r>
        <w:t>S</w:t>
      </w:r>
      <w:r w:rsidRPr="000D2F61">
        <w:t xml:space="preserve">tatus </w:t>
      </w:r>
      <w:r>
        <w:t xml:space="preserve">Network </w:t>
      </w:r>
      <w:r w:rsidRPr="000D2F61">
        <w:t>results</w:t>
      </w:r>
      <w:r>
        <w:t xml:space="preserve"> for </w:t>
      </w:r>
      <w:r w:rsidRPr="000D2F61">
        <w:t xml:space="preserve">rivers, streams, large </w:t>
      </w:r>
      <w:r>
        <w:t xml:space="preserve">lakes, </w:t>
      </w:r>
      <w:r w:rsidRPr="000D2F61">
        <w:t xml:space="preserve">and small lakes.  </w:t>
      </w:r>
      <w:r>
        <w:t xml:space="preserve">For each resource, there is </w:t>
      </w:r>
      <w:r w:rsidRPr="000D2F61">
        <w:t>a map showing the sample site locations</w:t>
      </w:r>
      <w:r>
        <w:t xml:space="preserve"> (</w:t>
      </w:r>
      <w:r w:rsidRPr="00E92FF1">
        <w:rPr>
          <w:b/>
          <w:i/>
        </w:rPr>
        <w:t>Figures 6.1, 6.</w:t>
      </w:r>
      <w:r>
        <w:rPr>
          <w:b/>
          <w:i/>
        </w:rPr>
        <w:t>3</w:t>
      </w:r>
      <w:r w:rsidRPr="00E92FF1">
        <w:rPr>
          <w:b/>
          <w:i/>
        </w:rPr>
        <w:t>, 6.</w:t>
      </w:r>
      <w:r>
        <w:rPr>
          <w:b/>
          <w:i/>
        </w:rPr>
        <w:t>5</w:t>
      </w:r>
      <w:r w:rsidRPr="00E92FF1">
        <w:rPr>
          <w:b/>
          <w:i/>
        </w:rPr>
        <w:t xml:space="preserve">, </w:t>
      </w:r>
      <w:r w:rsidRPr="00E92FF1">
        <w:t>and</w:t>
      </w:r>
      <w:r w:rsidRPr="00E92FF1">
        <w:rPr>
          <w:b/>
          <w:i/>
        </w:rPr>
        <w:t xml:space="preserve"> 6.</w:t>
      </w:r>
      <w:r>
        <w:rPr>
          <w:b/>
          <w:i/>
        </w:rPr>
        <w:t>7</w:t>
      </w:r>
      <w:r w:rsidRPr="00E92FF1">
        <w:t>),</w:t>
      </w:r>
      <w:r w:rsidRPr="000D2F61">
        <w:t xml:space="preserve"> a figure with a summary of the statewide results</w:t>
      </w:r>
      <w:r>
        <w:t xml:space="preserve"> (</w:t>
      </w:r>
      <w:r w:rsidRPr="00E92FF1">
        <w:rPr>
          <w:b/>
          <w:i/>
        </w:rPr>
        <w:t>Figures 6.2, 6.4, 6.6,</w:t>
      </w:r>
      <w:r>
        <w:t xml:space="preserve"> and </w:t>
      </w:r>
      <w:r>
        <w:rPr>
          <w:b/>
          <w:i/>
        </w:rPr>
        <w:t>6.</w:t>
      </w:r>
      <w:r w:rsidRPr="00E92FF1">
        <w:rPr>
          <w:b/>
          <w:i/>
        </w:rPr>
        <w:t>8</w:t>
      </w:r>
      <w:r>
        <w:t>),</w:t>
      </w:r>
      <w:r w:rsidRPr="000D2F61">
        <w:t xml:space="preserve"> and a table of the </w:t>
      </w:r>
      <w:r w:rsidRPr="000D2F61">
        <w:rPr>
          <w:rFonts w:cs="Arial"/>
          <w:szCs w:val="22"/>
        </w:rPr>
        <w:t>statewide results</w:t>
      </w:r>
      <w:r>
        <w:rPr>
          <w:rFonts w:cs="Arial"/>
          <w:szCs w:val="22"/>
        </w:rPr>
        <w:t xml:space="preserve"> for each indicator for a particular resource </w:t>
      </w:r>
      <w:r>
        <w:t>(</w:t>
      </w:r>
      <w:r w:rsidRPr="00E92FF1">
        <w:rPr>
          <w:b/>
          <w:i/>
        </w:rPr>
        <w:t>Tables 6.</w:t>
      </w:r>
      <w:r>
        <w:rPr>
          <w:b/>
          <w:i/>
        </w:rPr>
        <w:t>3</w:t>
      </w:r>
      <w:r w:rsidRPr="00E92FF1">
        <w:rPr>
          <w:b/>
          <w:i/>
        </w:rPr>
        <w:t xml:space="preserve">b </w:t>
      </w:r>
      <w:r w:rsidRPr="00E92FF1">
        <w:t>through</w:t>
      </w:r>
      <w:r w:rsidRPr="00E92FF1">
        <w:rPr>
          <w:b/>
          <w:i/>
        </w:rPr>
        <w:t xml:space="preserve"> 6.</w:t>
      </w:r>
      <w:r>
        <w:rPr>
          <w:b/>
          <w:i/>
        </w:rPr>
        <w:t>3</w:t>
      </w:r>
      <w:r w:rsidRPr="00E92FF1">
        <w:rPr>
          <w:b/>
          <w:i/>
        </w:rPr>
        <w:t>e</w:t>
      </w:r>
      <w:r w:rsidRPr="00E92FF1">
        <w:t>),</w:t>
      </w:r>
      <w:r>
        <w:t xml:space="preserve"> followed </w:t>
      </w:r>
      <w:r w:rsidRPr="00E92FF1">
        <w:t>by a discussion</w:t>
      </w:r>
      <w:r>
        <w:t xml:space="preserve">.  </w:t>
      </w:r>
      <w:r w:rsidRPr="00E92FF1">
        <w:rPr>
          <w:b/>
          <w:i/>
        </w:rPr>
        <w:t>Table 6.</w:t>
      </w:r>
      <w:r>
        <w:rPr>
          <w:b/>
          <w:i/>
        </w:rPr>
        <w:t>3</w:t>
      </w:r>
      <w:r w:rsidRPr="00E92FF1">
        <w:rPr>
          <w:b/>
          <w:i/>
        </w:rPr>
        <w:t>a</w:t>
      </w:r>
      <w:r w:rsidRPr="00C93326">
        <w:t xml:space="preserve"> contains </w:t>
      </w:r>
      <w:r>
        <w:t>the</w:t>
      </w:r>
      <w:r w:rsidRPr="00C93326">
        <w:t xml:space="preserve"> legend for the </w:t>
      </w:r>
      <w:r>
        <w:t>terms</w:t>
      </w:r>
      <w:r w:rsidRPr="00C93326">
        <w:t xml:space="preserve"> used in the statewide summary tables.  </w:t>
      </w:r>
    </w:p>
    <w:p w:rsidR="00485094" w:rsidRDefault="00485094" w:rsidP="00692F31">
      <w:pPr>
        <w:rPr>
          <w:rFonts w:ascii="Arial" w:hAnsi="Arial" w:cs="Arial"/>
          <w:sz w:val="22"/>
          <w:szCs w:val="22"/>
        </w:rPr>
      </w:pPr>
    </w:p>
    <w:p w:rsidR="003C6692" w:rsidRDefault="00485094">
      <w:pPr>
        <w:rPr>
          <w:rFonts w:cs="Arial"/>
          <w:szCs w:val="22"/>
        </w:rPr>
      </w:pPr>
      <w:r>
        <w:rPr>
          <w:rFonts w:ascii="Arial" w:hAnsi="Arial" w:cs="Arial"/>
          <w:sz w:val="22"/>
          <w:szCs w:val="22"/>
        </w:rPr>
        <w:t xml:space="preserve">The rotating basin component of the Status Network design allows for individual basin reports to be completed.  Basin-specific reports are available on the </w:t>
      </w:r>
      <w:hyperlink r:id="rId73" w:history="1">
        <w:r w:rsidRPr="00D94E36">
          <w:rPr>
            <w:rStyle w:val="Hyperlink"/>
            <w:rFonts w:ascii="Arial" w:hAnsi="Arial" w:cs="Arial"/>
            <w:sz w:val="22"/>
            <w:szCs w:val="22"/>
          </w:rPr>
          <w:t xml:space="preserve">FDEP </w:t>
        </w:r>
        <w:r>
          <w:rPr>
            <w:rStyle w:val="Hyperlink"/>
            <w:rFonts w:ascii="Arial" w:hAnsi="Arial" w:cs="Arial"/>
            <w:sz w:val="22"/>
            <w:szCs w:val="22"/>
          </w:rPr>
          <w:t xml:space="preserve">Watershed Monitoring </w:t>
        </w:r>
        <w:r w:rsidRPr="00D94E36">
          <w:rPr>
            <w:rStyle w:val="Hyperlink"/>
            <w:rFonts w:ascii="Arial" w:hAnsi="Arial" w:cs="Arial"/>
            <w:sz w:val="22"/>
            <w:szCs w:val="22"/>
          </w:rPr>
          <w:t>website</w:t>
        </w:r>
      </w:hyperlink>
      <w:r>
        <w:rPr>
          <w:rFonts w:ascii="Arial" w:hAnsi="Arial" w:cs="Arial"/>
          <w:sz w:val="22"/>
          <w:szCs w:val="22"/>
        </w:rPr>
        <w:t xml:space="preserve">.  Additionally, basin </w:t>
      </w:r>
      <w:r w:rsidRPr="000D2F61">
        <w:rPr>
          <w:rFonts w:ascii="Arial" w:hAnsi="Arial" w:cs="Arial"/>
          <w:sz w:val="22"/>
          <w:szCs w:val="22"/>
        </w:rPr>
        <w:t xml:space="preserve">results </w:t>
      </w:r>
      <w:r>
        <w:rPr>
          <w:rFonts w:ascii="Arial" w:hAnsi="Arial" w:cs="Arial"/>
          <w:sz w:val="22"/>
          <w:szCs w:val="22"/>
        </w:rPr>
        <w:t>for the</w:t>
      </w:r>
      <w:r w:rsidRPr="000D2F61">
        <w:rPr>
          <w:rFonts w:ascii="Arial" w:hAnsi="Arial" w:cs="Arial"/>
          <w:sz w:val="22"/>
          <w:szCs w:val="22"/>
        </w:rPr>
        <w:t xml:space="preserve"> four resource types are </w:t>
      </w:r>
      <w:r>
        <w:rPr>
          <w:rFonts w:ascii="Arial" w:hAnsi="Arial" w:cs="Arial"/>
          <w:sz w:val="22"/>
          <w:szCs w:val="22"/>
        </w:rPr>
        <w:t>reported as</w:t>
      </w:r>
      <w:r w:rsidRPr="000D2F61">
        <w:rPr>
          <w:rFonts w:ascii="Arial" w:hAnsi="Arial" w:cs="Arial"/>
          <w:sz w:val="22"/>
          <w:szCs w:val="22"/>
        </w:rPr>
        <w:t xml:space="preserve"> maps and in tabular form in </w:t>
      </w:r>
      <w:r w:rsidRPr="000D2F61">
        <w:rPr>
          <w:rFonts w:ascii="Arial" w:hAnsi="Arial" w:cs="Arial"/>
          <w:b/>
          <w:sz w:val="22"/>
          <w:szCs w:val="22"/>
        </w:rPr>
        <w:t xml:space="preserve">Appendix </w:t>
      </w:r>
      <w:r>
        <w:rPr>
          <w:rFonts w:ascii="Arial" w:hAnsi="Arial" w:cs="Arial"/>
          <w:b/>
          <w:sz w:val="22"/>
          <w:szCs w:val="22"/>
        </w:rPr>
        <w:t>A</w:t>
      </w:r>
      <w:r w:rsidRPr="000D2F61">
        <w:rPr>
          <w:rFonts w:ascii="Arial" w:hAnsi="Arial" w:cs="Arial"/>
          <w:b/>
          <w:sz w:val="22"/>
          <w:szCs w:val="22"/>
        </w:rPr>
        <w:t>.</w:t>
      </w:r>
    </w:p>
    <w:p w:rsidR="00485094" w:rsidRDefault="00485094">
      <w:pPr>
        <w:rPr>
          <w:rFonts w:ascii="Arial" w:hAnsi="Arial"/>
          <w:b/>
          <w:i/>
          <w:sz w:val="20"/>
          <w:szCs w:val="20"/>
        </w:rPr>
      </w:pPr>
      <w:bookmarkStart w:id="369" w:name="_Toc134347501"/>
      <w:bookmarkStart w:id="370" w:name="_Toc255482829"/>
      <w:bookmarkStart w:id="371" w:name="_Toc255807487"/>
      <w:bookmarkStart w:id="372" w:name="_Toc262464245"/>
    </w:p>
    <w:p w:rsidR="00485094" w:rsidRDefault="00485094" w:rsidP="00692F31">
      <w:pPr>
        <w:pStyle w:val="Tableheading"/>
      </w:pPr>
      <w:bookmarkStart w:id="373" w:name="_Toc271889839"/>
      <w:r w:rsidRPr="00E92FF1">
        <w:t>Table 6.</w:t>
      </w:r>
      <w:r>
        <w:t>3</w:t>
      </w:r>
      <w:r w:rsidRPr="00E92FF1">
        <w:t>a</w:t>
      </w:r>
      <w:r>
        <w:t>.</w:t>
      </w:r>
      <w:r w:rsidRPr="00E92FF1">
        <w:t xml:space="preserve">  Legend for Terms Used in Tables 6.</w:t>
      </w:r>
      <w:r>
        <w:t>3b</w:t>
      </w:r>
      <w:r w:rsidRPr="00E92FF1">
        <w:t xml:space="preserve"> through 6.</w:t>
      </w:r>
      <w:r>
        <w:t>3</w:t>
      </w:r>
      <w:r w:rsidRPr="00E92FF1">
        <w:t>e</w:t>
      </w:r>
      <w:bookmarkEnd w:id="369"/>
      <w:bookmarkEnd w:id="370"/>
      <w:bookmarkEnd w:id="371"/>
      <w:bookmarkEnd w:id="372"/>
      <w:bookmarkEnd w:id="373"/>
    </w:p>
    <w:p w:rsidR="00485094" w:rsidRDefault="00485094" w:rsidP="00692F31">
      <w:pPr>
        <w:pStyle w:val="TabledescriptionBF"/>
      </w:pPr>
      <w:r>
        <w:t>This is a two-</w:t>
      </w:r>
      <w:r w:rsidRPr="001A77D7">
        <w:t>column table</w:t>
      </w:r>
      <w:r>
        <w:t>.  C</w:t>
      </w:r>
      <w:r w:rsidRPr="001A77D7">
        <w:t xml:space="preserve">olumn </w:t>
      </w:r>
      <w:r>
        <w:t>1</w:t>
      </w:r>
      <w:r w:rsidRPr="001A77D7">
        <w:t xml:space="preserve"> list</w:t>
      </w:r>
      <w:r>
        <w:t>s</w:t>
      </w:r>
      <w:r w:rsidRPr="001A77D7">
        <w:t xml:space="preserve"> the </w:t>
      </w:r>
      <w:r>
        <w:t>terms used and C</w:t>
      </w:r>
      <w:r w:rsidRPr="001A77D7">
        <w:t xml:space="preserve">olumn </w:t>
      </w:r>
      <w:r>
        <w:t>2 explains each term.</w:t>
      </w:r>
    </w:p>
    <w:p w:rsidR="00485094" w:rsidRPr="00D53BE0" w:rsidRDefault="00485094" w:rsidP="00692F31">
      <w:pPr>
        <w:pStyle w:val="Tabledescription"/>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6"/>
        <w:gridCol w:w="5858"/>
      </w:tblGrid>
      <w:tr w:rsidR="00485094" w:rsidRPr="00D53BE0" w:rsidTr="000F2909">
        <w:trPr>
          <w:trHeight w:val="432"/>
          <w:tblHeader/>
          <w:jc w:val="center"/>
        </w:trPr>
        <w:tc>
          <w:tcPr>
            <w:tcW w:w="3196" w:type="dxa"/>
            <w:tcBorders>
              <w:bottom w:val="double" w:sz="4" w:space="0" w:color="auto"/>
            </w:tcBorders>
            <w:shd w:val="clear" w:color="auto" w:fill="BDFFFF"/>
            <w:vAlign w:val="center"/>
          </w:tcPr>
          <w:p w:rsidR="00485094" w:rsidRPr="00D53BE0" w:rsidRDefault="00485094" w:rsidP="00453E80">
            <w:pPr>
              <w:jc w:val="center"/>
              <w:rPr>
                <w:rFonts w:ascii="Arial" w:hAnsi="Arial"/>
                <w:b/>
                <w:i/>
                <w:sz w:val="18"/>
              </w:rPr>
            </w:pPr>
            <w:r w:rsidRPr="00D53BE0">
              <w:rPr>
                <w:rFonts w:ascii="Arial" w:hAnsi="Arial"/>
                <w:b/>
                <w:i/>
                <w:sz w:val="18"/>
              </w:rPr>
              <w:t>Term</w:t>
            </w:r>
          </w:p>
        </w:tc>
        <w:tc>
          <w:tcPr>
            <w:tcW w:w="5858" w:type="dxa"/>
            <w:tcBorders>
              <w:bottom w:val="double" w:sz="4" w:space="0" w:color="auto"/>
            </w:tcBorders>
            <w:shd w:val="clear" w:color="auto" w:fill="BDFFFF"/>
            <w:vAlign w:val="center"/>
          </w:tcPr>
          <w:p w:rsidR="00485094" w:rsidRPr="00D53BE0" w:rsidRDefault="00485094" w:rsidP="00453E80">
            <w:pPr>
              <w:jc w:val="center"/>
              <w:rPr>
                <w:rFonts w:ascii="Arial" w:hAnsi="Arial"/>
                <w:b/>
                <w:i/>
                <w:sz w:val="18"/>
              </w:rPr>
            </w:pPr>
            <w:r w:rsidRPr="00D53BE0">
              <w:rPr>
                <w:rFonts w:ascii="Arial" w:hAnsi="Arial"/>
                <w:b/>
                <w:i/>
                <w:sz w:val="18"/>
              </w:rPr>
              <w:t>Explanation</w:t>
            </w:r>
          </w:p>
        </w:tc>
      </w:tr>
      <w:tr w:rsidR="00485094" w:rsidRPr="00D53BE0" w:rsidTr="00453E80">
        <w:trPr>
          <w:trHeight w:val="432"/>
          <w:jc w:val="center"/>
        </w:trPr>
        <w:tc>
          <w:tcPr>
            <w:tcW w:w="3196" w:type="dxa"/>
            <w:tcBorders>
              <w:top w:val="double" w:sz="4" w:space="0" w:color="auto"/>
            </w:tcBorders>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Analyte</w:t>
            </w:r>
          </w:p>
        </w:tc>
        <w:tc>
          <w:tcPr>
            <w:tcW w:w="5858" w:type="dxa"/>
            <w:tcBorders>
              <w:top w:val="double" w:sz="4" w:space="0" w:color="auto"/>
            </w:tcBorders>
            <w:vAlign w:val="center"/>
          </w:tcPr>
          <w:p w:rsidR="00485094" w:rsidRPr="00D53BE0" w:rsidRDefault="00485094" w:rsidP="00453E80">
            <w:pPr>
              <w:pStyle w:val="TableText"/>
              <w:jc w:val="center"/>
            </w:pPr>
            <w:r w:rsidRPr="00D53BE0">
              <w:t>Indicators chosen to base assessment of the condition of waters of the state.</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Target Population</w:t>
            </w:r>
          </w:p>
        </w:tc>
        <w:tc>
          <w:tcPr>
            <w:tcW w:w="5858" w:type="dxa"/>
            <w:vAlign w:val="center"/>
          </w:tcPr>
          <w:p w:rsidR="00485094" w:rsidRPr="00D53BE0" w:rsidRDefault="00485094" w:rsidP="00453E80">
            <w:pPr>
              <w:pStyle w:val="TableText"/>
              <w:ind w:left="530" w:hanging="530"/>
              <w:jc w:val="center"/>
            </w:pPr>
            <w:r w:rsidRPr="00D53BE0">
              <w:t xml:space="preserve">Estimate of actual extent of resource from which </w:t>
            </w:r>
            <w:r>
              <w:t>threshold</w:t>
            </w:r>
            <w:r w:rsidRPr="00D53BE0">
              <w:t xml:space="preserve"> results were calculated.  Excludes % of resource that was determined to not fit definition of resource</w:t>
            </w:r>
            <w:r w:rsidR="003D799D">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Sampleable</w:t>
            </w:r>
          </w:p>
        </w:tc>
        <w:tc>
          <w:tcPr>
            <w:tcW w:w="5858" w:type="dxa"/>
            <w:vAlign w:val="center"/>
          </w:tcPr>
          <w:p w:rsidR="00485094" w:rsidRPr="00D53BE0" w:rsidRDefault="00485094" w:rsidP="00453E80">
            <w:pPr>
              <w:pStyle w:val="TableText"/>
              <w:jc w:val="center"/>
            </w:pPr>
            <w:r w:rsidRPr="00D53BE0">
              <w:t>Estimate of extent of resource that staff would have been able to sample during index period</w:t>
            </w:r>
            <w:r w:rsidR="003D799D">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Inaccessible</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Estimate of extent of resource that was inaccessible due to safety concerns and owner denials</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Dry</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Estimate of extent of resource that was dry during the index period and therefore could not be sampled</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076ABE" w:rsidRDefault="00485094" w:rsidP="00453E80">
            <w:pPr>
              <w:jc w:val="center"/>
              <w:rPr>
                <w:rFonts w:ascii="Arial" w:hAnsi="Arial"/>
                <w:sz w:val="18"/>
              </w:rPr>
            </w:pPr>
            <w:r w:rsidRPr="00076ABE">
              <w:rPr>
                <w:rFonts w:ascii="Arial" w:hAnsi="Arial"/>
                <w:sz w:val="18"/>
              </w:rPr>
              <w:t>Number of Samples</w:t>
            </w:r>
          </w:p>
        </w:tc>
        <w:tc>
          <w:tcPr>
            <w:tcW w:w="5858" w:type="dxa"/>
            <w:vAlign w:val="center"/>
          </w:tcPr>
          <w:p w:rsidR="00485094" w:rsidRPr="00076ABE" w:rsidRDefault="00485094" w:rsidP="00453E80">
            <w:pPr>
              <w:jc w:val="center"/>
              <w:rPr>
                <w:rFonts w:ascii="Arial" w:hAnsi="Arial"/>
                <w:sz w:val="18"/>
              </w:rPr>
            </w:pPr>
            <w:r w:rsidRPr="00076ABE">
              <w:rPr>
                <w:rFonts w:ascii="Arial" w:hAnsi="Arial"/>
                <w:sz w:val="18"/>
              </w:rPr>
              <w:t xml:space="preserve">Number of samples used for statistical analysis after qualified data and resource exclusions are eliminated from the data pool. </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Meeting Threshold</w:t>
            </w:r>
          </w:p>
        </w:tc>
        <w:tc>
          <w:tcPr>
            <w:tcW w:w="5858" w:type="dxa"/>
            <w:vAlign w:val="center"/>
          </w:tcPr>
          <w:p w:rsidR="00485094" w:rsidRPr="00760638" w:rsidRDefault="00485094" w:rsidP="00453E80">
            <w:pPr>
              <w:jc w:val="center"/>
              <w:rPr>
                <w:rFonts w:ascii="Arial" w:hAnsi="Arial"/>
                <w:sz w:val="18"/>
              </w:rPr>
            </w:pPr>
            <w:r w:rsidRPr="00760638">
              <w:rPr>
                <w:rFonts w:ascii="Arial" w:hAnsi="Arial"/>
                <w:sz w:val="18"/>
              </w:rPr>
              <w:t xml:space="preserve">% estimate of resource that meets a specific indicator’s </w:t>
            </w:r>
            <w:r w:rsidRPr="00FC366A">
              <w:rPr>
                <w:rFonts w:ascii="Arial" w:hAnsi="Arial"/>
                <w:sz w:val="18"/>
              </w:rPr>
              <w:t>criterion</w:t>
            </w:r>
            <w:r>
              <w:rPr>
                <w:rFonts w:ascii="Arial" w:hAnsi="Arial"/>
                <w:sz w:val="18"/>
              </w:rPr>
              <w:t>/threshold</w:t>
            </w:r>
            <w:r w:rsidRPr="00FC366A">
              <w:rPr>
                <w:rFonts w:ascii="Arial" w:hAnsi="Arial"/>
                <w:sz w:val="18"/>
              </w:rPr>
              <w:t xml:space="preserve"> </w:t>
            </w:r>
            <w:r w:rsidRPr="00760638">
              <w:rPr>
                <w:rFonts w:ascii="Arial" w:hAnsi="Arial"/>
                <w:sz w:val="18"/>
              </w:rPr>
              <w:t>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xml:space="preserve">95% Confidence Bounds </w:t>
            </w:r>
          </w:p>
          <w:p w:rsidR="00485094" w:rsidRPr="00D53BE0" w:rsidRDefault="00485094" w:rsidP="00453E80">
            <w:pPr>
              <w:jc w:val="center"/>
              <w:rPr>
                <w:rFonts w:ascii="Arial" w:hAnsi="Arial"/>
                <w:sz w:val="18"/>
              </w:rPr>
            </w:pPr>
            <w:r w:rsidRPr="00D53BE0">
              <w:rPr>
                <w:rFonts w:ascii="Arial" w:hAnsi="Arial"/>
                <w:sz w:val="18"/>
              </w:rPr>
              <w:t>(% Meeting Threshold)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 xml:space="preserve">Upper and lower bounds for 95% confidence of % </w:t>
            </w:r>
            <w:r>
              <w:rPr>
                <w:rFonts w:ascii="Arial" w:hAnsi="Arial"/>
                <w:sz w:val="18"/>
              </w:rPr>
              <w:t>meet</w:t>
            </w:r>
            <w:r w:rsidRPr="00D53BE0">
              <w:rPr>
                <w:rFonts w:ascii="Arial" w:hAnsi="Arial"/>
                <w:sz w:val="18"/>
              </w:rPr>
              <w:t xml:space="preserve">ing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 Not Meeting Threshold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 xml:space="preserve">% of estimate of extent of resource that does not </w:t>
            </w:r>
            <w:r>
              <w:rPr>
                <w:rFonts w:ascii="Arial" w:hAnsi="Arial"/>
                <w:sz w:val="18"/>
              </w:rPr>
              <w:t>meet</w:t>
            </w:r>
            <w:r w:rsidRPr="00D53BE0">
              <w:rPr>
                <w:rFonts w:ascii="Arial" w:hAnsi="Arial"/>
                <w:sz w:val="18"/>
              </w:rPr>
              <w:t xml:space="preserve"> a specific indicator’s </w:t>
            </w:r>
            <w:r w:rsidRPr="00FC366A">
              <w:rPr>
                <w:rFonts w:ascii="Arial" w:hAnsi="Arial"/>
                <w:sz w:val="18"/>
              </w:rPr>
              <w:t>criterion</w:t>
            </w:r>
            <w:r>
              <w:rPr>
                <w:rFonts w:ascii="Arial" w:hAnsi="Arial"/>
                <w:sz w:val="18"/>
              </w:rPr>
              <w:t>/threshold</w:t>
            </w:r>
            <w:r w:rsidRPr="00D53BE0">
              <w:rPr>
                <w:rFonts w:ascii="Arial" w:hAnsi="Arial"/>
                <w:sz w:val="18"/>
              </w:rPr>
              <w:t xml:space="preserve"> value</w:t>
            </w:r>
            <w:r w:rsidR="003D799D">
              <w:rPr>
                <w:rFonts w:ascii="Arial" w:hAnsi="Arial"/>
                <w:sz w:val="18"/>
              </w:rPr>
              <w:t>.</w:t>
            </w:r>
          </w:p>
        </w:tc>
      </w:tr>
      <w:tr w:rsidR="00485094" w:rsidRPr="00D53BE0" w:rsidTr="00453E80">
        <w:trPr>
          <w:trHeight w:val="432"/>
          <w:jc w:val="center"/>
        </w:trPr>
        <w:tc>
          <w:tcPr>
            <w:tcW w:w="3196" w:type="dxa"/>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Assessment Period</w:t>
            </w:r>
          </w:p>
        </w:tc>
        <w:tc>
          <w:tcPr>
            <w:tcW w:w="5858" w:type="dxa"/>
            <w:vAlign w:val="center"/>
          </w:tcPr>
          <w:p w:rsidR="00485094" w:rsidRPr="00D53BE0" w:rsidRDefault="00485094" w:rsidP="00453E80">
            <w:pPr>
              <w:jc w:val="center"/>
              <w:rPr>
                <w:rFonts w:ascii="Arial" w:hAnsi="Arial"/>
                <w:sz w:val="18"/>
              </w:rPr>
            </w:pPr>
            <w:r w:rsidRPr="00D53BE0">
              <w:rPr>
                <w:rFonts w:ascii="Arial" w:hAnsi="Arial"/>
                <w:sz w:val="18"/>
              </w:rPr>
              <w:t>Duration of probabilistic survey sampling event</w:t>
            </w:r>
            <w:r w:rsidR="003D799D">
              <w:rPr>
                <w:rFonts w:ascii="Arial" w:hAnsi="Arial"/>
                <w:sz w:val="18"/>
              </w:rPr>
              <w:t>.</w:t>
            </w:r>
          </w:p>
        </w:tc>
      </w:tr>
    </w:tbl>
    <w:p w:rsidR="00485094" w:rsidRDefault="00485094" w:rsidP="00692F31">
      <w:pPr>
        <w:pStyle w:val="Bodytext"/>
        <w:rPr>
          <w:szCs w:val="24"/>
        </w:rPr>
      </w:pPr>
    </w:p>
    <w:p w:rsidR="00485094" w:rsidRDefault="00485094" w:rsidP="00692F31">
      <w:pPr>
        <w:pStyle w:val="Bodytextreduced"/>
      </w:pPr>
      <w:r>
        <w:br w:type="page"/>
      </w:r>
    </w:p>
    <w:p w:rsidR="00485094" w:rsidRPr="00C93326" w:rsidRDefault="001717CD" w:rsidP="00692F31">
      <w:pPr>
        <w:pStyle w:val="Caption"/>
      </w:pPr>
      <w:r>
        <w:rPr>
          <w:noProof/>
        </w:rPr>
        <w:lastRenderedPageBreak/>
        <w:drawing>
          <wp:anchor distT="0" distB="0" distL="114300" distR="114300" simplePos="0" relativeHeight="251659776" behindDoc="0" locked="0" layoutInCell="1" allowOverlap="1">
            <wp:simplePos x="0" y="0"/>
            <wp:positionH relativeFrom="column">
              <wp:align>center</wp:align>
            </wp:positionH>
            <wp:positionV relativeFrom="paragraph">
              <wp:posOffset>488315</wp:posOffset>
            </wp:positionV>
            <wp:extent cx="5160645" cy="5947410"/>
            <wp:effectExtent l="19050" t="0" r="1905" b="0"/>
            <wp:wrapTopAndBottom/>
            <wp:docPr id="47" name="Picture 1" descr="Figure 6.1.  Statewide River Sample Locations by Basin.  This is a map of the state of Florida divided into the 29 basins showing the locations where river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  Statewide River Sample Locations by Basin"/>
                    <pic:cNvPicPr>
                      <a:picLocks noChangeAspect="1" noChangeArrowheads="1"/>
                    </pic:cNvPicPr>
                  </pic:nvPicPr>
                  <pic:blipFill>
                    <a:blip r:embed="rId74"/>
                    <a:srcRect/>
                    <a:stretch>
                      <a:fillRect/>
                    </a:stretch>
                  </pic:blipFill>
                  <pic:spPr bwMode="auto">
                    <a:xfrm>
                      <a:off x="0" y="0"/>
                      <a:ext cx="5160645" cy="5947410"/>
                    </a:xfrm>
                    <a:prstGeom prst="rect">
                      <a:avLst/>
                    </a:prstGeom>
                    <a:noFill/>
                    <a:ln w="9525">
                      <a:noFill/>
                      <a:miter lim="800000"/>
                      <a:headEnd/>
                      <a:tailEnd/>
                    </a:ln>
                  </pic:spPr>
                </pic:pic>
              </a:graphicData>
            </a:graphic>
          </wp:anchor>
        </w:drawing>
      </w:r>
      <w:bookmarkStart w:id="374" w:name="_Toc262464294"/>
      <w:bookmarkStart w:id="375" w:name="_Toc271280146"/>
      <w:r w:rsidR="00485094" w:rsidRPr="00491133">
        <w:t xml:space="preserve">Figure </w:t>
      </w:r>
      <w:r w:rsidR="00485094">
        <w:t>6.1.  Statewide River Sample Locations by Basin</w:t>
      </w:r>
      <w:bookmarkEnd w:id="374"/>
      <w:bookmarkEnd w:id="375"/>
    </w:p>
    <w:p w:rsidR="00485094" w:rsidRDefault="00485094" w:rsidP="00692F31">
      <w:pPr>
        <w:pStyle w:val="Bodytext"/>
        <w:rPr>
          <w:b/>
          <w:i/>
        </w:rPr>
      </w:pPr>
    </w:p>
    <w:p w:rsidR="00485094" w:rsidRDefault="00485094" w:rsidP="00692F31">
      <w:pPr>
        <w:pStyle w:val="Bodytext"/>
        <w:rPr>
          <w:b/>
          <w:i/>
        </w:rPr>
      </w:pPr>
    </w:p>
    <w:p w:rsidR="00485094" w:rsidRDefault="00485094" w:rsidP="00692F31">
      <w:pPr>
        <w:pStyle w:val="Bodytext"/>
        <w:rPr>
          <w:b/>
          <w:i/>
        </w:rPr>
      </w:pPr>
    </w:p>
    <w:p w:rsidR="00485094" w:rsidRDefault="00485094" w:rsidP="00692F31">
      <w:pPr>
        <w:pStyle w:val="Bodytextreduced"/>
      </w:pPr>
    </w:p>
    <w:p w:rsidR="00485094" w:rsidRDefault="001717CD" w:rsidP="00692F31">
      <w:pPr>
        <w:pStyle w:val="Caption"/>
      </w:pPr>
      <w:r>
        <w:rPr>
          <w:noProof/>
        </w:rPr>
        <w:lastRenderedPageBreak/>
        <w:drawing>
          <wp:anchor distT="0" distB="0" distL="114300" distR="114300" simplePos="0" relativeHeight="251660800" behindDoc="0" locked="0" layoutInCell="1" allowOverlap="1">
            <wp:simplePos x="0" y="0"/>
            <wp:positionH relativeFrom="column">
              <wp:align>center</wp:align>
            </wp:positionH>
            <wp:positionV relativeFrom="paragraph">
              <wp:posOffset>193675</wp:posOffset>
            </wp:positionV>
            <wp:extent cx="5407025" cy="5947410"/>
            <wp:effectExtent l="19050" t="0" r="3175" b="0"/>
            <wp:wrapTopAndBottom/>
            <wp:docPr id="46" name="Picture 2" descr="Figure 6.2.  Statewide Summary of River Results.  This graphic shows statewide results in pie chart format for the river indicators.  The results follow in Table 6.3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2.  Statewide Summary of River Results"/>
                    <pic:cNvPicPr>
                      <a:picLocks noChangeAspect="1" noChangeArrowheads="1"/>
                    </pic:cNvPicPr>
                  </pic:nvPicPr>
                  <pic:blipFill>
                    <a:blip r:embed="rId75"/>
                    <a:srcRect/>
                    <a:stretch>
                      <a:fillRect/>
                    </a:stretch>
                  </pic:blipFill>
                  <pic:spPr bwMode="auto">
                    <a:xfrm>
                      <a:off x="0" y="0"/>
                      <a:ext cx="5407025" cy="5947410"/>
                    </a:xfrm>
                    <a:prstGeom prst="rect">
                      <a:avLst/>
                    </a:prstGeom>
                    <a:noFill/>
                    <a:ln w="9525">
                      <a:noFill/>
                      <a:miter lim="800000"/>
                      <a:headEnd/>
                      <a:tailEnd/>
                    </a:ln>
                  </pic:spPr>
                </pic:pic>
              </a:graphicData>
            </a:graphic>
          </wp:anchor>
        </w:drawing>
      </w:r>
      <w:bookmarkStart w:id="376" w:name="_Toc262464295"/>
      <w:bookmarkStart w:id="377" w:name="_Toc271280147"/>
      <w:r w:rsidR="00485094" w:rsidRPr="00491133">
        <w:t xml:space="preserve">Figure </w:t>
      </w:r>
      <w:r w:rsidR="00485094">
        <w:t>6.2.  Statewide Summary of River Results</w:t>
      </w:r>
      <w:bookmarkEnd w:id="376"/>
      <w:bookmarkEnd w:id="377"/>
    </w:p>
    <w:p w:rsidR="00485094" w:rsidRDefault="00485094" w:rsidP="00692F31">
      <w:pPr>
        <w:pStyle w:val="Bodytext"/>
        <w:rPr>
          <w:b/>
          <w:i/>
        </w:rPr>
      </w:pPr>
    </w:p>
    <w:p w:rsidR="00485094" w:rsidRDefault="00485094" w:rsidP="00692F31">
      <w:pPr>
        <w:pStyle w:val="Tableheading"/>
        <w:sectPr w:rsidR="00485094" w:rsidSect="002C06E9">
          <w:pgSz w:w="12240" w:h="15840" w:code="1"/>
          <w:pgMar w:top="1440" w:right="1440" w:bottom="1440" w:left="1440" w:header="720" w:footer="720" w:gutter="0"/>
          <w:paperSrc w:first="261"/>
          <w:cols w:space="720"/>
          <w:docGrid w:linePitch="360"/>
        </w:sectPr>
      </w:pPr>
    </w:p>
    <w:p w:rsidR="00485094" w:rsidRPr="00D53BE0" w:rsidRDefault="00BD6EFE" w:rsidP="00692F31">
      <w:pPr>
        <w:pStyle w:val="Bodytextreduced"/>
      </w:pPr>
      <w:bookmarkStart w:id="378" w:name="_Toc255482830"/>
      <w:r>
        <w:lastRenderedPageBreak/>
        <w:tab/>
      </w:r>
    </w:p>
    <w:p w:rsidR="00485094" w:rsidRDefault="00485094" w:rsidP="00692F31">
      <w:pPr>
        <w:pStyle w:val="Tableheading"/>
        <w:rPr>
          <w:bCs/>
          <w:szCs w:val="22"/>
        </w:rPr>
      </w:pPr>
      <w:bookmarkStart w:id="379" w:name="_Toc255807488"/>
      <w:bookmarkStart w:id="380" w:name="_Toc262464246"/>
      <w:bookmarkStart w:id="381" w:name="_Toc271889840"/>
      <w:r w:rsidRPr="00E92FF1">
        <w:t>Table 6.</w:t>
      </w:r>
      <w:r>
        <w:t>3</w:t>
      </w:r>
      <w:r w:rsidRPr="00E92FF1">
        <w:t>b.  Statewide Percentage of Rivers Meeting Threshold Values for Indicators Calculated Using Probabilistic Monitoring Design</w:t>
      </w:r>
      <w:bookmarkEnd w:id="378"/>
      <w:bookmarkEnd w:id="379"/>
      <w:bookmarkEnd w:id="380"/>
      <w:bookmarkEnd w:id="381"/>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Bodytextreduced"/>
      </w:pPr>
    </w:p>
    <w:p w:rsidR="00485094" w:rsidRDefault="00485094" w:rsidP="00692F31">
      <w:pPr>
        <w:pStyle w:val="Bodytextreduced"/>
        <w:rPr>
          <w:rFonts w:cs="Arial"/>
        </w:rPr>
      </w:pPr>
      <w:r w:rsidRPr="00D53BE0">
        <w:rPr>
          <w:rFonts w:cs="Arial"/>
          <w:vertAlign w:val="superscript"/>
        </w:rPr>
        <w:t xml:space="preserve">1 </w:t>
      </w:r>
      <w:r w:rsidRPr="00D53BE0">
        <w:rPr>
          <w:rFonts w:cs="Arial"/>
        </w:rPr>
        <w:t>Miles</w:t>
      </w:r>
    </w:p>
    <w:p w:rsidR="00485094" w:rsidRPr="00D53BE0" w:rsidRDefault="00485094" w:rsidP="00692F31">
      <w:pPr>
        <w:pStyle w:val="Bodytextreduced"/>
        <w:rPr>
          <w:rFonts w:cs="Arial"/>
        </w:rPr>
      </w:pPr>
      <w:r w:rsidRPr="00CC5085">
        <w:rPr>
          <w:rFonts w:cs="Arial"/>
          <w:vertAlign w:val="superscript"/>
        </w:rPr>
        <w:t xml:space="preserve">2 </w:t>
      </w:r>
      <w:r>
        <w:rPr>
          <w:rFonts w:cs="Arial"/>
        </w:rPr>
        <w:t>Estimated number of miles</w:t>
      </w:r>
    </w:p>
    <w:tbl>
      <w:tblPr>
        <w:tblW w:w="13703" w:type="dxa"/>
        <w:jc w:val="center"/>
        <w:tblBorders>
          <w:top w:val="single" w:sz="4" w:space="0" w:color="auto"/>
          <w:left w:val="single" w:sz="4" w:space="0" w:color="auto"/>
          <w:bottom w:val="single" w:sz="6" w:space="0" w:color="auto"/>
          <w:right w:val="single" w:sz="4"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AB1D07" w:rsidTr="000F2909">
        <w:trPr>
          <w:tblHeader/>
          <w:jc w:val="center"/>
        </w:trPr>
        <w:tc>
          <w:tcPr>
            <w:tcW w:w="2273"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Analyte</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Target Population</w:t>
            </w:r>
            <w:r w:rsidRPr="00AB1D07">
              <w:rPr>
                <w:b/>
                <w:i/>
                <w:szCs w:val="18"/>
                <w:vertAlign w:val="superscript"/>
              </w:rPr>
              <w:t>1</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Sampleable</w:t>
            </w:r>
            <w:r w:rsidRPr="00AB1D07">
              <w:rPr>
                <w:b/>
                <w:i/>
                <w:szCs w:val="18"/>
                <w:vertAlign w:val="superscript"/>
              </w:rPr>
              <w:t>2</w:t>
            </w:r>
          </w:p>
        </w:tc>
        <w:tc>
          <w:tcPr>
            <w:tcW w:w="81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Dry</w:t>
            </w:r>
            <w:r w:rsidRPr="00AB1D07">
              <w:rPr>
                <w:b/>
                <w:i/>
                <w:szCs w:val="18"/>
                <w:vertAlign w:val="superscript"/>
              </w:rPr>
              <w:t>2</w:t>
            </w:r>
          </w:p>
        </w:tc>
        <w:tc>
          <w:tcPr>
            <w:tcW w:w="144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Inaccessible</w:t>
            </w:r>
            <w:r w:rsidRPr="00AB1D07">
              <w:rPr>
                <w:b/>
                <w:i/>
                <w:szCs w:val="18"/>
                <w:vertAlign w:val="superscript"/>
              </w:rPr>
              <w:t>2</w:t>
            </w:r>
          </w:p>
        </w:tc>
        <w:tc>
          <w:tcPr>
            <w:tcW w:w="1159"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Number of Samples</w:t>
            </w:r>
          </w:p>
        </w:tc>
        <w:tc>
          <w:tcPr>
            <w:tcW w:w="1181"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Meeting Threshold</w:t>
            </w:r>
          </w:p>
        </w:tc>
        <w:tc>
          <w:tcPr>
            <w:tcW w:w="1609"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xml:space="preserve">95% </w:t>
            </w:r>
          </w:p>
          <w:p w:rsidR="00485094" w:rsidRPr="00AB1D07" w:rsidRDefault="00485094" w:rsidP="00453E80">
            <w:pPr>
              <w:pStyle w:val="TableText"/>
              <w:jc w:val="center"/>
              <w:rPr>
                <w:b/>
                <w:i/>
                <w:szCs w:val="18"/>
              </w:rPr>
            </w:pPr>
            <w:r w:rsidRPr="00AB1D07">
              <w:rPr>
                <w:b/>
                <w:i/>
                <w:szCs w:val="18"/>
              </w:rPr>
              <w:t>Confidence Bounds</w:t>
            </w:r>
          </w:p>
          <w:p w:rsidR="00485094" w:rsidRPr="00AB1D07" w:rsidRDefault="00485094" w:rsidP="00453E80">
            <w:pPr>
              <w:pStyle w:val="TableText"/>
              <w:jc w:val="center"/>
              <w:rPr>
                <w:b/>
                <w:i/>
                <w:szCs w:val="18"/>
              </w:rPr>
            </w:pPr>
            <w:r w:rsidRPr="00AB1D07">
              <w:rPr>
                <w:b/>
                <w:i/>
                <w:szCs w:val="18"/>
              </w:rPr>
              <w:t>(% Meeting Threshold)</w:t>
            </w:r>
          </w:p>
        </w:tc>
        <w:tc>
          <w:tcPr>
            <w:tcW w:w="1181"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 Not Meeting Threshold</w:t>
            </w:r>
          </w:p>
        </w:tc>
        <w:tc>
          <w:tcPr>
            <w:tcW w:w="1350" w:type="dxa"/>
            <w:tcBorders>
              <w:top w:val="single" w:sz="4" w:space="0" w:color="auto"/>
              <w:bottom w:val="double" w:sz="4" w:space="0" w:color="auto"/>
            </w:tcBorders>
            <w:shd w:val="clear" w:color="auto" w:fill="BDFFFF"/>
            <w:vAlign w:val="bottom"/>
          </w:tcPr>
          <w:p w:rsidR="00485094" w:rsidRPr="00AB1D07" w:rsidRDefault="00485094" w:rsidP="00453E80">
            <w:pPr>
              <w:pStyle w:val="TableText"/>
              <w:jc w:val="center"/>
              <w:rPr>
                <w:b/>
                <w:i/>
                <w:szCs w:val="18"/>
              </w:rPr>
            </w:pPr>
            <w:r w:rsidRPr="00AB1D07">
              <w:rPr>
                <w:b/>
                <w:i/>
                <w:szCs w:val="18"/>
              </w:rPr>
              <w:t>Assessment Period</w:t>
            </w:r>
          </w:p>
        </w:tc>
      </w:tr>
      <w:tr w:rsidR="00485094" w:rsidRPr="00AB1D07" w:rsidTr="00453E80">
        <w:trPr>
          <w:cantSplit/>
          <w:trHeight w:val="288"/>
          <w:jc w:val="center"/>
        </w:trPr>
        <w:tc>
          <w:tcPr>
            <w:tcW w:w="2273" w:type="dxa"/>
            <w:tcBorders>
              <w:top w:val="double" w:sz="4" w:space="0" w:color="auto"/>
            </w:tcBorders>
            <w:vAlign w:val="center"/>
          </w:tcPr>
          <w:p w:rsidR="00485094" w:rsidRPr="00F30218" w:rsidRDefault="00485094" w:rsidP="00453E80">
            <w:pPr>
              <w:pStyle w:val="TableText"/>
              <w:jc w:val="center"/>
              <w:rPr>
                <w:i/>
                <w:szCs w:val="18"/>
              </w:rPr>
            </w:pPr>
            <w:r w:rsidRPr="00F30218">
              <w:rPr>
                <w:szCs w:val="18"/>
              </w:rPr>
              <w:t xml:space="preserve">Chlorophyll </w:t>
            </w:r>
            <w:r w:rsidRPr="00F30218">
              <w:rPr>
                <w:i/>
                <w:szCs w:val="18"/>
              </w:rPr>
              <w:t>a</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3,282</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2,664</w:t>
            </w:r>
          </w:p>
        </w:tc>
        <w:tc>
          <w:tcPr>
            <w:tcW w:w="81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84</w:t>
            </w:r>
          </w:p>
        </w:tc>
        <w:tc>
          <w:tcPr>
            <w:tcW w:w="144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534</w:t>
            </w:r>
          </w:p>
        </w:tc>
        <w:tc>
          <w:tcPr>
            <w:tcW w:w="1159"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740</w:t>
            </w:r>
          </w:p>
        </w:tc>
        <w:tc>
          <w:tcPr>
            <w:tcW w:w="1181"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85.6</w:t>
            </w:r>
          </w:p>
        </w:tc>
        <w:tc>
          <w:tcPr>
            <w:tcW w:w="1609"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83.6-87.5</w:t>
            </w:r>
          </w:p>
        </w:tc>
        <w:tc>
          <w:tcPr>
            <w:tcW w:w="1181"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14.4</w:t>
            </w:r>
          </w:p>
        </w:tc>
        <w:tc>
          <w:tcPr>
            <w:tcW w:w="1350" w:type="dxa"/>
            <w:tcBorders>
              <w:top w:val="double" w:sz="4" w:space="0" w:color="auto"/>
            </w:tcBorders>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shd w:val="clear" w:color="auto" w:fill="FFFFCC"/>
            <w:vAlign w:val="center"/>
          </w:tcPr>
          <w:p w:rsidR="00485094" w:rsidRPr="00F30218" w:rsidRDefault="00485094" w:rsidP="00453E80">
            <w:pPr>
              <w:pStyle w:val="TableText"/>
              <w:jc w:val="center"/>
              <w:rPr>
                <w:szCs w:val="18"/>
              </w:rPr>
            </w:pPr>
            <w:r w:rsidRPr="00F30218">
              <w:rPr>
                <w:szCs w:val="18"/>
              </w:rPr>
              <w:t>Un-ionized Ammonia</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3,282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2,664</w:t>
            </w:r>
          </w:p>
        </w:tc>
        <w:tc>
          <w:tcPr>
            <w:tcW w:w="810" w:type="dxa"/>
            <w:shd w:val="clear" w:color="auto" w:fill="FFFFCC"/>
            <w:vAlign w:val="center"/>
          </w:tcPr>
          <w:p w:rsidR="00485094" w:rsidRPr="00AB1D07" w:rsidRDefault="00485094" w:rsidP="00453E80">
            <w:pPr>
              <w:pStyle w:val="TableText"/>
              <w:jc w:val="center"/>
              <w:rPr>
                <w:szCs w:val="18"/>
              </w:rPr>
            </w:pPr>
            <w:r w:rsidRPr="00AB1D07">
              <w:rPr>
                <w:szCs w:val="18"/>
              </w:rPr>
              <w:t>84</w:t>
            </w:r>
          </w:p>
        </w:tc>
        <w:tc>
          <w:tcPr>
            <w:tcW w:w="1440" w:type="dxa"/>
            <w:shd w:val="clear" w:color="auto" w:fill="FFFFCC"/>
            <w:vAlign w:val="center"/>
          </w:tcPr>
          <w:p w:rsidR="00485094" w:rsidRPr="00AB1D07" w:rsidRDefault="00485094" w:rsidP="00453E80">
            <w:pPr>
              <w:pStyle w:val="TableText"/>
              <w:jc w:val="center"/>
              <w:rPr>
                <w:szCs w:val="18"/>
              </w:rPr>
            </w:pPr>
            <w:r w:rsidRPr="00AB1D07">
              <w:rPr>
                <w:szCs w:val="18"/>
              </w:rPr>
              <w:t>534</w:t>
            </w:r>
          </w:p>
        </w:tc>
        <w:tc>
          <w:tcPr>
            <w:tcW w:w="1159" w:type="dxa"/>
            <w:shd w:val="clear" w:color="auto" w:fill="FFFFCC"/>
            <w:vAlign w:val="center"/>
          </w:tcPr>
          <w:p w:rsidR="00485094" w:rsidRPr="00AB1D07" w:rsidRDefault="00485094" w:rsidP="00453E80">
            <w:pPr>
              <w:pStyle w:val="TableText"/>
              <w:jc w:val="center"/>
              <w:rPr>
                <w:szCs w:val="18"/>
              </w:rPr>
            </w:pPr>
            <w:r w:rsidRPr="00AB1D07">
              <w:rPr>
                <w:szCs w:val="18"/>
              </w:rPr>
              <w:t>746</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99.4</w:t>
            </w:r>
          </w:p>
        </w:tc>
        <w:tc>
          <w:tcPr>
            <w:tcW w:w="1609" w:type="dxa"/>
            <w:shd w:val="clear" w:color="auto" w:fill="FFFFCC"/>
            <w:vAlign w:val="center"/>
          </w:tcPr>
          <w:p w:rsidR="00485094" w:rsidRPr="00AB1D07" w:rsidRDefault="00485094" w:rsidP="00453E80">
            <w:pPr>
              <w:pStyle w:val="TableText"/>
              <w:jc w:val="center"/>
              <w:rPr>
                <w:szCs w:val="18"/>
              </w:rPr>
            </w:pPr>
            <w:r w:rsidRPr="00AB1D07">
              <w:rPr>
                <w:szCs w:val="18"/>
              </w:rPr>
              <w:t>99.1–99.8</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0.6</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vAlign w:val="center"/>
          </w:tcPr>
          <w:p w:rsidR="00485094" w:rsidRPr="00F30218" w:rsidRDefault="00485094" w:rsidP="00453E80">
            <w:pPr>
              <w:pStyle w:val="TableText"/>
              <w:jc w:val="center"/>
              <w:rPr>
                <w:szCs w:val="18"/>
              </w:rPr>
            </w:pPr>
            <w:r w:rsidRPr="00F30218">
              <w:rPr>
                <w:szCs w:val="18"/>
              </w:rPr>
              <w:t>Fecal Coliform</w:t>
            </w:r>
          </w:p>
        </w:tc>
        <w:tc>
          <w:tcPr>
            <w:tcW w:w="1350" w:type="dxa"/>
            <w:vAlign w:val="center"/>
          </w:tcPr>
          <w:p w:rsidR="00485094" w:rsidRPr="00AB1D07" w:rsidRDefault="00485094" w:rsidP="00453E80">
            <w:pPr>
              <w:pStyle w:val="TableText"/>
              <w:jc w:val="center"/>
              <w:rPr>
                <w:szCs w:val="18"/>
              </w:rPr>
            </w:pPr>
            <w:r w:rsidRPr="00AB1D07">
              <w:rPr>
                <w:szCs w:val="18"/>
              </w:rPr>
              <w:t>3,282</w:t>
            </w:r>
          </w:p>
        </w:tc>
        <w:tc>
          <w:tcPr>
            <w:tcW w:w="1350" w:type="dxa"/>
            <w:vAlign w:val="center"/>
          </w:tcPr>
          <w:p w:rsidR="00485094" w:rsidRPr="00AB1D07" w:rsidRDefault="00485094" w:rsidP="00453E80">
            <w:pPr>
              <w:pStyle w:val="TableText"/>
              <w:jc w:val="center"/>
              <w:rPr>
                <w:szCs w:val="18"/>
              </w:rPr>
            </w:pPr>
            <w:r w:rsidRPr="00AB1D07">
              <w:rPr>
                <w:szCs w:val="18"/>
              </w:rPr>
              <w:t>2,664</w:t>
            </w:r>
          </w:p>
        </w:tc>
        <w:tc>
          <w:tcPr>
            <w:tcW w:w="810" w:type="dxa"/>
            <w:vAlign w:val="center"/>
          </w:tcPr>
          <w:p w:rsidR="00485094" w:rsidRPr="00AB1D07" w:rsidRDefault="00485094" w:rsidP="00453E80">
            <w:pPr>
              <w:pStyle w:val="TableText"/>
              <w:jc w:val="center"/>
              <w:rPr>
                <w:szCs w:val="18"/>
              </w:rPr>
            </w:pPr>
            <w:r w:rsidRPr="00AB1D07">
              <w:rPr>
                <w:szCs w:val="18"/>
              </w:rPr>
              <w:t>84</w:t>
            </w:r>
          </w:p>
        </w:tc>
        <w:tc>
          <w:tcPr>
            <w:tcW w:w="1440" w:type="dxa"/>
            <w:vAlign w:val="center"/>
          </w:tcPr>
          <w:p w:rsidR="00485094" w:rsidRPr="00AB1D07" w:rsidRDefault="00485094" w:rsidP="00453E80">
            <w:pPr>
              <w:pStyle w:val="TableText"/>
              <w:jc w:val="center"/>
              <w:rPr>
                <w:szCs w:val="18"/>
              </w:rPr>
            </w:pPr>
            <w:r w:rsidRPr="00AB1D07">
              <w:rPr>
                <w:szCs w:val="18"/>
              </w:rPr>
              <w:t>534</w:t>
            </w:r>
          </w:p>
        </w:tc>
        <w:tc>
          <w:tcPr>
            <w:tcW w:w="1159" w:type="dxa"/>
            <w:vAlign w:val="center"/>
          </w:tcPr>
          <w:p w:rsidR="00485094" w:rsidRPr="00AB1D07" w:rsidRDefault="00485094" w:rsidP="00453E80">
            <w:pPr>
              <w:pStyle w:val="TableText"/>
              <w:jc w:val="center"/>
              <w:rPr>
                <w:szCs w:val="18"/>
              </w:rPr>
            </w:pPr>
            <w:r w:rsidRPr="00AB1D07">
              <w:rPr>
                <w:szCs w:val="18"/>
              </w:rPr>
              <w:t>686</w:t>
            </w:r>
          </w:p>
        </w:tc>
        <w:tc>
          <w:tcPr>
            <w:tcW w:w="1181" w:type="dxa"/>
            <w:vAlign w:val="center"/>
          </w:tcPr>
          <w:p w:rsidR="00485094" w:rsidRPr="00AB1D07" w:rsidRDefault="00485094" w:rsidP="00453E80">
            <w:pPr>
              <w:pStyle w:val="TableText"/>
              <w:jc w:val="center"/>
              <w:rPr>
                <w:szCs w:val="18"/>
              </w:rPr>
            </w:pPr>
            <w:r w:rsidRPr="00AB1D07">
              <w:rPr>
                <w:szCs w:val="18"/>
              </w:rPr>
              <w:t>89.2</w:t>
            </w:r>
          </w:p>
        </w:tc>
        <w:tc>
          <w:tcPr>
            <w:tcW w:w="1609" w:type="dxa"/>
            <w:vAlign w:val="center"/>
          </w:tcPr>
          <w:p w:rsidR="00485094" w:rsidRPr="00AB1D07" w:rsidRDefault="00485094" w:rsidP="00453E80">
            <w:pPr>
              <w:pStyle w:val="TableText"/>
              <w:jc w:val="center"/>
              <w:rPr>
                <w:szCs w:val="18"/>
              </w:rPr>
            </w:pPr>
            <w:r w:rsidRPr="00AB1D07">
              <w:rPr>
                <w:szCs w:val="18"/>
              </w:rPr>
              <w:t>87.5-90.8</w:t>
            </w:r>
          </w:p>
        </w:tc>
        <w:tc>
          <w:tcPr>
            <w:tcW w:w="1181" w:type="dxa"/>
            <w:vAlign w:val="center"/>
          </w:tcPr>
          <w:p w:rsidR="00485094" w:rsidRPr="00AB1D07" w:rsidRDefault="00485094" w:rsidP="00453E80">
            <w:pPr>
              <w:pStyle w:val="TableText"/>
              <w:jc w:val="center"/>
              <w:rPr>
                <w:szCs w:val="18"/>
              </w:rPr>
            </w:pPr>
            <w:r w:rsidRPr="00AB1D07">
              <w:rPr>
                <w:szCs w:val="18"/>
              </w:rPr>
              <w:t>10.8</w:t>
            </w:r>
          </w:p>
        </w:tc>
        <w:tc>
          <w:tcPr>
            <w:tcW w:w="1350" w:type="dxa"/>
            <w:vAlign w:val="center"/>
          </w:tcPr>
          <w:p w:rsidR="00485094" w:rsidRPr="00AB1D07" w:rsidRDefault="00485094" w:rsidP="00453E80">
            <w:pPr>
              <w:pStyle w:val="TableText"/>
              <w:jc w:val="center"/>
              <w:rPr>
                <w:szCs w:val="18"/>
              </w:rPr>
            </w:pPr>
            <w:r w:rsidRPr="00AB1D07">
              <w:rPr>
                <w:szCs w:val="18"/>
              </w:rPr>
              <w:t>2004-08</w:t>
            </w:r>
          </w:p>
        </w:tc>
      </w:tr>
      <w:tr w:rsidR="00485094" w:rsidRPr="00AB1D07" w:rsidTr="00453E80">
        <w:trPr>
          <w:cantSplit/>
          <w:trHeight w:val="288"/>
          <w:jc w:val="center"/>
        </w:trPr>
        <w:tc>
          <w:tcPr>
            <w:tcW w:w="2273" w:type="dxa"/>
            <w:shd w:val="clear" w:color="auto" w:fill="FFFFCC"/>
            <w:vAlign w:val="center"/>
          </w:tcPr>
          <w:p w:rsidR="00485094" w:rsidRPr="00F30218" w:rsidRDefault="00485094" w:rsidP="00453E80">
            <w:pPr>
              <w:pStyle w:val="TableText"/>
              <w:jc w:val="center"/>
              <w:rPr>
                <w:szCs w:val="18"/>
              </w:rPr>
            </w:pPr>
            <w:r>
              <w:rPr>
                <w:szCs w:val="18"/>
              </w:rPr>
              <w:t>DO</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3,282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2,664</w:t>
            </w:r>
          </w:p>
        </w:tc>
        <w:tc>
          <w:tcPr>
            <w:tcW w:w="810" w:type="dxa"/>
            <w:shd w:val="clear" w:color="auto" w:fill="FFFFCC"/>
            <w:vAlign w:val="center"/>
          </w:tcPr>
          <w:p w:rsidR="00485094" w:rsidRPr="00AB1D07" w:rsidRDefault="00485094" w:rsidP="00453E80">
            <w:pPr>
              <w:pStyle w:val="TableText"/>
              <w:jc w:val="center"/>
              <w:rPr>
                <w:szCs w:val="18"/>
              </w:rPr>
            </w:pPr>
            <w:r w:rsidRPr="00AB1D07">
              <w:rPr>
                <w:szCs w:val="18"/>
              </w:rPr>
              <w:t>84</w:t>
            </w:r>
          </w:p>
        </w:tc>
        <w:tc>
          <w:tcPr>
            <w:tcW w:w="1440" w:type="dxa"/>
            <w:shd w:val="clear" w:color="auto" w:fill="FFFFCC"/>
            <w:vAlign w:val="center"/>
          </w:tcPr>
          <w:p w:rsidR="00485094" w:rsidRPr="00AB1D07" w:rsidRDefault="00485094" w:rsidP="00453E80">
            <w:pPr>
              <w:pStyle w:val="TableText"/>
              <w:jc w:val="center"/>
              <w:rPr>
                <w:szCs w:val="18"/>
              </w:rPr>
            </w:pPr>
            <w:r w:rsidRPr="00AB1D07">
              <w:rPr>
                <w:szCs w:val="18"/>
              </w:rPr>
              <w:t>534</w:t>
            </w:r>
          </w:p>
        </w:tc>
        <w:tc>
          <w:tcPr>
            <w:tcW w:w="1159" w:type="dxa"/>
            <w:shd w:val="clear" w:color="auto" w:fill="FFFFCC"/>
            <w:vAlign w:val="center"/>
          </w:tcPr>
          <w:p w:rsidR="00485094" w:rsidRPr="00AB1D07" w:rsidRDefault="00485094" w:rsidP="00453E80">
            <w:pPr>
              <w:pStyle w:val="TableText"/>
              <w:jc w:val="center"/>
              <w:rPr>
                <w:szCs w:val="18"/>
              </w:rPr>
            </w:pPr>
            <w:r w:rsidRPr="00AB1D07">
              <w:rPr>
                <w:szCs w:val="18"/>
              </w:rPr>
              <w:t>744</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71.8</w:t>
            </w:r>
          </w:p>
        </w:tc>
        <w:tc>
          <w:tcPr>
            <w:tcW w:w="1609" w:type="dxa"/>
            <w:shd w:val="clear" w:color="auto" w:fill="FFFFCC"/>
            <w:vAlign w:val="center"/>
          </w:tcPr>
          <w:p w:rsidR="00485094" w:rsidRPr="00AB1D07" w:rsidRDefault="00485094" w:rsidP="00453E80">
            <w:pPr>
              <w:pStyle w:val="TableText"/>
              <w:jc w:val="center"/>
              <w:rPr>
                <w:szCs w:val="18"/>
              </w:rPr>
            </w:pPr>
            <w:r w:rsidRPr="00AB1D07">
              <w:rPr>
                <w:szCs w:val="18"/>
              </w:rPr>
              <w:t>69.1-74.5</w:t>
            </w:r>
          </w:p>
        </w:tc>
        <w:tc>
          <w:tcPr>
            <w:tcW w:w="1181" w:type="dxa"/>
            <w:shd w:val="clear" w:color="auto" w:fill="FFFFCC"/>
            <w:vAlign w:val="center"/>
          </w:tcPr>
          <w:p w:rsidR="00485094" w:rsidRPr="00AB1D07" w:rsidRDefault="00485094" w:rsidP="00453E80">
            <w:pPr>
              <w:pStyle w:val="TableText"/>
              <w:jc w:val="center"/>
              <w:rPr>
                <w:szCs w:val="18"/>
              </w:rPr>
            </w:pPr>
            <w:r w:rsidRPr="00AB1D07">
              <w:rPr>
                <w:szCs w:val="18"/>
              </w:rPr>
              <w:t>28.2</w:t>
            </w:r>
          </w:p>
        </w:tc>
        <w:tc>
          <w:tcPr>
            <w:tcW w:w="1350" w:type="dxa"/>
            <w:shd w:val="clear" w:color="auto" w:fill="FFFFCC"/>
            <w:vAlign w:val="center"/>
          </w:tcPr>
          <w:p w:rsidR="00485094" w:rsidRPr="00AB1D07" w:rsidRDefault="00485094" w:rsidP="00453E80">
            <w:pPr>
              <w:pStyle w:val="TableText"/>
              <w:jc w:val="center"/>
              <w:rPr>
                <w:szCs w:val="18"/>
              </w:rPr>
            </w:pPr>
            <w:r w:rsidRPr="00AB1D07">
              <w:rPr>
                <w:szCs w:val="18"/>
              </w:rPr>
              <w:t>2004-08</w:t>
            </w:r>
          </w:p>
        </w:tc>
      </w:tr>
    </w:tbl>
    <w:p w:rsidR="00485094" w:rsidRDefault="00485094" w:rsidP="00692F31">
      <w:pPr>
        <w:pStyle w:val="Bodytextreduced"/>
      </w:pPr>
    </w:p>
    <w:p w:rsidR="00485094" w:rsidRDefault="00485094" w:rsidP="00692F31">
      <w:pPr>
        <w:pStyle w:val="Bodytext"/>
        <w:rPr>
          <w:rFonts w:cs="Arial"/>
          <w:b/>
          <w:szCs w:val="24"/>
        </w:rPr>
      </w:pPr>
      <w:r>
        <w:rPr>
          <w:rFonts w:cs="Arial"/>
          <w:b/>
          <w:szCs w:val="24"/>
        </w:rPr>
        <w:t>Highlights:  Rivers</w:t>
      </w:r>
    </w:p>
    <w:p w:rsidR="00485094" w:rsidRDefault="00485094" w:rsidP="00692F31">
      <w:pPr>
        <w:pStyle w:val="ListBullet"/>
        <w:rPr>
          <w:b/>
        </w:rPr>
      </w:pPr>
      <w:r>
        <w:t>N</w:t>
      </w:r>
      <w:r w:rsidRPr="00000364">
        <w:t xml:space="preserve">o river resources in the Tampa Bay, Charlotte Harbor, Everglades, Florida Keys, and Indian River Lagoon </w:t>
      </w:r>
      <w:r>
        <w:t>B</w:t>
      </w:r>
      <w:r w:rsidRPr="00000364">
        <w:t>asins fit the defin</w:t>
      </w:r>
      <w:r>
        <w:t>ition of the target population.</w:t>
      </w:r>
    </w:p>
    <w:p w:rsidR="00485094" w:rsidRDefault="00485094" w:rsidP="00692F31">
      <w:pPr>
        <w:pStyle w:val="ListBullet"/>
      </w:pPr>
      <w:r w:rsidRPr="00000364">
        <w:t>Statewide</w:t>
      </w:r>
      <w:r>
        <w:t>,</w:t>
      </w:r>
      <w:r w:rsidRPr="00000364">
        <w:t xml:space="preserve"> 85.6% of </w:t>
      </w:r>
      <w:r>
        <w:t>the</w:t>
      </w:r>
      <w:r w:rsidRPr="00000364">
        <w:t xml:space="preserve"> target population’s river </w:t>
      </w:r>
      <w:r>
        <w:t xml:space="preserve">miles were below the chlorophyll a indicator (&lt; 20 </w:t>
      </w:r>
      <w:r w:rsidR="003D799D">
        <w:rPr>
          <w:rFonts w:ascii="Symbol" w:hAnsi="Symbol"/>
        </w:rPr>
        <w:t></w:t>
      </w:r>
      <w:r>
        <w:t>g/L) criteria</w:t>
      </w:r>
      <w:r w:rsidRPr="00000364">
        <w:t xml:space="preserve">.  The threshold for chlorophyll </w:t>
      </w:r>
      <w:r>
        <w:t xml:space="preserve">a </w:t>
      </w:r>
      <w:r w:rsidRPr="00000364">
        <w:t xml:space="preserve">was met for 80%, or greater, of each basin’s river mileage for all but </w:t>
      </w:r>
      <w:r>
        <w:t>5</w:t>
      </w:r>
      <w:r w:rsidRPr="00000364">
        <w:t xml:space="preserve"> basins.  </w:t>
      </w:r>
      <w:r>
        <w:t xml:space="preserve">The </w:t>
      </w:r>
      <w:r w:rsidRPr="00000364">
        <w:t xml:space="preserve">Lake Okeechobee </w:t>
      </w:r>
      <w:r>
        <w:t>Basin had the lowest percentage of meeting the threshold;</w:t>
      </w:r>
      <w:r w:rsidRPr="00000364">
        <w:t xml:space="preserve"> this may be attribut</w:t>
      </w:r>
      <w:r>
        <w:t>able</w:t>
      </w:r>
      <w:r w:rsidRPr="00000364">
        <w:t xml:space="preserve"> to the fact that the vast majori</w:t>
      </w:r>
      <w:r>
        <w:t>ty of river miles were canals.</w:t>
      </w:r>
    </w:p>
    <w:p w:rsidR="00485094" w:rsidRPr="00000364" w:rsidRDefault="00485094" w:rsidP="00692F31">
      <w:pPr>
        <w:pStyle w:val="ListBullet"/>
      </w:pPr>
      <w:r w:rsidRPr="00000364">
        <w:t>Statewide</w:t>
      </w:r>
      <w:r>
        <w:t>,</w:t>
      </w:r>
      <w:r w:rsidRPr="00000364">
        <w:t xml:space="preserve"> </w:t>
      </w:r>
      <w:r>
        <w:t>99.4</w:t>
      </w:r>
      <w:r w:rsidRPr="00000364">
        <w:t xml:space="preserve">% of </w:t>
      </w:r>
      <w:r>
        <w:t>the</w:t>
      </w:r>
      <w:r w:rsidRPr="00000364">
        <w:t xml:space="preserve"> target population’s river mile</w:t>
      </w:r>
      <w:r>
        <w:t>s were below the un-ionized ammonia (</w:t>
      </w:r>
      <w:r w:rsidRPr="003B37D3">
        <w:rPr>
          <w:rFonts w:cs="Arial"/>
        </w:rPr>
        <w:t>≤ 0.02 mg/L</w:t>
      </w:r>
      <w:r>
        <w:rPr>
          <w:rFonts w:cs="Arial"/>
        </w:rPr>
        <w:t xml:space="preserve">) </w:t>
      </w:r>
      <w:r>
        <w:t>criteria</w:t>
      </w:r>
      <w:r w:rsidRPr="00000364">
        <w:t xml:space="preserve">.  The threshold </w:t>
      </w:r>
      <w:r>
        <w:t xml:space="preserve">for un-ionized ammonia </w:t>
      </w:r>
      <w:r w:rsidRPr="00000364">
        <w:t xml:space="preserve">was met for </w:t>
      </w:r>
      <w:r>
        <w:t>95</w:t>
      </w:r>
      <w:r w:rsidRPr="00000364">
        <w:t xml:space="preserve">%, or greater, of </w:t>
      </w:r>
      <w:r>
        <w:t xml:space="preserve">all of the </w:t>
      </w:r>
      <w:r w:rsidRPr="00000364">
        <w:t>basins</w:t>
      </w:r>
      <w:r>
        <w:t xml:space="preserve">’ </w:t>
      </w:r>
      <w:r w:rsidRPr="00000364">
        <w:t xml:space="preserve">river mileage.  </w:t>
      </w:r>
    </w:p>
    <w:p w:rsidR="00485094" w:rsidRDefault="00485094" w:rsidP="00692F31">
      <w:pPr>
        <w:pStyle w:val="ListBullet"/>
      </w:pPr>
      <w:r w:rsidRPr="00000364">
        <w:t>Statewide</w:t>
      </w:r>
      <w:r>
        <w:t>,</w:t>
      </w:r>
      <w:r w:rsidRPr="00000364">
        <w:t xml:space="preserve"> 89.2% of </w:t>
      </w:r>
      <w:r>
        <w:t>the</w:t>
      </w:r>
      <w:r w:rsidRPr="00000364">
        <w:t xml:space="preserve"> target population’s river mile</w:t>
      </w:r>
      <w:r>
        <w:t>s were below the fecal coliform (</w:t>
      </w:r>
      <w:r w:rsidRPr="003B37D3">
        <w:rPr>
          <w:rFonts w:cs="Arial"/>
        </w:rPr>
        <w:t>&lt; 400 colonies/100mL</w:t>
      </w:r>
      <w:r>
        <w:rPr>
          <w:rFonts w:cs="Arial"/>
        </w:rPr>
        <w:t xml:space="preserve">) </w:t>
      </w:r>
      <w:r>
        <w:t>criteria</w:t>
      </w:r>
      <w:r w:rsidRPr="00000364">
        <w:t xml:space="preserve">.  The threshold for fecal coliform was met for 80%, or greater, of each basin’s river mileage for all but </w:t>
      </w:r>
      <w:r>
        <w:t>3</w:t>
      </w:r>
      <w:r w:rsidRPr="00000364">
        <w:t xml:space="preserve"> basins</w:t>
      </w:r>
      <w:r>
        <w:t xml:space="preserve">:  </w:t>
      </w:r>
      <w:r w:rsidRPr="00000364">
        <w:t>Middle St. Johns (50.0%), Southeast Coast</w:t>
      </w:r>
      <w:r>
        <w:t>–</w:t>
      </w:r>
      <w:r w:rsidRPr="00000364">
        <w:t>Biscayne Bay</w:t>
      </w:r>
      <w:r>
        <w:t xml:space="preserve"> (71.4%), and Springs Coast (73.3%).  </w:t>
      </w:r>
    </w:p>
    <w:p w:rsidR="00485094" w:rsidRDefault="00485094" w:rsidP="00692F31">
      <w:pPr>
        <w:pStyle w:val="ListBullet"/>
      </w:pPr>
      <w:r w:rsidRPr="00000364">
        <w:t>Statewide</w:t>
      </w:r>
      <w:r>
        <w:t xml:space="preserve">, </w:t>
      </w:r>
      <w:r w:rsidRPr="00000364">
        <w:t xml:space="preserve">71.8% of </w:t>
      </w:r>
      <w:r>
        <w:t>the</w:t>
      </w:r>
      <w:r w:rsidRPr="00000364">
        <w:t xml:space="preserve"> target population’s river mile</w:t>
      </w:r>
      <w:r>
        <w:t>s were above the DO (</w:t>
      </w:r>
      <w:r w:rsidRPr="003B37D3">
        <w:rPr>
          <w:rFonts w:cs="Arial"/>
          <w:lang w:val="fr-FR"/>
        </w:rPr>
        <w:t>≥ 5 mg/L</w:t>
      </w:r>
      <w:r>
        <w:rPr>
          <w:rFonts w:cs="Arial"/>
          <w:lang w:val="fr-FR"/>
        </w:rPr>
        <w:t xml:space="preserve">) </w:t>
      </w:r>
      <w:r>
        <w:t>criteria</w:t>
      </w:r>
      <w:r w:rsidRPr="00000364">
        <w:t xml:space="preserve">.  </w:t>
      </w:r>
      <w:r>
        <w:t>O</w:t>
      </w:r>
      <w:r w:rsidRPr="00000364">
        <w:t xml:space="preserve">nly </w:t>
      </w:r>
      <w:r>
        <w:t>8</w:t>
      </w:r>
      <w:r w:rsidRPr="00000364">
        <w:t xml:space="preserve"> </w:t>
      </w:r>
      <w:r>
        <w:t xml:space="preserve">of the 24 </w:t>
      </w:r>
      <w:r w:rsidRPr="00000364">
        <w:t xml:space="preserve">basins </w:t>
      </w:r>
      <w:r>
        <w:t>met th</w:t>
      </w:r>
      <w:r w:rsidRPr="00000364">
        <w:t xml:space="preserve">e DO </w:t>
      </w:r>
      <w:r>
        <w:t xml:space="preserve">threshold for </w:t>
      </w:r>
      <w:r w:rsidRPr="00000364">
        <w:t>8</w:t>
      </w:r>
      <w:r>
        <w:t xml:space="preserve">0% of their river resource.  Input of color and organic carbon from wetlands, stream geomorphology, respiration, and decomposition are factors that lower DO.   </w:t>
      </w:r>
    </w:p>
    <w:p w:rsidR="00485094" w:rsidRDefault="00485094" w:rsidP="00692F31">
      <w:pPr>
        <w:pStyle w:val="Bodytext"/>
        <w:rPr>
          <w:rFonts w:cs="Arial"/>
          <w:b/>
          <w:i/>
          <w:sz w:val="20"/>
        </w:rPr>
      </w:pPr>
    </w:p>
    <w:p w:rsidR="00485094" w:rsidRDefault="00485094" w:rsidP="00692F31">
      <w:pPr>
        <w:pStyle w:val="Bodytext"/>
        <w:rPr>
          <w:rFonts w:cs="Arial"/>
          <w:b/>
          <w:i/>
          <w:sz w:val="20"/>
        </w:rPr>
        <w:sectPr w:rsidR="00485094" w:rsidSect="003B37D3">
          <w:pgSz w:w="15840" w:h="12240" w:orient="landscape" w:code="1"/>
          <w:pgMar w:top="1440" w:right="1440" w:bottom="1440" w:left="1440" w:header="720" w:footer="720" w:gutter="0"/>
          <w:paperSrc w:first="261"/>
          <w:cols w:space="720"/>
          <w:docGrid w:linePitch="360"/>
        </w:sectPr>
      </w:pPr>
    </w:p>
    <w:p w:rsidR="00485094" w:rsidRDefault="001717CD" w:rsidP="00692F31">
      <w:pPr>
        <w:pStyle w:val="Caption"/>
      </w:pPr>
      <w:r>
        <w:rPr>
          <w:noProof/>
        </w:rPr>
        <w:lastRenderedPageBreak/>
        <w:drawing>
          <wp:anchor distT="0" distB="0" distL="114300" distR="114300" simplePos="0" relativeHeight="251661824" behindDoc="0" locked="0" layoutInCell="1" allowOverlap="1">
            <wp:simplePos x="0" y="0"/>
            <wp:positionH relativeFrom="column">
              <wp:align>center</wp:align>
            </wp:positionH>
            <wp:positionV relativeFrom="paragraph">
              <wp:posOffset>426085</wp:posOffset>
            </wp:positionV>
            <wp:extent cx="5160645" cy="5947410"/>
            <wp:effectExtent l="19050" t="0" r="1905" b="0"/>
            <wp:wrapTopAndBottom/>
            <wp:docPr id="40" name="Picture 4" descr="Figure 6.3.  Statewide Stream Sample Locations by Basin.  This is a map of the state of Florida divided into the 29 basins showing the locations where stream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3.  Statewide Stream Sample Locations by Basin"/>
                    <pic:cNvPicPr>
                      <a:picLocks noChangeAspect="1" noChangeArrowheads="1"/>
                    </pic:cNvPicPr>
                  </pic:nvPicPr>
                  <pic:blipFill>
                    <a:blip r:embed="rId76"/>
                    <a:srcRect/>
                    <a:stretch>
                      <a:fillRect/>
                    </a:stretch>
                  </pic:blipFill>
                  <pic:spPr bwMode="auto">
                    <a:xfrm>
                      <a:off x="0" y="0"/>
                      <a:ext cx="5160645" cy="5947410"/>
                    </a:xfrm>
                    <a:prstGeom prst="rect">
                      <a:avLst/>
                    </a:prstGeom>
                    <a:noFill/>
                    <a:ln w="9525">
                      <a:noFill/>
                      <a:miter lim="800000"/>
                      <a:headEnd/>
                      <a:tailEnd/>
                    </a:ln>
                  </pic:spPr>
                </pic:pic>
              </a:graphicData>
            </a:graphic>
          </wp:anchor>
        </w:drawing>
      </w:r>
      <w:bookmarkStart w:id="382" w:name="_Toc262464296"/>
      <w:bookmarkStart w:id="383" w:name="_Toc271280148"/>
      <w:r w:rsidR="00485094" w:rsidRPr="00491133">
        <w:t xml:space="preserve">Figure </w:t>
      </w:r>
      <w:r w:rsidR="00485094">
        <w:t>6.3.  Statewide Stream Sample Locations by Basin</w:t>
      </w:r>
      <w:bookmarkEnd w:id="382"/>
      <w:bookmarkEnd w:id="383"/>
    </w:p>
    <w:p w:rsidR="00485094" w:rsidRDefault="00485094" w:rsidP="00692F31">
      <w:pPr>
        <w:pStyle w:val="Bodytext"/>
        <w:rPr>
          <w:b/>
          <w:i/>
        </w:rPr>
      </w:pPr>
    </w:p>
    <w:p w:rsidR="00485094" w:rsidRDefault="00485094" w:rsidP="00692F31">
      <w:pPr>
        <w:pStyle w:val="Bodytext"/>
        <w:rPr>
          <w:b/>
          <w:i/>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pStyle w:val="Bodytextreduced"/>
      </w:pPr>
      <w:r>
        <w:br w:type="page"/>
      </w:r>
    </w:p>
    <w:p w:rsidR="00485094" w:rsidRDefault="00485094" w:rsidP="00692F31">
      <w:pPr>
        <w:pStyle w:val="Caption"/>
      </w:pPr>
      <w:bookmarkStart w:id="384" w:name="_Toc262464297"/>
      <w:bookmarkStart w:id="385" w:name="_Toc271280149"/>
      <w:r w:rsidRPr="00491133">
        <w:lastRenderedPageBreak/>
        <w:t xml:space="preserve">Figure </w:t>
      </w:r>
      <w:r>
        <w:t>6.4.  Statewide Summary of Stream Results</w:t>
      </w:r>
      <w:bookmarkEnd w:id="384"/>
      <w:bookmarkEnd w:id="385"/>
    </w:p>
    <w:p w:rsidR="00485094" w:rsidRDefault="001717CD" w:rsidP="00692F31">
      <w:pPr>
        <w:autoSpaceDE w:val="0"/>
        <w:autoSpaceDN w:val="0"/>
        <w:adjustRightInd w:val="0"/>
        <w:rPr>
          <w:rFonts w:ascii="Arial" w:hAnsi="Arial" w:cs="Arial"/>
          <w:b/>
          <w:i/>
          <w:sz w:val="20"/>
          <w:szCs w:val="20"/>
        </w:rPr>
      </w:pPr>
      <w:r>
        <w:rPr>
          <w:noProof/>
        </w:rPr>
        <w:drawing>
          <wp:anchor distT="0" distB="0" distL="114300" distR="114300" simplePos="0" relativeHeight="251662848" behindDoc="0" locked="0" layoutInCell="1" allowOverlap="1">
            <wp:simplePos x="0" y="0"/>
            <wp:positionH relativeFrom="column">
              <wp:align>center</wp:align>
            </wp:positionH>
            <wp:positionV relativeFrom="paragraph">
              <wp:posOffset>146050</wp:posOffset>
            </wp:positionV>
            <wp:extent cx="5407025" cy="5947410"/>
            <wp:effectExtent l="19050" t="0" r="3175" b="0"/>
            <wp:wrapTopAndBottom/>
            <wp:docPr id="39" name="Picture 3" descr="Figure 6.4.  Statewide Summary of Stream Results.  This graphic shows statewide results in pie chart format for the stream indicators.  The results follow in Table 6.3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4.  Statewide Summary of Stream Results"/>
                    <pic:cNvPicPr>
                      <a:picLocks noChangeAspect="1" noChangeArrowheads="1"/>
                    </pic:cNvPicPr>
                  </pic:nvPicPr>
                  <pic:blipFill>
                    <a:blip r:embed="rId77"/>
                    <a:srcRect/>
                    <a:stretch>
                      <a:fillRect/>
                    </a:stretch>
                  </pic:blipFill>
                  <pic:spPr bwMode="auto">
                    <a:xfrm>
                      <a:off x="0" y="0"/>
                      <a:ext cx="5407025" cy="5947410"/>
                    </a:xfrm>
                    <a:prstGeom prst="rect">
                      <a:avLst/>
                    </a:prstGeom>
                    <a:noFill/>
                    <a:ln w="9525">
                      <a:noFill/>
                      <a:miter lim="800000"/>
                      <a:headEnd/>
                      <a:tailEnd/>
                    </a:ln>
                  </pic:spPr>
                </pic:pic>
              </a:graphicData>
            </a:graphic>
          </wp:anchor>
        </w:drawing>
      </w: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sectPr w:rsidR="00485094" w:rsidSect="003B37D3">
          <w:pgSz w:w="12240" w:h="15840" w:code="1"/>
          <w:pgMar w:top="1440" w:right="1440" w:bottom="1440" w:left="1440" w:header="720" w:footer="720" w:gutter="0"/>
          <w:paperSrc w:first="261"/>
          <w:cols w:space="720"/>
          <w:docGrid w:linePitch="360"/>
        </w:sectPr>
      </w:pPr>
    </w:p>
    <w:p w:rsidR="00485094" w:rsidRPr="00F25CEA" w:rsidRDefault="00485094" w:rsidP="00692F31">
      <w:pPr>
        <w:autoSpaceDE w:val="0"/>
        <w:autoSpaceDN w:val="0"/>
        <w:adjustRightInd w:val="0"/>
        <w:rPr>
          <w:rFonts w:ascii="Arial" w:hAnsi="Arial" w:cs="Arial"/>
          <w:sz w:val="16"/>
          <w:szCs w:val="16"/>
        </w:rPr>
      </w:pPr>
    </w:p>
    <w:p w:rsidR="00485094" w:rsidRDefault="00485094" w:rsidP="00692F31">
      <w:pPr>
        <w:pStyle w:val="Tableheading"/>
        <w:rPr>
          <w:bCs/>
          <w:szCs w:val="22"/>
        </w:rPr>
      </w:pPr>
      <w:bookmarkStart w:id="386" w:name="_Toc255482831"/>
      <w:bookmarkStart w:id="387" w:name="_Toc255807489"/>
      <w:bookmarkStart w:id="388" w:name="_Toc262464247"/>
      <w:bookmarkStart w:id="389" w:name="_Toc271889841"/>
      <w:r w:rsidRPr="00FD0860">
        <w:t xml:space="preserve">Table </w:t>
      </w:r>
      <w:r w:rsidRPr="00E92FF1">
        <w:t>6.</w:t>
      </w:r>
      <w:r>
        <w:t>3c.  Statewide Percentage of Streams Meeting Threshold Values</w:t>
      </w:r>
      <w:r w:rsidRPr="00FD0860">
        <w:t xml:space="preserve"> </w:t>
      </w:r>
      <w:r>
        <w:t xml:space="preserve">for Indicators </w:t>
      </w:r>
      <w:r w:rsidRPr="00FD0860">
        <w:t xml:space="preserve">Calculated Using </w:t>
      </w:r>
      <w:r>
        <w:t>Probabilistic Monitoring Design</w:t>
      </w:r>
      <w:bookmarkEnd w:id="386"/>
      <w:bookmarkEnd w:id="387"/>
      <w:bookmarkEnd w:id="388"/>
      <w:bookmarkEnd w:id="389"/>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Miles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TabledescriptionBF"/>
      </w:pPr>
    </w:p>
    <w:p w:rsidR="00485094" w:rsidRDefault="00485094" w:rsidP="00692F31">
      <w:pPr>
        <w:ind w:left="-240"/>
        <w:rPr>
          <w:rFonts w:ascii="Arial" w:hAnsi="Arial" w:cs="Arial"/>
          <w:sz w:val="18"/>
          <w:szCs w:val="18"/>
        </w:rPr>
      </w:pPr>
      <w:r w:rsidRPr="00D53BE0">
        <w:rPr>
          <w:rFonts w:ascii="Arial" w:hAnsi="Arial" w:cs="Arial"/>
          <w:sz w:val="18"/>
          <w:szCs w:val="18"/>
          <w:vertAlign w:val="superscript"/>
        </w:rPr>
        <w:t xml:space="preserve">1 </w:t>
      </w:r>
      <w:r w:rsidRPr="00D53BE0">
        <w:rPr>
          <w:rFonts w:ascii="Arial" w:hAnsi="Arial" w:cs="Arial"/>
          <w:sz w:val="18"/>
          <w:szCs w:val="18"/>
        </w:rPr>
        <w:t>Miles</w:t>
      </w:r>
    </w:p>
    <w:p w:rsidR="00485094" w:rsidRPr="00D53BE0" w:rsidRDefault="00485094" w:rsidP="00692F31">
      <w:pPr>
        <w:ind w:left="-240"/>
        <w:rPr>
          <w:rFonts w:ascii="Arial" w:hAnsi="Arial" w:cs="Arial"/>
          <w:sz w:val="18"/>
          <w:szCs w:val="18"/>
        </w:rPr>
      </w:pPr>
      <w:r w:rsidRPr="00CC5085">
        <w:rPr>
          <w:rFonts w:ascii="Arial" w:hAnsi="Arial" w:cs="Arial"/>
          <w:sz w:val="18"/>
          <w:szCs w:val="18"/>
          <w:vertAlign w:val="superscript"/>
        </w:rPr>
        <w:t xml:space="preserve">2 </w:t>
      </w:r>
      <w:r>
        <w:rPr>
          <w:rFonts w:ascii="Arial" w:hAnsi="Arial" w:cs="Arial"/>
          <w:sz w:val="18"/>
          <w:szCs w:val="18"/>
        </w:rPr>
        <w:t>Estimated number of miles</w:t>
      </w:r>
    </w:p>
    <w:tbl>
      <w:tblPr>
        <w:tblW w:w="137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D53BE0" w:rsidTr="000F2909">
        <w:trPr>
          <w:tblHeader/>
          <w:jc w:val="center"/>
        </w:trPr>
        <w:tc>
          <w:tcPr>
            <w:tcW w:w="2273"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Analyte</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Target Population</w:t>
            </w:r>
            <w:r w:rsidRPr="00D53BE0">
              <w:rPr>
                <w:b/>
                <w:i/>
                <w:vertAlign w:val="superscript"/>
              </w:rPr>
              <w:t>1</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Sampleable</w:t>
            </w:r>
            <w:r>
              <w:rPr>
                <w:b/>
                <w:i/>
                <w:vertAlign w:val="superscript"/>
              </w:rPr>
              <w:t>2</w:t>
            </w:r>
          </w:p>
        </w:tc>
        <w:tc>
          <w:tcPr>
            <w:tcW w:w="81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Dry</w:t>
            </w:r>
            <w:r>
              <w:rPr>
                <w:b/>
                <w:i/>
                <w:vertAlign w:val="superscript"/>
              </w:rPr>
              <w:t>2</w:t>
            </w:r>
          </w:p>
        </w:tc>
        <w:tc>
          <w:tcPr>
            <w:tcW w:w="144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Inaccessible</w:t>
            </w:r>
            <w:r>
              <w:rPr>
                <w:b/>
                <w:i/>
                <w:vertAlign w:val="superscript"/>
              </w:rPr>
              <w:t>2</w:t>
            </w:r>
          </w:p>
        </w:tc>
        <w:tc>
          <w:tcPr>
            <w:tcW w:w="115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Number of Samples</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Meeting Threshold</w:t>
            </w:r>
          </w:p>
        </w:tc>
        <w:tc>
          <w:tcPr>
            <w:tcW w:w="160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xml:space="preserve">95% </w:t>
            </w:r>
          </w:p>
          <w:p w:rsidR="00485094" w:rsidRPr="00D53BE0" w:rsidRDefault="00485094" w:rsidP="00453E80">
            <w:pPr>
              <w:pStyle w:val="TableText"/>
              <w:jc w:val="center"/>
              <w:rPr>
                <w:b/>
                <w:i/>
              </w:rPr>
            </w:pPr>
            <w:r w:rsidRPr="00D53BE0">
              <w:rPr>
                <w:b/>
                <w:i/>
              </w:rPr>
              <w:t>Confidence Bounds</w:t>
            </w:r>
          </w:p>
          <w:p w:rsidR="00485094" w:rsidRPr="00D53BE0" w:rsidRDefault="00485094" w:rsidP="00453E80">
            <w:pPr>
              <w:pStyle w:val="TableText"/>
              <w:jc w:val="center"/>
              <w:rPr>
                <w:b/>
                <w:i/>
              </w:rPr>
            </w:pPr>
            <w:r w:rsidRPr="00D53BE0">
              <w:rPr>
                <w:b/>
                <w:i/>
              </w:rPr>
              <w:t>(% Meeting Threshold)</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Not Meeting Threshold</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Assessment Period</w:t>
            </w:r>
          </w:p>
        </w:tc>
      </w:tr>
      <w:tr w:rsidR="00485094" w:rsidRPr="00D53BE0" w:rsidTr="00453E80">
        <w:trPr>
          <w:cantSplit/>
          <w:trHeight w:val="288"/>
          <w:jc w:val="center"/>
        </w:trPr>
        <w:tc>
          <w:tcPr>
            <w:tcW w:w="2273" w:type="dxa"/>
            <w:tcBorders>
              <w:top w:val="double" w:sz="4" w:space="0" w:color="auto"/>
            </w:tcBorders>
            <w:vAlign w:val="center"/>
          </w:tcPr>
          <w:p w:rsidR="00485094" w:rsidRPr="00BD303B" w:rsidRDefault="00485094" w:rsidP="00453E80">
            <w:pPr>
              <w:pStyle w:val="TableText"/>
              <w:jc w:val="center"/>
              <w:rPr>
                <w:i/>
                <w:szCs w:val="18"/>
              </w:rPr>
            </w:pPr>
            <w:r w:rsidRPr="00BD303B">
              <w:rPr>
                <w:szCs w:val="18"/>
              </w:rPr>
              <w:t xml:space="preserve">Chlorophyll </w:t>
            </w:r>
            <w:r w:rsidRPr="00BD303B">
              <w:rPr>
                <w:i/>
                <w:szCs w:val="18"/>
              </w:rPr>
              <w:t>a</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34,390</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13,652</w:t>
            </w:r>
          </w:p>
        </w:tc>
        <w:tc>
          <w:tcPr>
            <w:tcW w:w="81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5,090</w:t>
            </w:r>
          </w:p>
        </w:tc>
        <w:tc>
          <w:tcPr>
            <w:tcW w:w="144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15,648</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761</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75.2</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71.5-78.9</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24.8</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34,390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13,652</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5,090</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15,648</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750</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98.4</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97.4-99.3</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1.6</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34,390</w:t>
            </w:r>
          </w:p>
        </w:tc>
        <w:tc>
          <w:tcPr>
            <w:tcW w:w="1350" w:type="dxa"/>
            <w:vAlign w:val="center"/>
          </w:tcPr>
          <w:p w:rsidR="00485094" w:rsidRPr="00BD303B" w:rsidRDefault="00485094" w:rsidP="00453E80">
            <w:pPr>
              <w:pStyle w:val="TableText"/>
              <w:jc w:val="center"/>
              <w:rPr>
                <w:szCs w:val="18"/>
              </w:rPr>
            </w:pPr>
            <w:r w:rsidRPr="00BD303B">
              <w:rPr>
                <w:szCs w:val="18"/>
              </w:rPr>
              <w:t>13,652</w:t>
            </w:r>
          </w:p>
        </w:tc>
        <w:tc>
          <w:tcPr>
            <w:tcW w:w="810" w:type="dxa"/>
            <w:vAlign w:val="center"/>
          </w:tcPr>
          <w:p w:rsidR="00485094" w:rsidRPr="00BD303B" w:rsidRDefault="00485094" w:rsidP="00453E80">
            <w:pPr>
              <w:pStyle w:val="TableText"/>
              <w:jc w:val="center"/>
              <w:rPr>
                <w:szCs w:val="18"/>
              </w:rPr>
            </w:pPr>
            <w:r w:rsidRPr="00BD303B">
              <w:rPr>
                <w:szCs w:val="18"/>
              </w:rPr>
              <w:t>5,090</w:t>
            </w:r>
          </w:p>
        </w:tc>
        <w:tc>
          <w:tcPr>
            <w:tcW w:w="1440" w:type="dxa"/>
            <w:vAlign w:val="center"/>
          </w:tcPr>
          <w:p w:rsidR="00485094" w:rsidRPr="00BD303B" w:rsidRDefault="00485094" w:rsidP="00453E80">
            <w:pPr>
              <w:pStyle w:val="TableText"/>
              <w:jc w:val="center"/>
              <w:rPr>
                <w:szCs w:val="18"/>
              </w:rPr>
            </w:pPr>
            <w:r w:rsidRPr="00BD303B">
              <w:rPr>
                <w:szCs w:val="18"/>
              </w:rPr>
              <w:t>15,648</w:t>
            </w:r>
          </w:p>
        </w:tc>
        <w:tc>
          <w:tcPr>
            <w:tcW w:w="1159" w:type="dxa"/>
            <w:vAlign w:val="center"/>
          </w:tcPr>
          <w:p w:rsidR="00485094" w:rsidRPr="00BD303B" w:rsidRDefault="00485094" w:rsidP="00453E80">
            <w:pPr>
              <w:pStyle w:val="TableText"/>
              <w:jc w:val="center"/>
              <w:rPr>
                <w:szCs w:val="18"/>
              </w:rPr>
            </w:pPr>
            <w:r w:rsidRPr="00BD303B">
              <w:rPr>
                <w:szCs w:val="18"/>
              </w:rPr>
              <w:t>763</w:t>
            </w:r>
          </w:p>
        </w:tc>
        <w:tc>
          <w:tcPr>
            <w:tcW w:w="1181" w:type="dxa"/>
            <w:vAlign w:val="center"/>
          </w:tcPr>
          <w:p w:rsidR="00485094" w:rsidRPr="00BD303B" w:rsidRDefault="00485094" w:rsidP="00453E80">
            <w:pPr>
              <w:pStyle w:val="TableText"/>
              <w:jc w:val="center"/>
              <w:rPr>
                <w:szCs w:val="18"/>
              </w:rPr>
            </w:pPr>
            <w:r w:rsidRPr="00BD303B">
              <w:rPr>
                <w:szCs w:val="18"/>
              </w:rPr>
              <w:t>71.6</w:t>
            </w:r>
          </w:p>
        </w:tc>
        <w:tc>
          <w:tcPr>
            <w:tcW w:w="1609" w:type="dxa"/>
            <w:vAlign w:val="center"/>
          </w:tcPr>
          <w:p w:rsidR="00485094" w:rsidRPr="00BD303B" w:rsidRDefault="00485094" w:rsidP="00453E80">
            <w:pPr>
              <w:pStyle w:val="TableText"/>
              <w:jc w:val="center"/>
              <w:rPr>
                <w:szCs w:val="18"/>
              </w:rPr>
            </w:pPr>
            <w:r w:rsidRPr="00BD303B">
              <w:rPr>
                <w:szCs w:val="18"/>
              </w:rPr>
              <w:t>68.2-75.0</w:t>
            </w:r>
          </w:p>
        </w:tc>
        <w:tc>
          <w:tcPr>
            <w:tcW w:w="1181" w:type="dxa"/>
            <w:vAlign w:val="center"/>
          </w:tcPr>
          <w:p w:rsidR="00485094" w:rsidRPr="00BD303B" w:rsidRDefault="00485094" w:rsidP="00453E80">
            <w:pPr>
              <w:pStyle w:val="TableText"/>
              <w:jc w:val="center"/>
              <w:rPr>
                <w:szCs w:val="18"/>
              </w:rPr>
            </w:pPr>
            <w:r w:rsidRPr="00BD303B">
              <w:rPr>
                <w:szCs w:val="18"/>
              </w:rPr>
              <w:t>28.4</w:t>
            </w:r>
          </w:p>
        </w:tc>
        <w:tc>
          <w:tcPr>
            <w:tcW w:w="1350" w:type="dxa"/>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34,390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13,652</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5,090</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15,648</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765</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45.6</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42.0-49.2</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54.4</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Default="00485094" w:rsidP="00692F31">
      <w:pPr>
        <w:autoSpaceDE w:val="0"/>
        <w:autoSpaceDN w:val="0"/>
        <w:adjustRightInd w:val="0"/>
        <w:rPr>
          <w:rFonts w:ascii="Arial" w:hAnsi="Arial" w:cs="Arial"/>
          <w:b/>
          <w:bCs/>
          <w:sz w:val="22"/>
          <w:szCs w:val="22"/>
        </w:rPr>
      </w:pPr>
      <w:r>
        <w:rPr>
          <w:rFonts w:ascii="Arial" w:hAnsi="Arial" w:cs="Arial"/>
          <w:b/>
          <w:bCs/>
          <w:sz w:val="22"/>
          <w:szCs w:val="22"/>
        </w:rPr>
        <w:t>Highlights:  Streams</w:t>
      </w:r>
    </w:p>
    <w:p w:rsidR="00485094" w:rsidRDefault="00485094" w:rsidP="00692F31">
      <w:pPr>
        <w:pStyle w:val="ListBullet"/>
        <w:rPr>
          <w:b/>
        </w:rPr>
      </w:pPr>
      <w:r>
        <w:t>N</w:t>
      </w:r>
      <w:r w:rsidRPr="00000364">
        <w:t xml:space="preserve">o </w:t>
      </w:r>
      <w:r>
        <w:t xml:space="preserve">stream resources </w:t>
      </w:r>
      <w:r w:rsidRPr="00000364">
        <w:t xml:space="preserve">in the Florida Keys fit the definition of the target population. </w:t>
      </w:r>
      <w:r w:rsidRPr="00000364">
        <w:rPr>
          <w:b/>
        </w:rPr>
        <w:t xml:space="preserve"> </w:t>
      </w:r>
    </w:p>
    <w:p w:rsidR="00485094" w:rsidRDefault="00485094" w:rsidP="00692F31">
      <w:pPr>
        <w:pStyle w:val="ListBullet"/>
      </w:pPr>
      <w:r w:rsidRPr="00000364">
        <w:t>Statewide</w:t>
      </w:r>
      <w:r>
        <w:t>,</w:t>
      </w:r>
      <w:r w:rsidRPr="00000364">
        <w:t xml:space="preserve"> </w:t>
      </w:r>
      <w:r>
        <w:t>7</w:t>
      </w:r>
      <w:r w:rsidRPr="00000364">
        <w:t>5.</w:t>
      </w:r>
      <w:r>
        <w:t>2</w:t>
      </w:r>
      <w:r w:rsidRPr="00000364">
        <w:t xml:space="preserve">% of </w:t>
      </w:r>
      <w:r>
        <w:t>the</w:t>
      </w:r>
      <w:r w:rsidRPr="00000364">
        <w:t xml:space="preserve"> target population’s </w:t>
      </w:r>
      <w:r>
        <w:t xml:space="preserve">stream miles were below the chlorophyll a indicator (&lt; 20 </w:t>
      </w:r>
      <w:r w:rsidR="003D799D">
        <w:rPr>
          <w:rFonts w:ascii="Symbol" w:hAnsi="Symbol"/>
        </w:rPr>
        <w:t></w:t>
      </w:r>
      <w:r>
        <w:t>g/L) criteria</w:t>
      </w:r>
      <w:r w:rsidRPr="00000364">
        <w:t xml:space="preserve">.  The threshold for chlorophyll </w:t>
      </w:r>
      <w:r>
        <w:t xml:space="preserve">a </w:t>
      </w:r>
      <w:r w:rsidRPr="00000364">
        <w:t xml:space="preserve">was met for 80%, or greater, of each basin’s </w:t>
      </w:r>
      <w:r>
        <w:t>stream</w:t>
      </w:r>
      <w:r w:rsidRPr="00000364">
        <w:t xml:space="preserve"> mileage for all but </w:t>
      </w:r>
      <w:r>
        <w:t>12</w:t>
      </w:r>
      <w:r w:rsidRPr="00000364">
        <w:t xml:space="preserve"> basins.  </w:t>
      </w:r>
      <w:r>
        <w:t>The Everglades</w:t>
      </w:r>
      <w:r w:rsidRPr="00000364">
        <w:t xml:space="preserve"> </w:t>
      </w:r>
      <w:r>
        <w:t>Basin had the lowest percentage of meeting the threshold;</w:t>
      </w:r>
      <w:r w:rsidRPr="00000364">
        <w:t xml:space="preserve"> this may be attribut</w:t>
      </w:r>
      <w:r>
        <w:t>able</w:t>
      </w:r>
      <w:r w:rsidRPr="00000364">
        <w:t xml:space="preserve"> to the fact that the vast majority of </w:t>
      </w:r>
      <w:r>
        <w:t xml:space="preserve">the </w:t>
      </w:r>
      <w:r w:rsidRPr="00000364">
        <w:t xml:space="preserve">target population </w:t>
      </w:r>
      <w:r>
        <w:t>stream</w:t>
      </w:r>
      <w:r w:rsidRPr="00000364">
        <w:t xml:space="preserve"> m</w:t>
      </w:r>
      <w:r>
        <w:t>iles in the basin were canals.</w:t>
      </w:r>
    </w:p>
    <w:p w:rsidR="00485094" w:rsidRDefault="00485094" w:rsidP="00692F31">
      <w:pPr>
        <w:pStyle w:val="ListBullet"/>
      </w:pPr>
      <w:r>
        <w:t>Statewide, 98.4</w:t>
      </w:r>
      <w:r w:rsidRPr="00000364">
        <w:t xml:space="preserve">% of </w:t>
      </w:r>
      <w:r>
        <w:t>the</w:t>
      </w:r>
      <w:r w:rsidRPr="00000364">
        <w:t xml:space="preserve"> target population’s </w:t>
      </w:r>
      <w:r>
        <w:t xml:space="preserve">stream </w:t>
      </w:r>
      <w:r w:rsidRPr="00000364">
        <w:t>mile</w:t>
      </w:r>
      <w:r>
        <w:t>s were below the un-ionized ammonia (</w:t>
      </w:r>
      <w:r w:rsidRPr="003B37D3">
        <w:rPr>
          <w:rFonts w:cs="Arial"/>
        </w:rPr>
        <w:t>≤ 0.02 mg/L</w:t>
      </w:r>
      <w:r>
        <w:rPr>
          <w:rFonts w:cs="Arial"/>
        </w:rPr>
        <w:t xml:space="preserve">) </w:t>
      </w:r>
      <w:r>
        <w:t>criteria</w:t>
      </w:r>
      <w:r w:rsidRPr="00000364">
        <w:t xml:space="preserve">.  The threshold for </w:t>
      </w:r>
      <w:r>
        <w:t>un-ionized ammonia</w:t>
      </w:r>
      <w:r w:rsidRPr="00000364">
        <w:t xml:space="preserve"> was met for </w:t>
      </w:r>
      <w:r>
        <w:t>95</w:t>
      </w:r>
      <w:r w:rsidRPr="00000364">
        <w:t xml:space="preserve">%, or greater, of </w:t>
      </w:r>
      <w:r>
        <w:t xml:space="preserve">all of the </w:t>
      </w:r>
      <w:r w:rsidRPr="00000364">
        <w:t>basins</w:t>
      </w:r>
      <w:r>
        <w:t xml:space="preserve">’ stream </w:t>
      </w:r>
      <w:r w:rsidRPr="00000364">
        <w:t xml:space="preserve">mileage.  </w:t>
      </w:r>
    </w:p>
    <w:p w:rsidR="00485094" w:rsidRDefault="00485094" w:rsidP="00692F31">
      <w:pPr>
        <w:pStyle w:val="ListBullet"/>
      </w:pPr>
      <w:r w:rsidRPr="00000364">
        <w:t>Statewide</w:t>
      </w:r>
      <w:r>
        <w:t>,</w:t>
      </w:r>
      <w:r w:rsidRPr="00000364">
        <w:t xml:space="preserve"> </w:t>
      </w:r>
      <w:r>
        <w:t>71.6</w:t>
      </w:r>
      <w:r w:rsidRPr="00000364">
        <w:t xml:space="preserve">% of </w:t>
      </w:r>
      <w:r>
        <w:t>the</w:t>
      </w:r>
      <w:r w:rsidRPr="00000364">
        <w:t xml:space="preserve"> target population’s </w:t>
      </w:r>
      <w:r>
        <w:t>stream</w:t>
      </w:r>
      <w:r w:rsidRPr="00000364">
        <w:t xml:space="preserve"> mile</w:t>
      </w:r>
      <w:r>
        <w:t>s were below the fecal coliform (</w:t>
      </w:r>
      <w:r w:rsidRPr="003B37D3">
        <w:rPr>
          <w:rFonts w:cs="Arial"/>
        </w:rPr>
        <w:t>&lt; 400 colonies/100mL</w:t>
      </w:r>
      <w:r>
        <w:rPr>
          <w:rFonts w:cs="Arial"/>
        </w:rPr>
        <w:t xml:space="preserve">) </w:t>
      </w:r>
      <w:r>
        <w:t>criteria</w:t>
      </w:r>
      <w:r w:rsidRPr="00000364">
        <w:t xml:space="preserve">.  The threshold for </w:t>
      </w:r>
      <w:r>
        <w:t>fecal coliform</w:t>
      </w:r>
      <w:r w:rsidRPr="00000364">
        <w:t xml:space="preserve"> was met for 80%, or greater, of each basin’s </w:t>
      </w:r>
      <w:r>
        <w:t>stream</w:t>
      </w:r>
      <w:r w:rsidRPr="00000364">
        <w:t xml:space="preserve"> mileage for only </w:t>
      </w:r>
      <w:r>
        <w:t>10</w:t>
      </w:r>
      <w:r w:rsidRPr="00000364">
        <w:t xml:space="preserve"> basins.  </w:t>
      </w:r>
      <w:r>
        <w:t xml:space="preserve">Basins not meeting the </w:t>
      </w:r>
      <w:r w:rsidRPr="00000364">
        <w:t xml:space="preserve">threshold for </w:t>
      </w:r>
      <w:r>
        <w:t>fecal coliform</w:t>
      </w:r>
      <w:r w:rsidRPr="00000364">
        <w:t xml:space="preserve"> </w:t>
      </w:r>
      <w:r>
        <w:t xml:space="preserve">for less than 50% of the basin’s stream miles </w:t>
      </w:r>
      <w:r w:rsidRPr="00B264A1">
        <w:t>include</w:t>
      </w:r>
      <w:r>
        <w:t xml:space="preserve"> </w:t>
      </w:r>
      <w:r w:rsidRPr="00FD0860">
        <w:t>Tampa Bay</w:t>
      </w:r>
      <w:r>
        <w:t xml:space="preserve"> (30.0%), </w:t>
      </w:r>
      <w:r w:rsidRPr="00423D44">
        <w:t>Upper St. Johns</w:t>
      </w:r>
      <w:r>
        <w:t xml:space="preserve"> (48.3%). and the Indian River Lagoon (47.5%). </w:t>
      </w:r>
    </w:p>
    <w:p w:rsidR="00485094" w:rsidRPr="009045D5" w:rsidRDefault="00485094" w:rsidP="00692F31">
      <w:pPr>
        <w:pStyle w:val="ListBullet"/>
        <w:autoSpaceDE w:val="0"/>
        <w:autoSpaceDN w:val="0"/>
        <w:adjustRightInd w:val="0"/>
      </w:pPr>
      <w:r w:rsidRPr="00000364">
        <w:t>Statewide</w:t>
      </w:r>
      <w:r>
        <w:t>,</w:t>
      </w:r>
      <w:r w:rsidRPr="00D53BE0">
        <w:t xml:space="preserve"> </w:t>
      </w:r>
      <w:r>
        <w:t>45.6</w:t>
      </w:r>
      <w:r w:rsidRPr="00000364">
        <w:t xml:space="preserve">% of </w:t>
      </w:r>
      <w:r>
        <w:t>the</w:t>
      </w:r>
      <w:r w:rsidRPr="00000364">
        <w:t xml:space="preserve"> target population’s </w:t>
      </w:r>
      <w:r>
        <w:t>stream</w:t>
      </w:r>
      <w:r w:rsidRPr="00000364">
        <w:t xml:space="preserve"> mile</w:t>
      </w:r>
      <w:r>
        <w:t>s were above the DO (</w:t>
      </w:r>
      <w:r w:rsidRPr="003B37D3">
        <w:rPr>
          <w:rFonts w:cs="Arial"/>
          <w:lang w:val="fr-FR"/>
        </w:rPr>
        <w:t>≥ 5 mg/L</w:t>
      </w:r>
      <w:r>
        <w:rPr>
          <w:rFonts w:cs="Arial"/>
          <w:lang w:val="fr-FR"/>
        </w:rPr>
        <w:t xml:space="preserve">) </w:t>
      </w:r>
      <w:r>
        <w:t>criteria</w:t>
      </w:r>
      <w:r w:rsidRPr="00000364">
        <w:t xml:space="preserve">.  </w:t>
      </w:r>
      <w:r>
        <w:t>O</w:t>
      </w:r>
      <w:r w:rsidRPr="00000364">
        <w:t xml:space="preserve">nly </w:t>
      </w:r>
      <w:r>
        <w:t>4</w:t>
      </w:r>
      <w:r w:rsidRPr="00000364">
        <w:t xml:space="preserve"> </w:t>
      </w:r>
      <w:r>
        <w:t xml:space="preserve">of the 28 </w:t>
      </w:r>
      <w:r w:rsidRPr="00000364">
        <w:t xml:space="preserve">basins </w:t>
      </w:r>
      <w:r>
        <w:t>met th</w:t>
      </w:r>
      <w:r w:rsidRPr="00000364">
        <w:t xml:space="preserve">e DO </w:t>
      </w:r>
      <w:r>
        <w:t xml:space="preserve">threshold for </w:t>
      </w:r>
      <w:r w:rsidRPr="00000364">
        <w:t>8</w:t>
      </w:r>
      <w:r>
        <w:t>0% of their stream resource.  Input of color and organic carbon from wetlands, stream geomorphology, respiration, and decomposition are factors that lower DO.  FDEP is currently evaluating a revision to the DO criterion to more accurately account for natural low DO throughout the state.</w:t>
      </w:r>
    </w:p>
    <w:p w:rsidR="00485094" w:rsidRDefault="00485094" w:rsidP="00692F31">
      <w:pPr>
        <w:autoSpaceDE w:val="0"/>
        <w:autoSpaceDN w:val="0"/>
        <w:adjustRightInd w:val="0"/>
        <w:rPr>
          <w:rFonts w:ascii="Arial" w:hAnsi="Arial" w:cs="Arial"/>
          <w:b/>
          <w:i/>
          <w:sz w:val="20"/>
          <w:szCs w:val="20"/>
        </w:rPr>
        <w:sectPr w:rsidR="00485094" w:rsidSect="003B37D3">
          <w:pgSz w:w="15840" w:h="12240" w:orient="landscape" w:code="1"/>
          <w:pgMar w:top="1440" w:right="1440" w:bottom="1440" w:left="1440" w:header="720" w:footer="720" w:gutter="0"/>
          <w:paperSrc w:first="261"/>
          <w:cols w:space="720"/>
          <w:docGrid w:linePitch="360"/>
        </w:sectPr>
      </w:pPr>
    </w:p>
    <w:p w:rsidR="00485094" w:rsidRPr="00491133" w:rsidRDefault="00485094" w:rsidP="00692F31">
      <w:pPr>
        <w:pStyle w:val="Caption"/>
        <w:rPr>
          <w:bCs/>
        </w:rPr>
      </w:pPr>
      <w:bookmarkStart w:id="390" w:name="_Toc262464298"/>
      <w:bookmarkStart w:id="391" w:name="_Toc271280150"/>
      <w:r w:rsidRPr="00491133">
        <w:lastRenderedPageBreak/>
        <w:t xml:space="preserve">Figure </w:t>
      </w:r>
      <w:r>
        <w:t>6.5.  Statewide Large Lake Sample Locations by Basin</w:t>
      </w:r>
      <w:bookmarkEnd w:id="390"/>
      <w:bookmarkEnd w:id="391"/>
    </w:p>
    <w:p w:rsidR="00485094" w:rsidRDefault="00485094" w:rsidP="00692F31">
      <w:pPr>
        <w:spacing w:after="200" w:line="276" w:lineRule="auto"/>
        <w:rPr>
          <w:rFonts w:ascii="Arial" w:hAnsi="Arial"/>
          <w:b/>
          <w:szCs w:val="20"/>
        </w:rPr>
      </w:pPr>
    </w:p>
    <w:p w:rsidR="00485094" w:rsidRDefault="001717CD" w:rsidP="00692F31">
      <w:pPr>
        <w:pStyle w:val="Bodytextreduced"/>
      </w:pPr>
      <w:r>
        <w:rPr>
          <w:noProof/>
        </w:rPr>
        <w:drawing>
          <wp:anchor distT="0" distB="0" distL="114300" distR="114300" simplePos="0" relativeHeight="251663872" behindDoc="0" locked="0" layoutInCell="1" allowOverlap="1">
            <wp:simplePos x="0" y="0"/>
            <wp:positionH relativeFrom="column">
              <wp:align>center</wp:align>
            </wp:positionH>
            <wp:positionV relativeFrom="paragraph">
              <wp:posOffset>21590</wp:posOffset>
            </wp:positionV>
            <wp:extent cx="5160645" cy="5947410"/>
            <wp:effectExtent l="19050" t="0" r="1905" b="0"/>
            <wp:wrapTopAndBottom/>
            <wp:docPr id="38" name="Picture 0" descr="Figure 6.5.  Statewide Large Lake Sample Locations by Basin.  This is a map of the state of Florida divided into the 29 basins showing the locations where large lakes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6.5.  Statewide Large Lake Sample Locations by Basin"/>
                    <pic:cNvPicPr>
                      <a:picLocks noChangeAspect="1" noChangeArrowheads="1"/>
                    </pic:cNvPicPr>
                  </pic:nvPicPr>
                  <pic:blipFill>
                    <a:blip r:embed="rId78"/>
                    <a:srcRect/>
                    <a:stretch>
                      <a:fillRect/>
                    </a:stretch>
                  </pic:blipFill>
                  <pic:spPr bwMode="auto">
                    <a:xfrm>
                      <a:off x="0" y="0"/>
                      <a:ext cx="5160645" cy="5947410"/>
                    </a:xfrm>
                    <a:prstGeom prst="rect">
                      <a:avLst/>
                    </a:prstGeom>
                    <a:noFill/>
                    <a:ln w="9525">
                      <a:noFill/>
                      <a:miter lim="800000"/>
                      <a:headEnd/>
                      <a:tailEnd/>
                    </a:ln>
                  </pic:spPr>
                </pic:pic>
              </a:graphicData>
            </a:graphic>
          </wp:anchor>
        </w:drawing>
      </w:r>
      <w:r w:rsidR="00485094">
        <w:rPr>
          <w:b/>
          <w:i/>
        </w:rPr>
        <w:br w:type="page"/>
      </w:r>
    </w:p>
    <w:p w:rsidR="00485094" w:rsidRDefault="00485094" w:rsidP="00692F31">
      <w:pPr>
        <w:pStyle w:val="Caption"/>
      </w:pPr>
      <w:bookmarkStart w:id="392" w:name="_Toc262464299"/>
      <w:bookmarkStart w:id="393" w:name="_Toc271280151"/>
      <w:r w:rsidRPr="00491133">
        <w:lastRenderedPageBreak/>
        <w:t xml:space="preserve">Figure </w:t>
      </w:r>
      <w:r>
        <w:t>6.6.  Statewide Summary of Large Lake Results</w:t>
      </w:r>
      <w:bookmarkEnd w:id="392"/>
      <w:bookmarkEnd w:id="393"/>
    </w:p>
    <w:p w:rsidR="00485094" w:rsidRDefault="00485094" w:rsidP="00692F31">
      <w:pPr>
        <w:autoSpaceDE w:val="0"/>
        <w:autoSpaceDN w:val="0"/>
        <w:adjustRightInd w:val="0"/>
        <w:rPr>
          <w:rFonts w:ascii="Arial" w:hAnsi="Arial" w:cs="Arial"/>
          <w:b/>
          <w:i/>
          <w:sz w:val="20"/>
          <w:szCs w:val="20"/>
        </w:rPr>
      </w:pPr>
    </w:p>
    <w:p w:rsidR="00485094" w:rsidRDefault="001717CD" w:rsidP="00692F31">
      <w:pPr>
        <w:autoSpaceDE w:val="0"/>
        <w:autoSpaceDN w:val="0"/>
        <w:adjustRightInd w:val="0"/>
        <w:rPr>
          <w:b/>
          <w:i/>
        </w:rPr>
      </w:pPr>
      <w:r>
        <w:rPr>
          <w:noProof/>
        </w:rPr>
        <w:drawing>
          <wp:anchor distT="0" distB="0" distL="114300" distR="114300" simplePos="0" relativeHeight="251664896" behindDoc="0" locked="0" layoutInCell="1" allowOverlap="1">
            <wp:simplePos x="0" y="0"/>
            <wp:positionH relativeFrom="column">
              <wp:align>center</wp:align>
            </wp:positionH>
            <wp:positionV relativeFrom="paragraph">
              <wp:posOffset>130175</wp:posOffset>
            </wp:positionV>
            <wp:extent cx="5947410" cy="6154420"/>
            <wp:effectExtent l="19050" t="0" r="0" b="0"/>
            <wp:wrapTopAndBottom/>
            <wp:docPr id="32" name="Picture 1" descr="Figure 6.6.  Statewide Summary of Large Lake Results.  This graphic shows statewide results in pie chart format for the  large lake indicators.  The results follow in Table 6.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6.  Statewide Summary of Large Lake Results"/>
                    <pic:cNvPicPr>
                      <a:picLocks noChangeAspect="1" noChangeArrowheads="1"/>
                    </pic:cNvPicPr>
                  </pic:nvPicPr>
                  <pic:blipFill>
                    <a:blip r:embed="rId79"/>
                    <a:srcRect t="5612"/>
                    <a:stretch>
                      <a:fillRect/>
                    </a:stretch>
                  </pic:blipFill>
                  <pic:spPr bwMode="auto">
                    <a:xfrm>
                      <a:off x="0" y="0"/>
                      <a:ext cx="5947410" cy="6154420"/>
                    </a:xfrm>
                    <a:prstGeom prst="rect">
                      <a:avLst/>
                    </a:prstGeom>
                    <a:noFill/>
                    <a:ln w="9525">
                      <a:noFill/>
                      <a:miter lim="800000"/>
                      <a:headEnd/>
                      <a:tailEnd/>
                    </a:ln>
                  </pic:spPr>
                </pic:pic>
              </a:graphicData>
            </a:graphic>
          </wp:anchor>
        </w:drawing>
      </w:r>
    </w:p>
    <w:p w:rsidR="00485094" w:rsidRDefault="00485094" w:rsidP="00692F31">
      <w:pPr>
        <w:autoSpaceDE w:val="0"/>
        <w:autoSpaceDN w:val="0"/>
        <w:adjustRightInd w:val="0"/>
        <w:rPr>
          <w:rFonts w:ascii="Arial" w:hAnsi="Arial" w:cs="Arial"/>
          <w:b/>
          <w:i/>
          <w:sz w:val="20"/>
          <w:szCs w:val="20"/>
        </w:rPr>
        <w:sectPr w:rsidR="00485094" w:rsidSect="003B37D3">
          <w:pgSz w:w="12240" w:h="15840" w:code="1"/>
          <w:pgMar w:top="1440" w:right="1440" w:bottom="1440" w:left="1440" w:header="720" w:footer="720" w:gutter="0"/>
          <w:paperSrc w:first="261"/>
          <w:cols w:space="720"/>
          <w:docGrid w:linePitch="360"/>
        </w:sectPr>
      </w:pPr>
    </w:p>
    <w:p w:rsidR="00485094" w:rsidRDefault="00485094" w:rsidP="00692F31">
      <w:pPr>
        <w:pStyle w:val="Bodytextreduced"/>
      </w:pPr>
    </w:p>
    <w:p w:rsidR="00485094" w:rsidRDefault="00485094" w:rsidP="00692F31">
      <w:pPr>
        <w:pStyle w:val="Tableheading"/>
        <w:rPr>
          <w:bCs/>
          <w:szCs w:val="22"/>
        </w:rPr>
      </w:pPr>
      <w:bookmarkStart w:id="394" w:name="_Toc255482832"/>
      <w:bookmarkStart w:id="395" w:name="_Toc255807490"/>
      <w:bookmarkStart w:id="396" w:name="_Toc262464248"/>
      <w:bookmarkStart w:id="397" w:name="_Toc271889842"/>
      <w:r w:rsidRPr="00E92FF1">
        <w:t>Table 6</w:t>
      </w:r>
      <w:r>
        <w:t>.3d.  Statewide Percentage of Large Lakes Meeting Threshold Values</w:t>
      </w:r>
      <w:r w:rsidRPr="00FD0860">
        <w:t xml:space="preserve"> </w:t>
      </w:r>
      <w:r>
        <w:t xml:space="preserve">for Indicators </w:t>
      </w:r>
      <w:r w:rsidRPr="00FD0860">
        <w:t xml:space="preserve">Calculated Using </w:t>
      </w:r>
      <w:r>
        <w:t>Probabilistic Monitoring Design</w:t>
      </w:r>
      <w:bookmarkEnd w:id="394"/>
      <w:bookmarkEnd w:id="395"/>
      <w:bookmarkEnd w:id="396"/>
      <w:bookmarkEnd w:id="397"/>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Acres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Default="00485094" w:rsidP="00692F31">
      <w:pPr>
        <w:pStyle w:val="Bodytextreduced"/>
      </w:pPr>
    </w:p>
    <w:p w:rsidR="00485094" w:rsidRDefault="00485094" w:rsidP="00692F31">
      <w:pPr>
        <w:pStyle w:val="Bodytextreduced"/>
      </w:pPr>
      <w:r w:rsidRPr="00D53BE0">
        <w:rPr>
          <w:vertAlign w:val="superscript"/>
        </w:rPr>
        <w:t xml:space="preserve">1 </w:t>
      </w:r>
      <w:r w:rsidRPr="00D53BE0">
        <w:t>Acres</w:t>
      </w:r>
    </w:p>
    <w:p w:rsidR="00485094" w:rsidRPr="00D53BE0" w:rsidRDefault="00485094" w:rsidP="00692F31">
      <w:pPr>
        <w:pStyle w:val="Bodytextreduced"/>
      </w:pPr>
      <w:r w:rsidRPr="00CC5085">
        <w:rPr>
          <w:vertAlign w:val="superscript"/>
        </w:rPr>
        <w:t xml:space="preserve">2 </w:t>
      </w:r>
      <w:r w:rsidRPr="00CC5085">
        <w:t>Estimated number of acres</w:t>
      </w:r>
    </w:p>
    <w:tbl>
      <w:tblPr>
        <w:tblW w:w="1370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273"/>
        <w:gridCol w:w="1350"/>
        <w:gridCol w:w="1350"/>
        <w:gridCol w:w="889"/>
        <w:gridCol w:w="1361"/>
        <w:gridCol w:w="1159"/>
        <w:gridCol w:w="1181"/>
        <w:gridCol w:w="1609"/>
        <w:gridCol w:w="1181"/>
        <w:gridCol w:w="1350"/>
      </w:tblGrid>
      <w:tr w:rsidR="00485094" w:rsidRPr="00D53BE0" w:rsidTr="000F2909">
        <w:trPr>
          <w:tblHeader/>
          <w:jc w:val="center"/>
        </w:trPr>
        <w:tc>
          <w:tcPr>
            <w:tcW w:w="2273"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Analyte</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Target Population</w:t>
            </w:r>
            <w:r w:rsidRPr="00D53BE0">
              <w:rPr>
                <w:b/>
                <w:i/>
                <w:vertAlign w:val="superscript"/>
              </w:rPr>
              <w:t>1</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Sampleable</w:t>
            </w:r>
            <w:r>
              <w:rPr>
                <w:b/>
                <w:i/>
                <w:vertAlign w:val="superscript"/>
              </w:rPr>
              <w:t>2</w:t>
            </w:r>
          </w:p>
        </w:tc>
        <w:tc>
          <w:tcPr>
            <w:tcW w:w="88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Dry</w:t>
            </w:r>
            <w:r>
              <w:rPr>
                <w:b/>
                <w:i/>
                <w:vertAlign w:val="superscript"/>
              </w:rPr>
              <w:t>2</w:t>
            </w:r>
          </w:p>
        </w:tc>
        <w:tc>
          <w:tcPr>
            <w:tcW w:w="136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Inaccessible</w:t>
            </w:r>
            <w:r>
              <w:rPr>
                <w:b/>
                <w:i/>
                <w:vertAlign w:val="superscript"/>
              </w:rPr>
              <w:t>2</w:t>
            </w:r>
          </w:p>
        </w:tc>
        <w:tc>
          <w:tcPr>
            <w:tcW w:w="115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Number of Samples</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Meeting Threshold</w:t>
            </w:r>
          </w:p>
        </w:tc>
        <w:tc>
          <w:tcPr>
            <w:tcW w:w="1609"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xml:space="preserve">95% </w:t>
            </w:r>
          </w:p>
          <w:p w:rsidR="00485094" w:rsidRPr="00D53BE0" w:rsidRDefault="00485094" w:rsidP="00453E80">
            <w:pPr>
              <w:pStyle w:val="TableText"/>
              <w:jc w:val="center"/>
              <w:rPr>
                <w:b/>
                <w:i/>
              </w:rPr>
            </w:pPr>
            <w:r w:rsidRPr="00D53BE0">
              <w:rPr>
                <w:b/>
                <w:i/>
              </w:rPr>
              <w:t>Confidence Bounds</w:t>
            </w:r>
          </w:p>
          <w:p w:rsidR="00485094" w:rsidRPr="00D53BE0" w:rsidRDefault="00485094" w:rsidP="00453E80">
            <w:pPr>
              <w:pStyle w:val="TableText"/>
              <w:jc w:val="center"/>
              <w:rPr>
                <w:b/>
                <w:i/>
              </w:rPr>
            </w:pPr>
            <w:r w:rsidRPr="00D53BE0">
              <w:rPr>
                <w:b/>
                <w:i/>
              </w:rPr>
              <w:t xml:space="preserve">(% Meeting </w:t>
            </w:r>
            <w:r>
              <w:rPr>
                <w:b/>
                <w:i/>
              </w:rPr>
              <w:t>T</w:t>
            </w:r>
            <w:r w:rsidRPr="00D53BE0">
              <w:rPr>
                <w:b/>
                <w:i/>
              </w:rPr>
              <w:t>hreshold)</w:t>
            </w:r>
          </w:p>
        </w:tc>
        <w:tc>
          <w:tcPr>
            <w:tcW w:w="1181"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 Not Meeting Threshold</w:t>
            </w:r>
          </w:p>
        </w:tc>
        <w:tc>
          <w:tcPr>
            <w:tcW w:w="1350" w:type="dxa"/>
            <w:tcBorders>
              <w:bottom w:val="double" w:sz="4" w:space="0" w:color="auto"/>
            </w:tcBorders>
            <w:shd w:val="clear" w:color="auto" w:fill="BDFFFF"/>
            <w:vAlign w:val="bottom"/>
          </w:tcPr>
          <w:p w:rsidR="00485094" w:rsidRPr="00D53BE0" w:rsidRDefault="00485094" w:rsidP="00453E80">
            <w:pPr>
              <w:pStyle w:val="TableText"/>
              <w:jc w:val="center"/>
              <w:rPr>
                <w:b/>
                <w:i/>
              </w:rPr>
            </w:pPr>
            <w:r w:rsidRPr="00D53BE0">
              <w:rPr>
                <w:b/>
                <w:i/>
              </w:rPr>
              <w:t>Assessment Period</w:t>
            </w:r>
          </w:p>
        </w:tc>
      </w:tr>
      <w:tr w:rsidR="00485094" w:rsidRPr="00D53BE0" w:rsidTr="00453E80">
        <w:trPr>
          <w:cantSplit/>
          <w:trHeight w:val="288"/>
          <w:jc w:val="center"/>
        </w:trPr>
        <w:tc>
          <w:tcPr>
            <w:tcW w:w="2273" w:type="dxa"/>
            <w:tcBorders>
              <w:top w:val="double" w:sz="4" w:space="0" w:color="auto"/>
            </w:tcBorders>
            <w:vAlign w:val="center"/>
          </w:tcPr>
          <w:p w:rsidR="00485094" w:rsidRPr="00BD303B" w:rsidRDefault="00485094" w:rsidP="00453E80">
            <w:pPr>
              <w:pStyle w:val="TableText"/>
              <w:jc w:val="center"/>
              <w:rPr>
                <w:i/>
                <w:szCs w:val="18"/>
              </w:rPr>
            </w:pPr>
            <w:r w:rsidRPr="00BD303B">
              <w:rPr>
                <w:szCs w:val="18"/>
              </w:rPr>
              <w:t>TSI</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1,038,899</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811,851</w:t>
            </w:r>
          </w:p>
        </w:tc>
        <w:tc>
          <w:tcPr>
            <w:tcW w:w="88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26,563</w:t>
            </w:r>
          </w:p>
        </w:tc>
        <w:tc>
          <w:tcPr>
            <w:tcW w:w="136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200,485</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627</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94.0</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90.75-97.6</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6.0</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1,038,899</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811,851</w:t>
            </w:r>
          </w:p>
        </w:tc>
        <w:tc>
          <w:tcPr>
            <w:tcW w:w="889" w:type="dxa"/>
            <w:shd w:val="clear" w:color="auto" w:fill="FFFFCC"/>
            <w:vAlign w:val="center"/>
          </w:tcPr>
          <w:p w:rsidR="00485094" w:rsidRPr="00BD303B" w:rsidRDefault="00485094" w:rsidP="00453E80">
            <w:pPr>
              <w:pStyle w:val="TableText"/>
              <w:jc w:val="center"/>
              <w:rPr>
                <w:szCs w:val="18"/>
              </w:rPr>
            </w:pPr>
            <w:r w:rsidRPr="00BD303B">
              <w:rPr>
                <w:szCs w:val="18"/>
              </w:rPr>
              <w:t>26,563</w:t>
            </w:r>
          </w:p>
        </w:tc>
        <w:tc>
          <w:tcPr>
            <w:tcW w:w="1361" w:type="dxa"/>
            <w:shd w:val="clear" w:color="auto" w:fill="FFFFCC"/>
            <w:vAlign w:val="center"/>
          </w:tcPr>
          <w:p w:rsidR="00485094" w:rsidRPr="00BD303B" w:rsidRDefault="00485094" w:rsidP="00453E80">
            <w:pPr>
              <w:pStyle w:val="TableText"/>
              <w:jc w:val="center"/>
              <w:rPr>
                <w:szCs w:val="18"/>
              </w:rPr>
            </w:pPr>
            <w:r w:rsidRPr="00BD303B">
              <w:rPr>
                <w:szCs w:val="18"/>
              </w:rPr>
              <w:t>200,485</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626</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96.6</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95.2-98.1</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3.4</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1,038,899</w:t>
            </w:r>
          </w:p>
        </w:tc>
        <w:tc>
          <w:tcPr>
            <w:tcW w:w="1350" w:type="dxa"/>
            <w:vAlign w:val="center"/>
          </w:tcPr>
          <w:p w:rsidR="00485094" w:rsidRPr="00BD303B" w:rsidRDefault="00485094" w:rsidP="00453E80">
            <w:pPr>
              <w:pStyle w:val="TableText"/>
              <w:jc w:val="center"/>
              <w:rPr>
                <w:szCs w:val="18"/>
              </w:rPr>
            </w:pPr>
            <w:r w:rsidRPr="00BD303B">
              <w:rPr>
                <w:szCs w:val="18"/>
              </w:rPr>
              <w:t>811,851</w:t>
            </w:r>
          </w:p>
        </w:tc>
        <w:tc>
          <w:tcPr>
            <w:tcW w:w="889" w:type="dxa"/>
            <w:vAlign w:val="center"/>
          </w:tcPr>
          <w:p w:rsidR="00485094" w:rsidRPr="00BD303B" w:rsidRDefault="00485094" w:rsidP="00453E80">
            <w:pPr>
              <w:pStyle w:val="TableText"/>
              <w:jc w:val="center"/>
              <w:rPr>
                <w:szCs w:val="18"/>
              </w:rPr>
            </w:pPr>
            <w:r w:rsidRPr="00BD303B">
              <w:rPr>
                <w:szCs w:val="18"/>
              </w:rPr>
              <w:t>26,563</w:t>
            </w:r>
          </w:p>
        </w:tc>
        <w:tc>
          <w:tcPr>
            <w:tcW w:w="1361" w:type="dxa"/>
            <w:vAlign w:val="center"/>
          </w:tcPr>
          <w:p w:rsidR="00485094" w:rsidRPr="00BD303B" w:rsidRDefault="00485094" w:rsidP="00453E80">
            <w:pPr>
              <w:pStyle w:val="TableText"/>
              <w:jc w:val="center"/>
              <w:rPr>
                <w:szCs w:val="18"/>
              </w:rPr>
            </w:pPr>
            <w:r w:rsidRPr="00BD303B">
              <w:rPr>
                <w:szCs w:val="18"/>
              </w:rPr>
              <w:t>200,485</w:t>
            </w:r>
          </w:p>
        </w:tc>
        <w:tc>
          <w:tcPr>
            <w:tcW w:w="1159" w:type="dxa"/>
            <w:vAlign w:val="center"/>
          </w:tcPr>
          <w:p w:rsidR="00485094" w:rsidRPr="00BD303B" w:rsidRDefault="00485094" w:rsidP="00453E80">
            <w:pPr>
              <w:pStyle w:val="TableText"/>
              <w:jc w:val="center"/>
              <w:rPr>
                <w:szCs w:val="18"/>
              </w:rPr>
            </w:pPr>
            <w:r w:rsidRPr="00BD303B">
              <w:rPr>
                <w:szCs w:val="18"/>
              </w:rPr>
              <w:t>616</w:t>
            </w:r>
          </w:p>
        </w:tc>
        <w:tc>
          <w:tcPr>
            <w:tcW w:w="1181" w:type="dxa"/>
            <w:vAlign w:val="center"/>
          </w:tcPr>
          <w:p w:rsidR="00485094" w:rsidRPr="00BD303B" w:rsidRDefault="00485094" w:rsidP="00453E80">
            <w:pPr>
              <w:pStyle w:val="TableText"/>
              <w:jc w:val="center"/>
              <w:rPr>
                <w:szCs w:val="18"/>
              </w:rPr>
            </w:pPr>
            <w:r w:rsidRPr="00BD303B">
              <w:rPr>
                <w:szCs w:val="18"/>
              </w:rPr>
              <w:t>99.7</w:t>
            </w:r>
          </w:p>
        </w:tc>
        <w:tc>
          <w:tcPr>
            <w:tcW w:w="1609" w:type="dxa"/>
            <w:vAlign w:val="center"/>
          </w:tcPr>
          <w:p w:rsidR="00485094" w:rsidRPr="00BD303B" w:rsidRDefault="00485094" w:rsidP="00453E80">
            <w:pPr>
              <w:pStyle w:val="TableText"/>
              <w:jc w:val="center"/>
              <w:rPr>
                <w:szCs w:val="18"/>
              </w:rPr>
            </w:pPr>
            <w:r w:rsidRPr="00BD303B">
              <w:rPr>
                <w:szCs w:val="18"/>
              </w:rPr>
              <w:t>99.5-99.9</w:t>
            </w:r>
          </w:p>
        </w:tc>
        <w:tc>
          <w:tcPr>
            <w:tcW w:w="1181" w:type="dxa"/>
            <w:vAlign w:val="center"/>
          </w:tcPr>
          <w:p w:rsidR="00485094" w:rsidRPr="00BD303B" w:rsidRDefault="00485094" w:rsidP="00453E80">
            <w:pPr>
              <w:pStyle w:val="TableText"/>
              <w:jc w:val="center"/>
              <w:rPr>
                <w:szCs w:val="18"/>
              </w:rPr>
            </w:pPr>
            <w:r w:rsidRPr="00BD303B">
              <w:rPr>
                <w:szCs w:val="18"/>
              </w:rPr>
              <w:t>0.3</w:t>
            </w:r>
          </w:p>
        </w:tc>
        <w:tc>
          <w:tcPr>
            <w:tcW w:w="1350" w:type="dxa"/>
            <w:vAlign w:val="center"/>
          </w:tcPr>
          <w:p w:rsidR="00485094" w:rsidRPr="00BD303B" w:rsidRDefault="00485094" w:rsidP="00453E80">
            <w:pPr>
              <w:pStyle w:val="TableText"/>
              <w:jc w:val="center"/>
              <w:rPr>
                <w:szCs w:val="18"/>
              </w:rPr>
            </w:pPr>
            <w:r w:rsidRPr="00BD303B">
              <w:rPr>
                <w:szCs w:val="18"/>
              </w:rPr>
              <w:t>2004-08</w:t>
            </w:r>
          </w:p>
        </w:tc>
      </w:tr>
      <w:tr w:rsidR="00485094" w:rsidRPr="00D53BE0" w:rsidTr="00453E80">
        <w:trPr>
          <w:cantSplit/>
          <w:trHeight w:val="288"/>
          <w:jc w:val="center"/>
        </w:trPr>
        <w:tc>
          <w:tcPr>
            <w:tcW w:w="2273" w:type="dxa"/>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1,038,899</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811,851</w:t>
            </w:r>
          </w:p>
        </w:tc>
        <w:tc>
          <w:tcPr>
            <w:tcW w:w="889" w:type="dxa"/>
            <w:shd w:val="clear" w:color="auto" w:fill="FFFFCC"/>
            <w:vAlign w:val="center"/>
          </w:tcPr>
          <w:p w:rsidR="00485094" w:rsidRPr="00BD303B" w:rsidRDefault="00485094" w:rsidP="00453E80">
            <w:pPr>
              <w:pStyle w:val="TableText"/>
              <w:jc w:val="center"/>
              <w:rPr>
                <w:szCs w:val="18"/>
              </w:rPr>
            </w:pPr>
            <w:r w:rsidRPr="00BD303B">
              <w:rPr>
                <w:szCs w:val="18"/>
              </w:rPr>
              <w:t>26,563</w:t>
            </w:r>
          </w:p>
        </w:tc>
        <w:tc>
          <w:tcPr>
            <w:tcW w:w="1361" w:type="dxa"/>
            <w:shd w:val="clear" w:color="auto" w:fill="FFFFCC"/>
            <w:vAlign w:val="center"/>
          </w:tcPr>
          <w:p w:rsidR="00485094" w:rsidRPr="00BD303B" w:rsidRDefault="00485094" w:rsidP="00453E80">
            <w:pPr>
              <w:pStyle w:val="TableText"/>
              <w:jc w:val="center"/>
              <w:rPr>
                <w:szCs w:val="18"/>
              </w:rPr>
            </w:pPr>
            <w:r w:rsidRPr="00BD303B">
              <w:rPr>
                <w:szCs w:val="18"/>
              </w:rPr>
              <w:t>200,485</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628</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95.0</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93.4-96.7</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5.0</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Default="00485094" w:rsidP="00692F31">
      <w:pPr>
        <w:pStyle w:val="Bodytext"/>
        <w:rPr>
          <w:rFonts w:cs="Arial"/>
          <w:b/>
          <w:color w:val="000000"/>
          <w:szCs w:val="24"/>
        </w:rPr>
      </w:pPr>
      <w:r w:rsidRPr="00626C5F">
        <w:rPr>
          <w:rFonts w:cs="Arial"/>
          <w:b/>
          <w:color w:val="000000"/>
          <w:szCs w:val="24"/>
        </w:rPr>
        <w:t>Highlights</w:t>
      </w:r>
      <w:r>
        <w:rPr>
          <w:rFonts w:cs="Arial"/>
          <w:b/>
          <w:color w:val="000000"/>
          <w:szCs w:val="24"/>
        </w:rPr>
        <w:t>:  Large Lakes</w:t>
      </w:r>
    </w:p>
    <w:p w:rsidR="00485094" w:rsidRDefault="00485094" w:rsidP="00692F31">
      <w:pPr>
        <w:pStyle w:val="ListBullet"/>
        <w:rPr>
          <w:b/>
        </w:rPr>
      </w:pPr>
      <w:r>
        <w:t>N</w:t>
      </w:r>
      <w:r w:rsidRPr="00D51C9B">
        <w:t xml:space="preserve">o large lake resources in the Charlotte Harbor, Caloosahatchee, Southeast Coast–Biscayne Bay, Everglades, Florida Keys, Indian River Lagoon, and Upper East Coast </w:t>
      </w:r>
      <w:r>
        <w:t>B</w:t>
      </w:r>
      <w:r w:rsidRPr="00D51C9B">
        <w:t xml:space="preserve">asins fit the definition of the target population. </w:t>
      </w:r>
      <w:r w:rsidRPr="00D51C9B">
        <w:rPr>
          <w:b/>
        </w:rPr>
        <w:t xml:space="preserve"> </w:t>
      </w:r>
    </w:p>
    <w:p w:rsidR="00485094" w:rsidRDefault="00485094" w:rsidP="00692F31">
      <w:pPr>
        <w:pStyle w:val="ListBullet"/>
      </w:pPr>
      <w:r w:rsidRPr="00D51C9B">
        <w:t>Statewide</w:t>
      </w:r>
      <w:r>
        <w:t>,</w:t>
      </w:r>
      <w:r w:rsidRPr="00D51C9B">
        <w:t xml:space="preserve"> 94% of </w:t>
      </w:r>
      <w:r>
        <w:t>the</w:t>
      </w:r>
      <w:r w:rsidRPr="00D51C9B">
        <w:t xml:space="preserve"> </w:t>
      </w:r>
      <w:r>
        <w:t>target population’s lake acres</w:t>
      </w:r>
      <w:r w:rsidRPr="00B13CD3">
        <w:t xml:space="preserve"> </w:t>
      </w:r>
      <w:r>
        <w:t>were below the TSI indicator (</w:t>
      </w:r>
      <w:r w:rsidRPr="003B37D3">
        <w:rPr>
          <w:rFonts w:cs="Arial"/>
        </w:rPr>
        <w:t>Color ≤ 40 PCUs, then TSI ≤ 40</w:t>
      </w:r>
      <w:r>
        <w:rPr>
          <w:rFonts w:cs="Arial"/>
        </w:rPr>
        <w:t xml:space="preserve">; </w:t>
      </w:r>
      <w:r w:rsidRPr="003B37D3">
        <w:rPr>
          <w:rFonts w:cs="Arial"/>
        </w:rPr>
        <w:t>Color &gt; 40 PCUs, then TSI ≤ 60</w:t>
      </w:r>
      <w:r>
        <w:t>) criteria.</w:t>
      </w:r>
      <w:r w:rsidRPr="00D51C9B">
        <w:t xml:space="preserve">  This threshold for TSI was met for 90%, or greater, of each basin’s lake acreage with two exceptions</w:t>
      </w:r>
      <w:r>
        <w:t>:  th</w:t>
      </w:r>
      <w:r w:rsidRPr="00D51C9B">
        <w:t xml:space="preserve">e </w:t>
      </w:r>
      <w:r>
        <w:t>Everglades West Coast (79.3%) and</w:t>
      </w:r>
      <w:r w:rsidRPr="00D51C9B">
        <w:t xml:space="preserve"> Sarasota Bay</w:t>
      </w:r>
      <w:r>
        <w:t>–</w:t>
      </w:r>
      <w:r w:rsidRPr="00D51C9B">
        <w:t>Peace</w:t>
      </w:r>
      <w:r>
        <w:t>–</w:t>
      </w:r>
      <w:r w:rsidRPr="00D51C9B">
        <w:t>Myakka (73.3%)</w:t>
      </w:r>
      <w:r>
        <w:t xml:space="preserve"> Basins</w:t>
      </w:r>
      <w:r w:rsidRPr="00D51C9B">
        <w:t>.</w:t>
      </w:r>
      <w:r>
        <w:t xml:space="preserve">  </w:t>
      </w:r>
    </w:p>
    <w:p w:rsidR="00485094" w:rsidRDefault="00485094" w:rsidP="00692F31">
      <w:pPr>
        <w:pStyle w:val="ListBullet"/>
      </w:pPr>
      <w:r w:rsidRPr="00D51C9B">
        <w:t>Statewide</w:t>
      </w:r>
      <w:r>
        <w:t>,</w:t>
      </w:r>
      <w:r w:rsidRPr="00D51C9B">
        <w:t xml:space="preserve"> </w:t>
      </w:r>
      <w:r w:rsidRPr="00867B0D">
        <w:t>9</w:t>
      </w:r>
      <w:r w:rsidRPr="00D62122">
        <w:t>6</w:t>
      </w:r>
      <w:r w:rsidRPr="00867B0D">
        <w:t>.6%</w:t>
      </w:r>
      <w:r w:rsidRPr="00D51C9B">
        <w:t xml:space="preserve"> of </w:t>
      </w:r>
      <w:r>
        <w:t>the</w:t>
      </w:r>
      <w:r w:rsidRPr="00D51C9B">
        <w:t xml:space="preserve"> </w:t>
      </w:r>
      <w:r>
        <w:t>target population’s lake acres</w:t>
      </w:r>
      <w:r w:rsidRPr="00576ED2">
        <w:t xml:space="preserve"> </w:t>
      </w:r>
      <w:r>
        <w:t>were below the un-ionized ammonia (</w:t>
      </w:r>
      <w:r w:rsidRPr="003B37D3">
        <w:rPr>
          <w:rFonts w:cs="Arial"/>
        </w:rPr>
        <w:t>≤ 0.02 mg/L</w:t>
      </w:r>
      <w:r>
        <w:rPr>
          <w:rFonts w:cs="Arial"/>
        </w:rPr>
        <w:t xml:space="preserve">) </w:t>
      </w:r>
      <w:r>
        <w:t>criteria</w:t>
      </w:r>
      <w:r w:rsidRPr="00D51C9B">
        <w:t xml:space="preserve">.  This threshold for </w:t>
      </w:r>
      <w:r>
        <w:t>un-ionized ammonia</w:t>
      </w:r>
      <w:r w:rsidRPr="00000364">
        <w:t xml:space="preserve"> </w:t>
      </w:r>
      <w:r w:rsidRPr="00D51C9B">
        <w:t xml:space="preserve">was met for 90%, or greater, </w:t>
      </w:r>
      <w:r>
        <w:t xml:space="preserve">of each basin’s lake acreage </w:t>
      </w:r>
      <w:r w:rsidRPr="00D51C9B">
        <w:t>with two exceptions</w:t>
      </w:r>
      <w:r>
        <w:t xml:space="preserve">:  </w:t>
      </w:r>
      <w:r w:rsidRPr="00D51C9B">
        <w:t>the Everglades West Coast (89.7%) and the Ocklawaha (80.0%)</w:t>
      </w:r>
      <w:r>
        <w:t xml:space="preserve"> Basins.</w:t>
      </w:r>
    </w:p>
    <w:p w:rsidR="00485094" w:rsidRDefault="00485094" w:rsidP="00692F31">
      <w:pPr>
        <w:pStyle w:val="ListBullet"/>
      </w:pPr>
      <w:r w:rsidRPr="00D51C9B">
        <w:t>Statewide</w:t>
      </w:r>
      <w:r>
        <w:t>,</w:t>
      </w:r>
      <w:r w:rsidRPr="00D51C9B">
        <w:t xml:space="preserve"> 99.7% of </w:t>
      </w:r>
      <w:r>
        <w:t>the</w:t>
      </w:r>
      <w:r w:rsidRPr="00D51C9B">
        <w:t xml:space="preserve"> </w:t>
      </w:r>
      <w:r>
        <w:t>target population’s lake acres</w:t>
      </w:r>
      <w:r w:rsidRPr="00576ED2">
        <w:t xml:space="preserve"> </w:t>
      </w:r>
      <w:r>
        <w:t>were below the fecal coliform (</w:t>
      </w:r>
      <w:r w:rsidRPr="003B37D3">
        <w:rPr>
          <w:rFonts w:cs="Arial"/>
        </w:rPr>
        <w:t>&lt; 400 colonies/100mL</w:t>
      </w:r>
      <w:r>
        <w:rPr>
          <w:rFonts w:cs="Arial"/>
        </w:rPr>
        <w:t xml:space="preserve">) </w:t>
      </w:r>
      <w:r>
        <w:t>criteria</w:t>
      </w:r>
      <w:r w:rsidRPr="00D51C9B">
        <w:t xml:space="preserve">.  This threshold for fecal coliform was met for 90%, or greater, in all basins.  </w:t>
      </w:r>
    </w:p>
    <w:p w:rsidR="00485094" w:rsidRPr="00576ED2" w:rsidRDefault="00485094" w:rsidP="00692F31">
      <w:pPr>
        <w:pStyle w:val="ListBullet"/>
        <w:autoSpaceDE w:val="0"/>
        <w:autoSpaceDN w:val="0"/>
        <w:adjustRightInd w:val="0"/>
        <w:rPr>
          <w:rFonts w:cs="Arial"/>
          <w:b/>
          <w:sz w:val="20"/>
          <w:szCs w:val="20"/>
        </w:rPr>
      </w:pPr>
      <w:r w:rsidRPr="00D51C9B">
        <w:t>Statewide</w:t>
      </w:r>
      <w:r>
        <w:t xml:space="preserve">, </w:t>
      </w:r>
      <w:r w:rsidRPr="00D51C9B">
        <w:t xml:space="preserve">95% of </w:t>
      </w:r>
      <w:r>
        <w:t>the</w:t>
      </w:r>
      <w:r w:rsidRPr="00D51C9B">
        <w:t xml:space="preserve"> </w:t>
      </w:r>
      <w:r>
        <w:t>target population’s lake acres were above the DO (</w:t>
      </w:r>
      <w:r w:rsidRPr="00576ED2">
        <w:rPr>
          <w:rFonts w:cs="Arial"/>
          <w:lang w:val="fr-FR"/>
        </w:rPr>
        <w:t xml:space="preserve">≥ 5 mg/L) </w:t>
      </w:r>
      <w:r>
        <w:t>criteria</w:t>
      </w:r>
      <w:r w:rsidRPr="00D51C9B">
        <w:t>.  This threshold for DO was met for 80%, or greater, of each basin’s lake acreage</w:t>
      </w:r>
      <w:r>
        <w:t xml:space="preserve">, except for the Ochlockonee–St. Marks (53.3%) and </w:t>
      </w:r>
      <w:r w:rsidRPr="00D51C9B">
        <w:t>Apalachicola–Chipola (50.0%)</w:t>
      </w:r>
      <w:r>
        <w:t xml:space="preserve"> Basins</w:t>
      </w:r>
      <w:r w:rsidRPr="00D51C9B">
        <w:t xml:space="preserve">. </w:t>
      </w:r>
      <w:r w:rsidRPr="002B4327">
        <w:t xml:space="preserve"> </w:t>
      </w:r>
      <w:r>
        <w:t>Input of color and organic carbon from wetlands, r</w:t>
      </w:r>
      <w:r w:rsidRPr="00B32EC7">
        <w:t xml:space="preserve">espiration by aquatic animals, decomposition, and various chemical reactions </w:t>
      </w:r>
      <w:r>
        <w:t>lower DO</w:t>
      </w:r>
      <w:r w:rsidRPr="00B32EC7">
        <w:t>.</w:t>
      </w:r>
    </w:p>
    <w:p w:rsidR="00485094" w:rsidRDefault="00485094" w:rsidP="00692F31">
      <w:pPr>
        <w:autoSpaceDE w:val="0"/>
        <w:autoSpaceDN w:val="0"/>
        <w:adjustRightInd w:val="0"/>
        <w:rPr>
          <w:rFonts w:ascii="Arial" w:hAnsi="Arial" w:cs="Arial"/>
          <w:b/>
          <w:i/>
          <w:sz w:val="20"/>
          <w:szCs w:val="20"/>
        </w:rPr>
        <w:sectPr w:rsidR="00485094" w:rsidSect="003B37D3">
          <w:pgSz w:w="15840" w:h="12240" w:orient="landscape" w:code="1"/>
          <w:pgMar w:top="1440" w:right="1440" w:bottom="1440" w:left="1440" w:header="720" w:footer="720" w:gutter="0"/>
          <w:paperSrc w:first="261"/>
          <w:cols w:space="720"/>
          <w:docGrid w:linePitch="360"/>
        </w:sectPr>
      </w:pPr>
    </w:p>
    <w:p w:rsidR="00485094" w:rsidRPr="00491133" w:rsidRDefault="00485094" w:rsidP="00692F31">
      <w:pPr>
        <w:pStyle w:val="Caption"/>
        <w:rPr>
          <w:bCs/>
        </w:rPr>
      </w:pPr>
      <w:bookmarkStart w:id="398" w:name="_Toc262464300"/>
      <w:bookmarkStart w:id="399" w:name="_Toc271280152"/>
      <w:r w:rsidRPr="00491133">
        <w:lastRenderedPageBreak/>
        <w:t xml:space="preserve">Figure </w:t>
      </w:r>
      <w:r>
        <w:t>6.7.  Statewide Small Lake Sample Locations by Basin</w:t>
      </w:r>
      <w:bookmarkEnd w:id="398"/>
      <w:bookmarkEnd w:id="399"/>
    </w:p>
    <w:p w:rsidR="00485094" w:rsidRDefault="00485094" w:rsidP="00692F31">
      <w:pPr>
        <w:pStyle w:val="Bodytext"/>
        <w:rPr>
          <w:b/>
          <w:i/>
        </w:rPr>
      </w:pPr>
    </w:p>
    <w:p w:rsidR="00485094" w:rsidRDefault="001717CD" w:rsidP="00692F31">
      <w:pPr>
        <w:pStyle w:val="Bodytext"/>
        <w:jc w:val="center"/>
        <w:rPr>
          <w:b/>
          <w:i/>
        </w:rPr>
      </w:pPr>
      <w:r>
        <w:rPr>
          <w:b/>
          <w:i/>
          <w:noProof/>
        </w:rPr>
        <w:drawing>
          <wp:inline distT="0" distB="0" distL="0" distR="0">
            <wp:extent cx="5106670" cy="5943600"/>
            <wp:effectExtent l="19050" t="0" r="0" b="0"/>
            <wp:docPr id="5" name="Picture 1" descr="Figure 6.7.  Statewide Small Lake Sample Locations by Basin.  This is a map of the state of Florida divided into the 29 basins showing the locations where small lakes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7.  Statewide Small Lake Sample Locations by Basin"/>
                    <pic:cNvPicPr>
                      <a:picLocks noChangeAspect="1" noChangeArrowheads="1"/>
                    </pic:cNvPicPr>
                  </pic:nvPicPr>
                  <pic:blipFill>
                    <a:blip r:embed="rId80"/>
                    <a:srcRect/>
                    <a:stretch>
                      <a:fillRect/>
                    </a:stretch>
                  </pic:blipFill>
                  <pic:spPr bwMode="auto">
                    <a:xfrm>
                      <a:off x="0" y="0"/>
                      <a:ext cx="5106670" cy="5943600"/>
                    </a:xfrm>
                    <a:prstGeom prst="rect">
                      <a:avLst/>
                    </a:prstGeom>
                    <a:noFill/>
                    <a:ln w="9525">
                      <a:noFill/>
                      <a:miter lim="800000"/>
                      <a:headEnd/>
                      <a:tailEnd/>
                    </a:ln>
                  </pic:spPr>
                </pic:pic>
              </a:graphicData>
            </a:graphic>
          </wp:inline>
        </w:drawing>
      </w:r>
    </w:p>
    <w:p w:rsidR="00485094" w:rsidRDefault="00485094" w:rsidP="00692F31">
      <w:pPr>
        <w:pStyle w:val="Bodytext"/>
        <w:rPr>
          <w:b/>
          <w:i/>
        </w:rPr>
      </w:pPr>
    </w:p>
    <w:p w:rsidR="00485094" w:rsidRDefault="00485094" w:rsidP="00692F31">
      <w:pPr>
        <w:pStyle w:val="Bodytext"/>
        <w:rPr>
          <w:b/>
          <w:i/>
        </w:rPr>
      </w:pPr>
    </w:p>
    <w:p w:rsidR="00EA20EC" w:rsidRDefault="00EA20EC" w:rsidP="00692F31">
      <w:pPr>
        <w:pStyle w:val="Bodytextreduced"/>
        <w:sectPr w:rsidR="00EA20EC" w:rsidSect="003B37D3">
          <w:pgSz w:w="12240" w:h="15840" w:code="1"/>
          <w:pgMar w:top="1440" w:right="1440" w:bottom="1440" w:left="1440" w:header="720" w:footer="720" w:gutter="0"/>
          <w:paperSrc w:first="261"/>
          <w:cols w:space="720"/>
          <w:docGrid w:linePitch="360"/>
        </w:sectPr>
      </w:pPr>
    </w:p>
    <w:p w:rsidR="00485094" w:rsidRDefault="00485094" w:rsidP="00692F31">
      <w:pPr>
        <w:pStyle w:val="Bodytextreduced"/>
      </w:pPr>
    </w:p>
    <w:p w:rsidR="00485094" w:rsidRDefault="00485094" w:rsidP="00692F31">
      <w:pPr>
        <w:pStyle w:val="Caption"/>
      </w:pPr>
      <w:bookmarkStart w:id="400" w:name="_Toc262464301"/>
      <w:bookmarkStart w:id="401" w:name="_Toc271280153"/>
      <w:r w:rsidRPr="00491133">
        <w:t xml:space="preserve">Figure </w:t>
      </w:r>
      <w:r>
        <w:t>6.8.  Statewide Summary of Small Lake Results</w:t>
      </w:r>
      <w:bookmarkEnd w:id="400"/>
      <w:bookmarkEnd w:id="401"/>
    </w:p>
    <w:p w:rsidR="00485094" w:rsidRDefault="00485094" w:rsidP="00692F31">
      <w:pPr>
        <w:pStyle w:val="Bodytext"/>
        <w:rPr>
          <w:b/>
          <w:i/>
        </w:rPr>
      </w:pPr>
    </w:p>
    <w:p w:rsidR="00485094" w:rsidRDefault="001717CD" w:rsidP="00692F31">
      <w:pPr>
        <w:pStyle w:val="Bodytext"/>
        <w:jc w:val="center"/>
        <w:rPr>
          <w:b/>
          <w:i/>
        </w:rPr>
      </w:pPr>
      <w:r>
        <w:rPr>
          <w:b/>
          <w:i/>
          <w:noProof/>
        </w:rPr>
        <w:drawing>
          <wp:inline distT="0" distB="0" distL="0" distR="0">
            <wp:extent cx="5943600" cy="6513195"/>
            <wp:effectExtent l="19050" t="0" r="0" b="0"/>
            <wp:docPr id="6" name="Picture 2" descr="Figure 6.8.  Statewide Summary of Small Lake Results.  This graphic shows statewide results in pie chart format for the small lake indicators.  The results follow in Table 6.3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8.  Statewide Summary of Small Lake Results"/>
                    <pic:cNvPicPr>
                      <a:picLocks noChangeAspect="1" noChangeArrowheads="1"/>
                    </pic:cNvPicPr>
                  </pic:nvPicPr>
                  <pic:blipFill>
                    <a:blip r:embed="rId81"/>
                    <a:srcRect/>
                    <a:stretch>
                      <a:fillRect/>
                    </a:stretch>
                  </pic:blipFill>
                  <pic:spPr bwMode="auto">
                    <a:xfrm>
                      <a:off x="0" y="0"/>
                      <a:ext cx="5943600" cy="6513195"/>
                    </a:xfrm>
                    <a:prstGeom prst="rect">
                      <a:avLst/>
                    </a:prstGeom>
                    <a:noFill/>
                    <a:ln w="9525">
                      <a:noFill/>
                      <a:miter lim="800000"/>
                      <a:headEnd/>
                      <a:tailEnd/>
                    </a:ln>
                  </pic:spPr>
                </pic:pic>
              </a:graphicData>
            </a:graphic>
          </wp:inline>
        </w:drawing>
      </w:r>
    </w:p>
    <w:p w:rsidR="00485094" w:rsidRDefault="00485094" w:rsidP="00692F31">
      <w:pPr>
        <w:pStyle w:val="Bodytext"/>
        <w:rPr>
          <w:b/>
          <w:i/>
        </w:rPr>
      </w:pPr>
    </w:p>
    <w:p w:rsidR="00485094" w:rsidRDefault="00485094" w:rsidP="00692F31">
      <w:pPr>
        <w:sectPr w:rsidR="00485094" w:rsidSect="003B37D3">
          <w:pgSz w:w="12240" w:h="15840" w:code="1"/>
          <w:pgMar w:top="1440" w:right="1440" w:bottom="1440" w:left="1440" w:header="720" w:footer="720" w:gutter="0"/>
          <w:paperSrc w:first="261"/>
          <w:cols w:space="720"/>
          <w:docGrid w:linePitch="360"/>
        </w:sectPr>
      </w:pPr>
      <w:bookmarkStart w:id="402" w:name="_Toc129076558"/>
      <w:bookmarkStart w:id="403" w:name="_Toc134347503"/>
    </w:p>
    <w:p w:rsidR="00485094" w:rsidRDefault="00485094" w:rsidP="00692F31">
      <w:pPr>
        <w:pStyle w:val="Bodytextreduced"/>
      </w:pPr>
    </w:p>
    <w:p w:rsidR="00485094" w:rsidRDefault="00485094" w:rsidP="00692F31">
      <w:pPr>
        <w:pStyle w:val="Tableheading"/>
        <w:rPr>
          <w:bCs/>
          <w:szCs w:val="22"/>
        </w:rPr>
      </w:pPr>
      <w:bookmarkStart w:id="404" w:name="_Toc255482833"/>
      <w:bookmarkStart w:id="405" w:name="_Toc255807491"/>
      <w:bookmarkStart w:id="406" w:name="_Toc262464249"/>
      <w:bookmarkStart w:id="407" w:name="_Toc271889843"/>
      <w:r w:rsidRPr="00FD0860">
        <w:t xml:space="preserve">Table </w:t>
      </w:r>
      <w:r>
        <w:t>6.3e.  Statewide Percentage of Small Lakes Meeting Threshold Values</w:t>
      </w:r>
      <w:r w:rsidRPr="00FD0860">
        <w:t xml:space="preserve"> </w:t>
      </w:r>
      <w:r>
        <w:t xml:space="preserve">for Indicators </w:t>
      </w:r>
      <w:r w:rsidRPr="00FD0860">
        <w:t xml:space="preserve">Calculated Using </w:t>
      </w:r>
      <w:r>
        <w:t>Probabilistic Monitoring Design</w:t>
      </w:r>
      <w:bookmarkEnd w:id="404"/>
      <w:bookmarkEnd w:id="405"/>
      <w:bookmarkEnd w:id="406"/>
      <w:bookmarkEnd w:id="407"/>
    </w:p>
    <w:p w:rsidR="00485094" w:rsidRDefault="00485094" w:rsidP="00692F31">
      <w:pPr>
        <w:ind w:left="1440"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w:t>
      </w:r>
      <w:r w:rsidRPr="00FA73B4">
        <w:rPr>
          <w:rFonts w:ascii="Arial" w:hAnsi="Arial" w:cs="Arial"/>
          <w:b/>
          <w:sz w:val="18"/>
          <w:szCs w:val="18"/>
        </w:rPr>
        <w:t>Recreation and Aquatic Life</w:t>
      </w:r>
      <w:r>
        <w:rPr>
          <w:rFonts w:ascii="Arial" w:hAnsi="Arial" w:cs="Arial"/>
          <w:b/>
          <w:sz w:val="18"/>
          <w:szCs w:val="18"/>
        </w:rPr>
        <w:t xml:space="preserve"> </w:t>
      </w:r>
      <w:r>
        <w:rPr>
          <w:rFonts w:ascii="Arial" w:hAnsi="Arial" w:cs="Arial"/>
          <w:b/>
          <w:sz w:val="18"/>
          <w:szCs w:val="18"/>
        </w:rPr>
        <w:tab/>
      </w:r>
      <w:r>
        <w:rPr>
          <w:rFonts w:ascii="Arial" w:hAnsi="Arial" w:cs="Arial"/>
          <w:b/>
          <w:sz w:val="18"/>
          <w:szCs w:val="18"/>
        </w:rPr>
        <w:tab/>
        <w:t>Units:  Lakes</w:t>
      </w:r>
    </w:p>
    <w:p w:rsidR="00485094" w:rsidRDefault="00485094" w:rsidP="00692F31">
      <w:pPr>
        <w:pStyle w:val="TabledescriptionBF"/>
      </w:pPr>
      <w:r>
        <w:t>This is a 10-column table.  Column 1 lists the analyte, Column 2 lists the target population, Column 3 lists the sampleable miles, Column 4 lists the dry miles, Column 5 lists the inaccessible miles, Column 6 lists the number of samples, Column 7 lists the percent meeting the threshold, Column 8 lists the 95% confidence bounds, Column 9 lists the percent not meeting the threshold, and Column 10 lists the assessment period.</w:t>
      </w:r>
    </w:p>
    <w:p w:rsidR="00485094" w:rsidRPr="00D53BE0" w:rsidRDefault="00485094" w:rsidP="00692F31">
      <w:pPr>
        <w:pStyle w:val="Bodytextreduced"/>
      </w:pPr>
    </w:p>
    <w:p w:rsidR="00485094" w:rsidRDefault="00485094" w:rsidP="00692F31">
      <w:pPr>
        <w:pStyle w:val="Bodytextreduced"/>
        <w:rPr>
          <w:rFonts w:cs="Arial"/>
        </w:rPr>
      </w:pPr>
      <w:r w:rsidRPr="00D53BE0">
        <w:rPr>
          <w:rFonts w:cs="Arial"/>
          <w:vertAlign w:val="superscript"/>
        </w:rPr>
        <w:t xml:space="preserve">1 </w:t>
      </w:r>
      <w:r>
        <w:rPr>
          <w:rFonts w:cs="Arial"/>
        </w:rPr>
        <w:t>Lakes</w:t>
      </w:r>
    </w:p>
    <w:p w:rsidR="00485094" w:rsidRPr="00D53BE0" w:rsidRDefault="00485094" w:rsidP="00692F31">
      <w:pPr>
        <w:pStyle w:val="Bodytextreduced"/>
        <w:rPr>
          <w:rFonts w:cs="Arial"/>
        </w:rPr>
      </w:pPr>
      <w:r w:rsidRPr="00CC5085">
        <w:rPr>
          <w:rFonts w:cs="Arial"/>
          <w:vertAlign w:val="superscript"/>
        </w:rPr>
        <w:t xml:space="preserve">2 </w:t>
      </w:r>
      <w:r>
        <w:rPr>
          <w:rFonts w:cs="Arial"/>
        </w:rPr>
        <w:t>Estimated number of lakes</w:t>
      </w:r>
    </w:p>
    <w:tbl>
      <w:tblPr>
        <w:tblW w:w="1370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2273"/>
        <w:gridCol w:w="1350"/>
        <w:gridCol w:w="1350"/>
        <w:gridCol w:w="810"/>
        <w:gridCol w:w="1440"/>
        <w:gridCol w:w="1159"/>
        <w:gridCol w:w="1181"/>
        <w:gridCol w:w="1609"/>
        <w:gridCol w:w="1181"/>
        <w:gridCol w:w="1350"/>
      </w:tblGrid>
      <w:tr w:rsidR="00485094" w:rsidRPr="00A94B36" w:rsidTr="000F2909">
        <w:trPr>
          <w:tblHeader/>
          <w:jc w:val="center"/>
        </w:trPr>
        <w:tc>
          <w:tcPr>
            <w:tcW w:w="2273"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Analyte</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Target Population</w:t>
            </w:r>
            <w:r w:rsidRPr="00A94B36">
              <w:rPr>
                <w:b/>
                <w:i/>
                <w:szCs w:val="18"/>
                <w:vertAlign w:val="superscript"/>
              </w:rPr>
              <w:t>1</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Sampleable</w:t>
            </w:r>
            <w:r w:rsidRPr="00A94B36">
              <w:rPr>
                <w:b/>
                <w:i/>
                <w:szCs w:val="18"/>
                <w:vertAlign w:val="superscript"/>
              </w:rPr>
              <w:t>2</w:t>
            </w:r>
          </w:p>
        </w:tc>
        <w:tc>
          <w:tcPr>
            <w:tcW w:w="81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Dry</w:t>
            </w:r>
            <w:r w:rsidRPr="00A94B36">
              <w:rPr>
                <w:b/>
                <w:i/>
                <w:szCs w:val="18"/>
                <w:vertAlign w:val="superscript"/>
              </w:rPr>
              <w:t>2</w:t>
            </w:r>
          </w:p>
        </w:tc>
        <w:tc>
          <w:tcPr>
            <w:tcW w:w="144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Inaccessible</w:t>
            </w:r>
            <w:r w:rsidRPr="00A94B36">
              <w:rPr>
                <w:b/>
                <w:i/>
                <w:szCs w:val="18"/>
                <w:vertAlign w:val="superscript"/>
              </w:rPr>
              <w:t>2</w:t>
            </w:r>
          </w:p>
        </w:tc>
        <w:tc>
          <w:tcPr>
            <w:tcW w:w="1159"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Number of Samples</w:t>
            </w:r>
          </w:p>
        </w:tc>
        <w:tc>
          <w:tcPr>
            <w:tcW w:w="1181"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Meeting Threshold</w:t>
            </w:r>
          </w:p>
        </w:tc>
        <w:tc>
          <w:tcPr>
            <w:tcW w:w="1609"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xml:space="preserve">95% </w:t>
            </w:r>
          </w:p>
          <w:p w:rsidR="00485094" w:rsidRPr="00A94B36" w:rsidRDefault="00485094" w:rsidP="00453E80">
            <w:pPr>
              <w:pStyle w:val="TableText"/>
              <w:jc w:val="center"/>
              <w:rPr>
                <w:b/>
                <w:i/>
                <w:szCs w:val="18"/>
              </w:rPr>
            </w:pPr>
            <w:r w:rsidRPr="00A94B36">
              <w:rPr>
                <w:b/>
                <w:i/>
                <w:szCs w:val="18"/>
              </w:rPr>
              <w:t>Confidence Bounds</w:t>
            </w:r>
          </w:p>
          <w:p w:rsidR="00485094" w:rsidRPr="00A94B36" w:rsidRDefault="00485094" w:rsidP="00453E80">
            <w:pPr>
              <w:pStyle w:val="TableText"/>
              <w:jc w:val="center"/>
              <w:rPr>
                <w:b/>
                <w:i/>
                <w:szCs w:val="18"/>
              </w:rPr>
            </w:pPr>
            <w:r w:rsidRPr="00A94B36">
              <w:rPr>
                <w:b/>
                <w:i/>
                <w:szCs w:val="18"/>
              </w:rPr>
              <w:t>(% Meeting Threshold)</w:t>
            </w:r>
          </w:p>
        </w:tc>
        <w:tc>
          <w:tcPr>
            <w:tcW w:w="1181"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 Not Meeting Threshold</w:t>
            </w:r>
          </w:p>
        </w:tc>
        <w:tc>
          <w:tcPr>
            <w:tcW w:w="1350" w:type="dxa"/>
            <w:tcBorders>
              <w:top w:val="single" w:sz="4" w:space="0" w:color="auto"/>
              <w:bottom w:val="double" w:sz="4" w:space="0" w:color="auto"/>
            </w:tcBorders>
            <w:shd w:val="clear" w:color="auto" w:fill="BDFFFF"/>
            <w:vAlign w:val="bottom"/>
          </w:tcPr>
          <w:p w:rsidR="00485094" w:rsidRPr="00A94B36" w:rsidRDefault="00485094" w:rsidP="00453E80">
            <w:pPr>
              <w:pStyle w:val="TableText"/>
              <w:jc w:val="center"/>
              <w:rPr>
                <w:b/>
                <w:i/>
                <w:szCs w:val="18"/>
              </w:rPr>
            </w:pPr>
            <w:r w:rsidRPr="00A94B36">
              <w:rPr>
                <w:b/>
                <w:i/>
                <w:szCs w:val="18"/>
              </w:rPr>
              <w:t>Assessment Period</w:t>
            </w:r>
          </w:p>
        </w:tc>
      </w:tr>
      <w:tr w:rsidR="00485094" w:rsidRPr="00A94B36" w:rsidTr="00453E80">
        <w:trPr>
          <w:cantSplit/>
          <w:trHeight w:val="288"/>
          <w:jc w:val="center"/>
        </w:trPr>
        <w:tc>
          <w:tcPr>
            <w:tcW w:w="2273" w:type="dxa"/>
            <w:tcBorders>
              <w:top w:val="double" w:sz="4" w:space="0" w:color="auto"/>
              <w:left w:val="single" w:sz="6" w:space="0" w:color="auto"/>
            </w:tcBorders>
            <w:vAlign w:val="center"/>
          </w:tcPr>
          <w:p w:rsidR="00485094" w:rsidRPr="00BD303B" w:rsidRDefault="00485094" w:rsidP="00453E80">
            <w:pPr>
              <w:pStyle w:val="TableText"/>
              <w:jc w:val="center"/>
              <w:rPr>
                <w:i/>
                <w:szCs w:val="18"/>
              </w:rPr>
            </w:pPr>
            <w:r w:rsidRPr="00BD303B">
              <w:rPr>
                <w:szCs w:val="18"/>
              </w:rPr>
              <w:t>TSI</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5,882</w:t>
            </w:r>
          </w:p>
        </w:tc>
        <w:tc>
          <w:tcPr>
            <w:tcW w:w="135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2,147</w:t>
            </w:r>
          </w:p>
        </w:tc>
        <w:tc>
          <w:tcPr>
            <w:tcW w:w="81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1,516</w:t>
            </w:r>
          </w:p>
        </w:tc>
        <w:tc>
          <w:tcPr>
            <w:tcW w:w="1440"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2,219</w:t>
            </w:r>
          </w:p>
        </w:tc>
        <w:tc>
          <w:tcPr>
            <w:tcW w:w="115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465</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90.3</w:t>
            </w:r>
          </w:p>
        </w:tc>
        <w:tc>
          <w:tcPr>
            <w:tcW w:w="1609"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86.8-93.8</w:t>
            </w:r>
          </w:p>
        </w:tc>
        <w:tc>
          <w:tcPr>
            <w:tcW w:w="1181" w:type="dxa"/>
            <w:tcBorders>
              <w:top w:val="double" w:sz="4" w:space="0" w:color="auto"/>
            </w:tcBorders>
            <w:vAlign w:val="center"/>
          </w:tcPr>
          <w:p w:rsidR="00485094" w:rsidRPr="00BD303B" w:rsidRDefault="00485094" w:rsidP="00453E80">
            <w:pPr>
              <w:pStyle w:val="TableText"/>
              <w:jc w:val="center"/>
              <w:rPr>
                <w:szCs w:val="18"/>
              </w:rPr>
            </w:pPr>
            <w:r w:rsidRPr="00BD303B">
              <w:rPr>
                <w:szCs w:val="18"/>
              </w:rPr>
              <w:t>9.7</w:t>
            </w:r>
          </w:p>
        </w:tc>
        <w:tc>
          <w:tcPr>
            <w:tcW w:w="1350" w:type="dxa"/>
            <w:tcBorders>
              <w:top w:val="double" w:sz="4" w:space="0" w:color="auto"/>
              <w:right w:val="single" w:sz="6"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Un-ionized Ammonia</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5,882</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2,147</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1,516</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2,219</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464</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99.3</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98.5-100.0</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0.7</w:t>
            </w:r>
          </w:p>
        </w:tc>
        <w:tc>
          <w:tcPr>
            <w:tcW w:w="1350" w:type="dxa"/>
            <w:tcBorders>
              <w:righ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vAlign w:val="center"/>
          </w:tcPr>
          <w:p w:rsidR="00485094" w:rsidRPr="00BD303B" w:rsidRDefault="00485094" w:rsidP="00453E80">
            <w:pPr>
              <w:pStyle w:val="TableText"/>
              <w:jc w:val="center"/>
              <w:rPr>
                <w:szCs w:val="18"/>
              </w:rPr>
            </w:pPr>
            <w:r w:rsidRPr="00BD303B">
              <w:rPr>
                <w:szCs w:val="18"/>
              </w:rPr>
              <w:t>Fecal Coliform</w:t>
            </w:r>
          </w:p>
        </w:tc>
        <w:tc>
          <w:tcPr>
            <w:tcW w:w="1350" w:type="dxa"/>
            <w:vAlign w:val="center"/>
          </w:tcPr>
          <w:p w:rsidR="00485094" w:rsidRPr="00BD303B" w:rsidRDefault="00485094" w:rsidP="00453E80">
            <w:pPr>
              <w:pStyle w:val="TableText"/>
              <w:jc w:val="center"/>
              <w:rPr>
                <w:szCs w:val="18"/>
              </w:rPr>
            </w:pPr>
            <w:r w:rsidRPr="00BD303B">
              <w:rPr>
                <w:szCs w:val="18"/>
              </w:rPr>
              <w:t>5,882</w:t>
            </w:r>
          </w:p>
        </w:tc>
        <w:tc>
          <w:tcPr>
            <w:tcW w:w="1350" w:type="dxa"/>
            <w:vAlign w:val="center"/>
          </w:tcPr>
          <w:p w:rsidR="00485094" w:rsidRPr="00BD303B" w:rsidRDefault="00485094" w:rsidP="00453E80">
            <w:pPr>
              <w:pStyle w:val="TableText"/>
              <w:jc w:val="center"/>
              <w:rPr>
                <w:szCs w:val="18"/>
              </w:rPr>
            </w:pPr>
            <w:r w:rsidRPr="00BD303B">
              <w:rPr>
                <w:szCs w:val="18"/>
              </w:rPr>
              <w:t>2,147</w:t>
            </w:r>
          </w:p>
        </w:tc>
        <w:tc>
          <w:tcPr>
            <w:tcW w:w="810" w:type="dxa"/>
            <w:vAlign w:val="center"/>
          </w:tcPr>
          <w:p w:rsidR="00485094" w:rsidRPr="00BD303B" w:rsidRDefault="00485094" w:rsidP="00453E80">
            <w:pPr>
              <w:pStyle w:val="TableText"/>
              <w:jc w:val="center"/>
              <w:rPr>
                <w:szCs w:val="18"/>
              </w:rPr>
            </w:pPr>
            <w:r w:rsidRPr="00BD303B">
              <w:rPr>
                <w:szCs w:val="18"/>
              </w:rPr>
              <w:t>1,516</w:t>
            </w:r>
          </w:p>
        </w:tc>
        <w:tc>
          <w:tcPr>
            <w:tcW w:w="1440" w:type="dxa"/>
            <w:vAlign w:val="center"/>
          </w:tcPr>
          <w:p w:rsidR="00485094" w:rsidRPr="00BD303B" w:rsidRDefault="00485094" w:rsidP="00453E80">
            <w:pPr>
              <w:pStyle w:val="TableText"/>
              <w:jc w:val="center"/>
              <w:rPr>
                <w:szCs w:val="18"/>
              </w:rPr>
            </w:pPr>
            <w:r w:rsidRPr="00BD303B">
              <w:rPr>
                <w:szCs w:val="18"/>
              </w:rPr>
              <w:t>2,219</w:t>
            </w:r>
          </w:p>
        </w:tc>
        <w:tc>
          <w:tcPr>
            <w:tcW w:w="1159" w:type="dxa"/>
            <w:vAlign w:val="center"/>
          </w:tcPr>
          <w:p w:rsidR="00485094" w:rsidRPr="00BD303B" w:rsidRDefault="00485094" w:rsidP="00453E80">
            <w:pPr>
              <w:pStyle w:val="TableText"/>
              <w:jc w:val="center"/>
              <w:rPr>
                <w:szCs w:val="18"/>
              </w:rPr>
            </w:pPr>
            <w:r w:rsidRPr="00BD303B">
              <w:rPr>
                <w:szCs w:val="18"/>
              </w:rPr>
              <w:t>456</w:t>
            </w:r>
          </w:p>
        </w:tc>
        <w:tc>
          <w:tcPr>
            <w:tcW w:w="1181" w:type="dxa"/>
            <w:vAlign w:val="center"/>
          </w:tcPr>
          <w:p w:rsidR="00485094" w:rsidRPr="00BD303B" w:rsidRDefault="00485094" w:rsidP="00453E80">
            <w:pPr>
              <w:pStyle w:val="TableText"/>
              <w:jc w:val="center"/>
              <w:rPr>
                <w:szCs w:val="18"/>
              </w:rPr>
            </w:pPr>
            <w:r w:rsidRPr="00BD303B">
              <w:rPr>
                <w:szCs w:val="18"/>
              </w:rPr>
              <w:t>90.9</w:t>
            </w:r>
          </w:p>
        </w:tc>
        <w:tc>
          <w:tcPr>
            <w:tcW w:w="1609" w:type="dxa"/>
            <w:vAlign w:val="center"/>
          </w:tcPr>
          <w:p w:rsidR="00485094" w:rsidRPr="00BD303B" w:rsidRDefault="00485094" w:rsidP="00453E80">
            <w:pPr>
              <w:pStyle w:val="TableText"/>
              <w:jc w:val="center"/>
              <w:rPr>
                <w:szCs w:val="18"/>
              </w:rPr>
            </w:pPr>
            <w:r w:rsidRPr="00BD303B">
              <w:rPr>
                <w:szCs w:val="18"/>
              </w:rPr>
              <w:t>84.1-97.7</w:t>
            </w:r>
          </w:p>
        </w:tc>
        <w:tc>
          <w:tcPr>
            <w:tcW w:w="1181" w:type="dxa"/>
            <w:vAlign w:val="center"/>
          </w:tcPr>
          <w:p w:rsidR="00485094" w:rsidRPr="00BD303B" w:rsidRDefault="00485094" w:rsidP="00453E80">
            <w:pPr>
              <w:pStyle w:val="TableText"/>
              <w:jc w:val="center"/>
              <w:rPr>
                <w:szCs w:val="18"/>
              </w:rPr>
            </w:pPr>
            <w:r w:rsidRPr="00BD303B">
              <w:rPr>
                <w:szCs w:val="18"/>
              </w:rPr>
              <w:t>9.1</w:t>
            </w:r>
          </w:p>
        </w:tc>
        <w:tc>
          <w:tcPr>
            <w:tcW w:w="1350" w:type="dxa"/>
            <w:tcBorders>
              <w:right w:val="single" w:sz="6" w:space="0" w:color="auto"/>
            </w:tcBorders>
            <w:vAlign w:val="center"/>
          </w:tcPr>
          <w:p w:rsidR="00485094" w:rsidRPr="00BD303B" w:rsidRDefault="00485094" w:rsidP="00453E80">
            <w:pPr>
              <w:pStyle w:val="TableText"/>
              <w:jc w:val="center"/>
              <w:rPr>
                <w:szCs w:val="18"/>
              </w:rPr>
            </w:pPr>
            <w:r w:rsidRPr="00BD303B">
              <w:rPr>
                <w:szCs w:val="18"/>
              </w:rPr>
              <w:t>2004-08</w:t>
            </w:r>
          </w:p>
        </w:tc>
      </w:tr>
      <w:tr w:rsidR="00485094" w:rsidRPr="00A94B36" w:rsidTr="00453E80">
        <w:trPr>
          <w:cantSplit/>
          <w:trHeight w:val="288"/>
          <w:jc w:val="center"/>
        </w:trPr>
        <w:tc>
          <w:tcPr>
            <w:tcW w:w="2273" w:type="dxa"/>
            <w:tcBorders>
              <w:lef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DO</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5,882</w:t>
            </w:r>
          </w:p>
        </w:tc>
        <w:tc>
          <w:tcPr>
            <w:tcW w:w="1350" w:type="dxa"/>
            <w:shd w:val="clear" w:color="auto" w:fill="FFFFCC"/>
            <w:vAlign w:val="center"/>
          </w:tcPr>
          <w:p w:rsidR="00485094" w:rsidRPr="00BD303B" w:rsidRDefault="00485094" w:rsidP="00453E80">
            <w:pPr>
              <w:pStyle w:val="TableText"/>
              <w:jc w:val="center"/>
              <w:rPr>
                <w:szCs w:val="18"/>
              </w:rPr>
            </w:pPr>
            <w:r w:rsidRPr="00BD303B">
              <w:rPr>
                <w:szCs w:val="18"/>
              </w:rPr>
              <w:t>2,147</w:t>
            </w:r>
          </w:p>
        </w:tc>
        <w:tc>
          <w:tcPr>
            <w:tcW w:w="810" w:type="dxa"/>
            <w:shd w:val="clear" w:color="auto" w:fill="FFFFCC"/>
            <w:vAlign w:val="center"/>
          </w:tcPr>
          <w:p w:rsidR="00485094" w:rsidRPr="00BD303B" w:rsidRDefault="00485094" w:rsidP="00453E80">
            <w:pPr>
              <w:pStyle w:val="TableText"/>
              <w:jc w:val="center"/>
              <w:rPr>
                <w:szCs w:val="18"/>
              </w:rPr>
            </w:pPr>
            <w:r w:rsidRPr="00BD303B">
              <w:rPr>
                <w:szCs w:val="18"/>
              </w:rPr>
              <w:t>1,516</w:t>
            </w:r>
          </w:p>
        </w:tc>
        <w:tc>
          <w:tcPr>
            <w:tcW w:w="1440" w:type="dxa"/>
            <w:shd w:val="clear" w:color="auto" w:fill="FFFFCC"/>
            <w:vAlign w:val="center"/>
          </w:tcPr>
          <w:p w:rsidR="00485094" w:rsidRPr="00BD303B" w:rsidRDefault="00485094" w:rsidP="00453E80">
            <w:pPr>
              <w:pStyle w:val="TableText"/>
              <w:jc w:val="center"/>
              <w:rPr>
                <w:szCs w:val="18"/>
              </w:rPr>
            </w:pPr>
            <w:r w:rsidRPr="00BD303B">
              <w:rPr>
                <w:szCs w:val="18"/>
              </w:rPr>
              <w:t>2,219</w:t>
            </w:r>
          </w:p>
        </w:tc>
        <w:tc>
          <w:tcPr>
            <w:tcW w:w="1159" w:type="dxa"/>
            <w:shd w:val="clear" w:color="auto" w:fill="FFFFCC"/>
            <w:vAlign w:val="center"/>
          </w:tcPr>
          <w:p w:rsidR="00485094" w:rsidRPr="00BD303B" w:rsidRDefault="00485094" w:rsidP="00453E80">
            <w:pPr>
              <w:pStyle w:val="TableText"/>
              <w:jc w:val="center"/>
              <w:rPr>
                <w:szCs w:val="18"/>
              </w:rPr>
            </w:pPr>
            <w:r w:rsidRPr="00BD303B">
              <w:rPr>
                <w:szCs w:val="18"/>
              </w:rPr>
              <w:t>465</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71.2</w:t>
            </w:r>
          </w:p>
        </w:tc>
        <w:tc>
          <w:tcPr>
            <w:tcW w:w="1609" w:type="dxa"/>
            <w:shd w:val="clear" w:color="auto" w:fill="FFFFCC"/>
            <w:vAlign w:val="center"/>
          </w:tcPr>
          <w:p w:rsidR="00485094" w:rsidRPr="00BD303B" w:rsidRDefault="00485094" w:rsidP="00453E80">
            <w:pPr>
              <w:pStyle w:val="TableText"/>
              <w:jc w:val="center"/>
              <w:rPr>
                <w:szCs w:val="18"/>
              </w:rPr>
            </w:pPr>
            <w:r w:rsidRPr="00BD303B">
              <w:rPr>
                <w:szCs w:val="18"/>
              </w:rPr>
              <w:t>66.7-75.6</w:t>
            </w:r>
          </w:p>
        </w:tc>
        <w:tc>
          <w:tcPr>
            <w:tcW w:w="1181" w:type="dxa"/>
            <w:shd w:val="clear" w:color="auto" w:fill="FFFFCC"/>
            <w:vAlign w:val="center"/>
          </w:tcPr>
          <w:p w:rsidR="00485094" w:rsidRPr="00BD303B" w:rsidRDefault="00485094" w:rsidP="00453E80">
            <w:pPr>
              <w:pStyle w:val="TableText"/>
              <w:jc w:val="center"/>
              <w:rPr>
                <w:szCs w:val="18"/>
              </w:rPr>
            </w:pPr>
            <w:r w:rsidRPr="00BD303B">
              <w:rPr>
                <w:szCs w:val="18"/>
              </w:rPr>
              <w:t>28.8</w:t>
            </w:r>
          </w:p>
        </w:tc>
        <w:tc>
          <w:tcPr>
            <w:tcW w:w="1350" w:type="dxa"/>
            <w:tcBorders>
              <w:right w:val="single" w:sz="6" w:space="0" w:color="auto"/>
            </w:tcBorders>
            <w:shd w:val="clear" w:color="auto" w:fill="FFFFCC"/>
            <w:vAlign w:val="center"/>
          </w:tcPr>
          <w:p w:rsidR="00485094" w:rsidRPr="00BD303B" w:rsidRDefault="00485094" w:rsidP="00453E80">
            <w:pPr>
              <w:pStyle w:val="TableText"/>
              <w:jc w:val="center"/>
              <w:rPr>
                <w:szCs w:val="18"/>
              </w:rPr>
            </w:pPr>
            <w:r w:rsidRPr="00BD303B">
              <w:rPr>
                <w:szCs w:val="18"/>
              </w:rPr>
              <w:t>2004-08</w:t>
            </w:r>
          </w:p>
        </w:tc>
      </w:tr>
    </w:tbl>
    <w:p w:rsidR="00485094" w:rsidRDefault="00485094" w:rsidP="00692F31">
      <w:pPr>
        <w:pStyle w:val="Bodytextreduced"/>
      </w:pPr>
    </w:p>
    <w:p w:rsidR="00485094" w:rsidRPr="00A94B36" w:rsidRDefault="00485094" w:rsidP="00692F31">
      <w:pPr>
        <w:pStyle w:val="Bodytext"/>
        <w:rPr>
          <w:b/>
          <w:color w:val="000000"/>
        </w:rPr>
      </w:pPr>
      <w:r w:rsidRPr="00A94B36">
        <w:rPr>
          <w:b/>
          <w:color w:val="000000"/>
        </w:rPr>
        <w:t>Highlights</w:t>
      </w:r>
      <w:r>
        <w:rPr>
          <w:b/>
          <w:color w:val="000000"/>
        </w:rPr>
        <w:t>:  Small Lakes</w:t>
      </w:r>
    </w:p>
    <w:p w:rsidR="00485094" w:rsidRDefault="00485094" w:rsidP="00692F31">
      <w:pPr>
        <w:pStyle w:val="ListBullet"/>
      </w:pPr>
      <w:r>
        <w:t>N</w:t>
      </w:r>
      <w:r w:rsidRPr="009775CD">
        <w:t xml:space="preserve">o small lake resources in </w:t>
      </w:r>
      <w:r>
        <w:t xml:space="preserve">the </w:t>
      </w:r>
      <w:r w:rsidRPr="009775CD">
        <w:t>Everglades West Coast, Lake Okeechobee, Charlotte Harbor, Everglades, Florida Keys, and Indian River Lagoon</w:t>
      </w:r>
      <w:r>
        <w:t xml:space="preserve"> Basins </w:t>
      </w:r>
      <w:r w:rsidRPr="00D51C9B">
        <w:rPr>
          <w:rFonts w:cs="Arial"/>
        </w:rPr>
        <w:t>fit the definition of the target population</w:t>
      </w:r>
      <w:r>
        <w:t>.</w:t>
      </w:r>
    </w:p>
    <w:p w:rsidR="00485094" w:rsidRDefault="00485094" w:rsidP="00692F31">
      <w:pPr>
        <w:pStyle w:val="ListBullet"/>
        <w:rPr>
          <w:rFonts w:cs="Arial"/>
        </w:rPr>
      </w:pPr>
      <w:r>
        <w:rPr>
          <w:rFonts w:cs="Arial"/>
        </w:rPr>
        <w:t>S</w:t>
      </w:r>
      <w:r w:rsidRPr="00D51C9B">
        <w:rPr>
          <w:rFonts w:cs="Arial"/>
        </w:rPr>
        <w:t>tatewide</w:t>
      </w:r>
      <w:r>
        <w:rPr>
          <w:rFonts w:cs="Arial"/>
        </w:rPr>
        <w:t>,</w:t>
      </w:r>
      <w:r w:rsidRPr="00D51C9B">
        <w:rPr>
          <w:rFonts w:cs="Arial"/>
        </w:rPr>
        <w:t xml:space="preserve"> </w:t>
      </w:r>
      <w:r>
        <w:t>90.3</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TSI indicator (</w:t>
      </w:r>
      <w:r w:rsidRPr="003B37D3">
        <w:rPr>
          <w:rFonts w:cs="Arial"/>
        </w:rPr>
        <w:t>Color ≤ 40 PCUs, then TSI ≤ 40</w:t>
      </w:r>
      <w:r>
        <w:rPr>
          <w:rFonts w:cs="Arial"/>
        </w:rPr>
        <w:t xml:space="preserve">; </w:t>
      </w:r>
      <w:r w:rsidRPr="003B37D3">
        <w:rPr>
          <w:rFonts w:cs="Arial"/>
        </w:rPr>
        <w:t>Color &gt; 40 PCUs, then TSI ≤ 60</w:t>
      </w:r>
      <w:r>
        <w:t>) criteria</w:t>
      </w:r>
      <w:r>
        <w:rPr>
          <w:rFonts w:cs="Arial"/>
        </w:rPr>
        <w:t xml:space="preserve">.  </w:t>
      </w:r>
      <w:r w:rsidRPr="00D51C9B">
        <w:rPr>
          <w:rFonts w:cs="Arial"/>
        </w:rPr>
        <w:t xml:space="preserve">This threshold for </w:t>
      </w:r>
      <w:r>
        <w:rPr>
          <w:rFonts w:cs="Arial"/>
        </w:rPr>
        <w:t>TSI</w:t>
      </w:r>
      <w:r w:rsidRPr="00D51C9B">
        <w:rPr>
          <w:rFonts w:cs="Arial"/>
        </w:rPr>
        <w:t xml:space="preserve"> was met for 80%, or greater, of each basin’s </w:t>
      </w:r>
      <w:r>
        <w:rPr>
          <w:rFonts w:cs="Arial"/>
        </w:rPr>
        <w:t>individual lakes</w:t>
      </w:r>
      <w:r w:rsidRPr="00D51C9B">
        <w:rPr>
          <w:rFonts w:cs="Arial"/>
        </w:rPr>
        <w:t xml:space="preserve"> with </w:t>
      </w:r>
      <w:r>
        <w:rPr>
          <w:rFonts w:cs="Arial"/>
        </w:rPr>
        <w:t>2</w:t>
      </w:r>
      <w:r w:rsidRPr="00D51C9B">
        <w:rPr>
          <w:rFonts w:cs="Arial"/>
        </w:rPr>
        <w:t xml:space="preserve"> exceptions</w:t>
      </w:r>
      <w:r>
        <w:rPr>
          <w:rFonts w:cs="Arial"/>
        </w:rPr>
        <w:t xml:space="preserve">:  </w:t>
      </w:r>
      <w:r w:rsidRPr="00D51C9B">
        <w:rPr>
          <w:rFonts w:cs="Arial"/>
        </w:rPr>
        <w:t xml:space="preserve">the </w:t>
      </w:r>
      <w:r w:rsidRPr="00423D44">
        <w:t>Upper St. Johns</w:t>
      </w:r>
      <w:r w:rsidRPr="00D51C9B">
        <w:rPr>
          <w:rFonts w:cs="Arial"/>
        </w:rPr>
        <w:t xml:space="preserve"> (</w:t>
      </w:r>
      <w:r>
        <w:rPr>
          <w:rFonts w:cs="Arial"/>
        </w:rPr>
        <w:t>75.0</w:t>
      </w:r>
      <w:r w:rsidRPr="00D51C9B">
        <w:rPr>
          <w:rFonts w:cs="Arial"/>
        </w:rPr>
        <w:t>%)</w:t>
      </w:r>
      <w:r>
        <w:rPr>
          <w:rFonts w:cs="Arial"/>
        </w:rPr>
        <w:t xml:space="preserve"> and Springs Coast </w:t>
      </w:r>
      <w:r w:rsidRPr="00D51C9B">
        <w:rPr>
          <w:rFonts w:cs="Arial"/>
        </w:rPr>
        <w:t>(</w:t>
      </w:r>
      <w:r>
        <w:t>76.7</w:t>
      </w:r>
      <w:r w:rsidRPr="00D51C9B">
        <w:rPr>
          <w:rFonts w:cs="Arial"/>
        </w:rPr>
        <w:t>%)</w:t>
      </w:r>
      <w:r>
        <w:rPr>
          <w:rFonts w:cs="Arial"/>
        </w:rPr>
        <w:t xml:space="preserve"> Basins.</w:t>
      </w:r>
    </w:p>
    <w:p w:rsidR="00485094" w:rsidRDefault="00485094" w:rsidP="00692F31">
      <w:pPr>
        <w:pStyle w:val="ListBullet"/>
        <w:rPr>
          <w:rFonts w:cs="Arial"/>
        </w:rPr>
      </w:pPr>
      <w:r w:rsidRPr="009775CD">
        <w:rPr>
          <w:rFonts w:cs="Arial"/>
        </w:rPr>
        <w:t>S</w:t>
      </w:r>
      <w:r w:rsidRPr="00D51C9B">
        <w:rPr>
          <w:rFonts w:cs="Arial"/>
        </w:rPr>
        <w:t>tatewide</w:t>
      </w:r>
      <w:r>
        <w:rPr>
          <w:rFonts w:cs="Arial"/>
        </w:rPr>
        <w:t>,</w:t>
      </w:r>
      <w:r w:rsidRPr="00D51C9B">
        <w:rPr>
          <w:rFonts w:cs="Arial"/>
        </w:rPr>
        <w:t xml:space="preserve"> </w:t>
      </w:r>
      <w:r>
        <w:t>99.3</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un-ionized ammonia (</w:t>
      </w:r>
      <w:r w:rsidRPr="003B37D3">
        <w:rPr>
          <w:rFonts w:cs="Arial"/>
        </w:rPr>
        <w:t>≤ 0.02 mg/L</w:t>
      </w:r>
      <w:r>
        <w:rPr>
          <w:rFonts w:cs="Arial"/>
        </w:rPr>
        <w:t xml:space="preserve">) </w:t>
      </w:r>
      <w:r>
        <w:t>criteria</w:t>
      </w:r>
      <w:r>
        <w:rPr>
          <w:rFonts w:cs="Arial"/>
        </w:rPr>
        <w:t xml:space="preserve">.  </w:t>
      </w:r>
      <w:r w:rsidRPr="00D51C9B">
        <w:rPr>
          <w:rFonts w:cs="Arial"/>
        </w:rPr>
        <w:t xml:space="preserve">This threshold for </w:t>
      </w:r>
      <w:r>
        <w:rPr>
          <w:rFonts w:cs="Arial"/>
        </w:rPr>
        <w:t>un-ionized ammonia</w:t>
      </w:r>
      <w:r w:rsidRPr="00D51C9B">
        <w:rPr>
          <w:rFonts w:cs="Arial"/>
        </w:rPr>
        <w:t xml:space="preserve"> was met for </w:t>
      </w:r>
      <w:r>
        <w:rPr>
          <w:rFonts w:cs="Arial"/>
        </w:rPr>
        <w:t>95</w:t>
      </w:r>
      <w:r w:rsidRPr="00D51C9B">
        <w:rPr>
          <w:rFonts w:cs="Arial"/>
        </w:rPr>
        <w:t xml:space="preserve">%, or greater, </w:t>
      </w:r>
      <w:r>
        <w:rPr>
          <w:rFonts w:cs="Arial"/>
        </w:rPr>
        <w:t>of each basin’s individual lakes.</w:t>
      </w:r>
    </w:p>
    <w:p w:rsidR="00485094" w:rsidRDefault="00485094" w:rsidP="00692F31">
      <w:pPr>
        <w:pStyle w:val="ListBullet"/>
        <w:rPr>
          <w:rFonts w:cs="Arial"/>
        </w:rPr>
      </w:pPr>
      <w:r w:rsidRPr="009775CD">
        <w:rPr>
          <w:rFonts w:cs="Arial"/>
        </w:rPr>
        <w:t>S</w:t>
      </w:r>
      <w:r w:rsidRPr="00D51C9B">
        <w:rPr>
          <w:rFonts w:cs="Arial"/>
        </w:rPr>
        <w:t>tatewide</w:t>
      </w:r>
      <w:r>
        <w:rPr>
          <w:rFonts w:cs="Arial"/>
        </w:rPr>
        <w:t>,</w:t>
      </w:r>
      <w:r w:rsidRPr="00D51C9B">
        <w:rPr>
          <w:rFonts w:cs="Arial"/>
        </w:rPr>
        <w:t xml:space="preserve"> </w:t>
      </w:r>
      <w:r>
        <w:t>90.9</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below the fecal coliform (</w:t>
      </w:r>
      <w:r w:rsidRPr="003B37D3">
        <w:rPr>
          <w:rFonts w:cs="Arial"/>
        </w:rPr>
        <w:t>&lt; 400 colonies/100mL</w:t>
      </w:r>
      <w:r>
        <w:rPr>
          <w:rFonts w:cs="Arial"/>
        </w:rPr>
        <w:t xml:space="preserve">) </w:t>
      </w:r>
      <w:r>
        <w:t>criteria</w:t>
      </w:r>
      <w:r>
        <w:rPr>
          <w:rFonts w:cs="Arial"/>
        </w:rPr>
        <w:t xml:space="preserve">.  </w:t>
      </w:r>
      <w:r w:rsidRPr="00D51C9B">
        <w:rPr>
          <w:rFonts w:cs="Arial"/>
        </w:rPr>
        <w:t xml:space="preserve">This threshold for </w:t>
      </w:r>
      <w:r>
        <w:rPr>
          <w:rFonts w:cs="Arial"/>
        </w:rPr>
        <w:t>fecal coliform</w:t>
      </w:r>
      <w:r w:rsidRPr="00D51C9B">
        <w:rPr>
          <w:rFonts w:cs="Arial"/>
        </w:rPr>
        <w:t xml:space="preserve"> was met for 80%, or greater, of each basin’s </w:t>
      </w:r>
      <w:r>
        <w:rPr>
          <w:rFonts w:cs="Arial"/>
        </w:rPr>
        <w:t>individual lakes</w:t>
      </w:r>
      <w:r w:rsidRPr="00D51C9B">
        <w:rPr>
          <w:rFonts w:cs="Arial"/>
        </w:rPr>
        <w:t xml:space="preserve"> with </w:t>
      </w:r>
      <w:r>
        <w:rPr>
          <w:rFonts w:cs="Arial"/>
        </w:rPr>
        <w:t>4</w:t>
      </w:r>
      <w:r w:rsidRPr="00D51C9B">
        <w:rPr>
          <w:rFonts w:cs="Arial"/>
        </w:rPr>
        <w:t xml:space="preserve"> exceptions</w:t>
      </w:r>
      <w:r>
        <w:rPr>
          <w:rFonts w:cs="Arial"/>
        </w:rPr>
        <w:t xml:space="preserve">:  </w:t>
      </w:r>
      <w:r w:rsidRPr="00D51C9B">
        <w:rPr>
          <w:rFonts w:cs="Arial"/>
        </w:rPr>
        <w:t xml:space="preserve">the </w:t>
      </w:r>
      <w:r w:rsidRPr="00423D44">
        <w:t>Upper St. Johns</w:t>
      </w:r>
      <w:r w:rsidRPr="00D51C9B">
        <w:rPr>
          <w:rFonts w:cs="Arial"/>
        </w:rPr>
        <w:t xml:space="preserve"> (</w:t>
      </w:r>
      <w:r>
        <w:rPr>
          <w:rFonts w:cs="Arial"/>
        </w:rPr>
        <w:t>50.0</w:t>
      </w:r>
      <w:r w:rsidRPr="00D51C9B">
        <w:rPr>
          <w:rFonts w:cs="Arial"/>
        </w:rPr>
        <w:t xml:space="preserve">%), </w:t>
      </w:r>
      <w:r>
        <w:t>Sarasota Bay–</w:t>
      </w:r>
      <w:r w:rsidRPr="00423D44">
        <w:t>Peace</w:t>
      </w:r>
      <w:r>
        <w:t>–</w:t>
      </w:r>
      <w:r w:rsidRPr="00423D44">
        <w:t>Myakka</w:t>
      </w:r>
      <w:r w:rsidRPr="00D51C9B">
        <w:rPr>
          <w:rFonts w:cs="Arial"/>
        </w:rPr>
        <w:t xml:space="preserve"> </w:t>
      </w:r>
      <w:r>
        <w:rPr>
          <w:rFonts w:cs="Arial"/>
        </w:rPr>
        <w:t xml:space="preserve">(77.8%), </w:t>
      </w:r>
      <w:r w:rsidRPr="00423D44">
        <w:t>Fisheating Creek</w:t>
      </w:r>
      <w:r w:rsidRPr="00D51C9B">
        <w:rPr>
          <w:rFonts w:cs="Arial"/>
        </w:rPr>
        <w:t xml:space="preserve"> </w:t>
      </w:r>
      <w:r>
        <w:rPr>
          <w:rFonts w:cs="Arial"/>
        </w:rPr>
        <w:t xml:space="preserve">(50.0%), and Springs Coast </w:t>
      </w:r>
      <w:r w:rsidRPr="00D51C9B">
        <w:rPr>
          <w:rFonts w:cs="Arial"/>
        </w:rPr>
        <w:t>(</w:t>
      </w:r>
      <w:r>
        <w:t>75.9</w:t>
      </w:r>
      <w:r w:rsidRPr="00D51C9B">
        <w:rPr>
          <w:rFonts w:cs="Arial"/>
        </w:rPr>
        <w:t>%)</w:t>
      </w:r>
      <w:r>
        <w:rPr>
          <w:rFonts w:cs="Arial"/>
        </w:rPr>
        <w:t xml:space="preserve"> Basins</w:t>
      </w:r>
      <w:r w:rsidRPr="00D51C9B">
        <w:rPr>
          <w:rFonts w:cs="Arial"/>
        </w:rPr>
        <w:t>.</w:t>
      </w:r>
    </w:p>
    <w:p w:rsidR="00485094" w:rsidRDefault="00485094" w:rsidP="00692F31">
      <w:pPr>
        <w:pStyle w:val="ListBullet"/>
        <w:rPr>
          <w:rFonts w:cs="Arial"/>
        </w:rPr>
      </w:pPr>
      <w:r w:rsidRPr="009775CD">
        <w:rPr>
          <w:rFonts w:cs="Arial"/>
        </w:rPr>
        <w:t>S</w:t>
      </w:r>
      <w:r w:rsidRPr="00D51C9B">
        <w:rPr>
          <w:rFonts w:cs="Arial"/>
        </w:rPr>
        <w:t>tatewide</w:t>
      </w:r>
      <w:r>
        <w:rPr>
          <w:rFonts w:cs="Arial"/>
        </w:rPr>
        <w:t xml:space="preserve">, </w:t>
      </w:r>
      <w:r w:rsidRPr="009775CD">
        <w:t>71.2</w:t>
      </w:r>
      <w:r w:rsidRPr="00D51C9B">
        <w:rPr>
          <w:rFonts w:cs="Arial"/>
        </w:rPr>
        <w:t xml:space="preserve">% of </w:t>
      </w:r>
      <w:r>
        <w:rPr>
          <w:rFonts w:cs="Arial"/>
        </w:rPr>
        <w:t>the</w:t>
      </w:r>
      <w:r w:rsidRPr="00D51C9B">
        <w:rPr>
          <w:rFonts w:cs="Arial"/>
        </w:rPr>
        <w:t xml:space="preserve"> target population’s </w:t>
      </w:r>
      <w:r>
        <w:rPr>
          <w:rFonts w:cs="Arial"/>
        </w:rPr>
        <w:t>individual lakes</w:t>
      </w:r>
      <w:r w:rsidRPr="00BD303B">
        <w:t xml:space="preserve"> </w:t>
      </w:r>
      <w:r>
        <w:t>were above the DO (</w:t>
      </w:r>
      <w:r w:rsidRPr="00576ED2">
        <w:rPr>
          <w:rFonts w:cs="Arial"/>
          <w:lang w:val="fr-FR"/>
        </w:rPr>
        <w:t xml:space="preserve">≥ 5 mg/L) </w:t>
      </w:r>
      <w:r>
        <w:t>criteria</w:t>
      </w:r>
      <w:r>
        <w:rPr>
          <w:rFonts w:cs="Arial"/>
        </w:rPr>
        <w:t>.  O</w:t>
      </w:r>
      <w:r w:rsidRPr="00000364">
        <w:rPr>
          <w:rFonts w:cs="Arial"/>
        </w:rPr>
        <w:t xml:space="preserve">nly </w:t>
      </w:r>
      <w:r>
        <w:rPr>
          <w:rFonts w:cs="Arial"/>
        </w:rPr>
        <w:t>8</w:t>
      </w:r>
      <w:r w:rsidRPr="00000364">
        <w:rPr>
          <w:rFonts w:cs="Arial"/>
        </w:rPr>
        <w:t xml:space="preserve"> </w:t>
      </w:r>
      <w:r>
        <w:rPr>
          <w:rFonts w:cs="Arial"/>
        </w:rPr>
        <w:t xml:space="preserve">of the 23 </w:t>
      </w:r>
      <w:r w:rsidRPr="00000364">
        <w:rPr>
          <w:rFonts w:cs="Arial"/>
        </w:rPr>
        <w:t xml:space="preserve">basins </w:t>
      </w:r>
      <w:r>
        <w:rPr>
          <w:rFonts w:cs="Arial"/>
        </w:rPr>
        <w:t>met th</w:t>
      </w:r>
      <w:r w:rsidRPr="00000364">
        <w:rPr>
          <w:rFonts w:cs="Arial"/>
        </w:rPr>
        <w:t xml:space="preserve">e DO </w:t>
      </w:r>
      <w:r>
        <w:rPr>
          <w:rFonts w:cs="Arial"/>
        </w:rPr>
        <w:t xml:space="preserve">threshold for </w:t>
      </w:r>
      <w:r w:rsidRPr="00000364">
        <w:rPr>
          <w:rFonts w:cs="Arial"/>
        </w:rPr>
        <w:t>8</w:t>
      </w:r>
      <w:r>
        <w:rPr>
          <w:rFonts w:cs="Arial"/>
        </w:rPr>
        <w:t>0% of each</w:t>
      </w:r>
      <w:r w:rsidRPr="00D51C9B">
        <w:rPr>
          <w:rFonts w:cs="Arial"/>
        </w:rPr>
        <w:t xml:space="preserve"> basin</w:t>
      </w:r>
      <w:r>
        <w:rPr>
          <w:rFonts w:cs="Arial"/>
        </w:rPr>
        <w:t>’</w:t>
      </w:r>
      <w:r w:rsidRPr="00D51C9B">
        <w:rPr>
          <w:rFonts w:cs="Arial"/>
        </w:rPr>
        <w:t xml:space="preserve">s </w:t>
      </w:r>
      <w:r>
        <w:rPr>
          <w:rFonts w:cs="Arial"/>
        </w:rPr>
        <w:t xml:space="preserve">individual small lakes.  </w:t>
      </w:r>
      <w:r>
        <w:t xml:space="preserve">Input of color and organic carbon from wetlands, stream geomorphology, respiration, and decomposition are factors that lower DO.  </w:t>
      </w:r>
    </w:p>
    <w:p w:rsidR="00485094" w:rsidRPr="00D53BE0" w:rsidRDefault="00485094" w:rsidP="00692F31">
      <w:pPr>
        <w:pStyle w:val="Bodytext"/>
        <w:rPr>
          <w:szCs w:val="24"/>
        </w:rPr>
      </w:pPr>
    </w:p>
    <w:p w:rsidR="00485094" w:rsidRDefault="00485094" w:rsidP="00692F31">
      <w:pPr>
        <w:pStyle w:val="Heading4"/>
        <w:sectPr w:rsidR="00485094" w:rsidSect="003B37D3">
          <w:footerReference w:type="even" r:id="rId82"/>
          <w:pgSz w:w="15840" w:h="12240" w:orient="landscape" w:code="1"/>
          <w:pgMar w:top="1440" w:right="1440" w:bottom="1440" w:left="1440" w:header="720" w:footer="720" w:gutter="0"/>
          <w:paperSrc w:first="261"/>
          <w:cols w:space="720"/>
          <w:docGrid w:linePitch="360"/>
        </w:sectPr>
      </w:pPr>
    </w:p>
    <w:p w:rsidR="00C32631" w:rsidRPr="00C32631" w:rsidRDefault="00C32631" w:rsidP="00C32631">
      <w:pPr>
        <w:pStyle w:val="Bodytext"/>
        <w:rPr>
          <w:sz w:val="16"/>
          <w:szCs w:val="16"/>
        </w:rPr>
      </w:pPr>
      <w:bookmarkStart w:id="408" w:name="_Toc255822532"/>
      <w:bookmarkStart w:id="409" w:name="_Toc262464150"/>
      <w:bookmarkStart w:id="410" w:name="_Toc271794345"/>
      <w:bookmarkEnd w:id="402"/>
      <w:bookmarkEnd w:id="403"/>
    </w:p>
    <w:p w:rsidR="00485094" w:rsidRDefault="00485094" w:rsidP="00692F31">
      <w:pPr>
        <w:pStyle w:val="Heading3"/>
      </w:pPr>
      <w:r>
        <w:t>Sediment Quality Evaluation</w:t>
      </w:r>
      <w:bookmarkEnd w:id="408"/>
      <w:bookmarkEnd w:id="409"/>
      <w:bookmarkEnd w:id="410"/>
    </w:p>
    <w:p w:rsidR="00485094" w:rsidRDefault="00485094" w:rsidP="00692F31">
      <w:pPr>
        <w:pStyle w:val="Heading4"/>
      </w:pPr>
      <w:r>
        <w:t>Background</w:t>
      </w:r>
    </w:p>
    <w:p w:rsidR="00485094" w:rsidRDefault="00485094" w:rsidP="00692F31">
      <w:pPr>
        <w:pStyle w:val="Default"/>
        <w:rPr>
          <w:sz w:val="22"/>
          <w:szCs w:val="22"/>
        </w:rPr>
      </w:pPr>
      <w:r w:rsidRPr="001A7340">
        <w:rPr>
          <w:sz w:val="22"/>
          <w:szCs w:val="22"/>
        </w:rPr>
        <w:t xml:space="preserve">In healthy aquatic environments, sediments provide critical habitat for many organisms. </w:t>
      </w:r>
      <w:r>
        <w:rPr>
          <w:sz w:val="22"/>
          <w:szCs w:val="22"/>
        </w:rPr>
        <w:t xml:space="preserve"> </w:t>
      </w:r>
      <w:r w:rsidRPr="005D6D8F">
        <w:rPr>
          <w:color w:val="auto"/>
          <w:sz w:val="22"/>
          <w:szCs w:val="22"/>
        </w:rPr>
        <w:t xml:space="preserve">Sediments </w:t>
      </w:r>
      <w:r>
        <w:rPr>
          <w:color w:val="auto"/>
          <w:sz w:val="22"/>
          <w:szCs w:val="22"/>
        </w:rPr>
        <w:t xml:space="preserve">also </w:t>
      </w:r>
      <w:r w:rsidRPr="005D6D8F">
        <w:rPr>
          <w:color w:val="auto"/>
          <w:sz w:val="22"/>
          <w:szCs w:val="22"/>
        </w:rPr>
        <w:t xml:space="preserve">function as both a sink and a source of contamination and nutrients, as they accumulate both </w:t>
      </w:r>
      <w:r>
        <w:rPr>
          <w:color w:val="auto"/>
          <w:sz w:val="22"/>
          <w:szCs w:val="22"/>
        </w:rPr>
        <w:t xml:space="preserve">over time </w:t>
      </w:r>
      <w:r w:rsidRPr="005D6D8F">
        <w:rPr>
          <w:color w:val="auto"/>
          <w:sz w:val="22"/>
          <w:szCs w:val="22"/>
        </w:rPr>
        <w:t>from upland discharges, decomposition of organic (aquatic vegetation, algal species, etc.) material and atmospheric deposition.</w:t>
      </w:r>
      <w:r w:rsidRPr="005D6D8F">
        <w:rPr>
          <w:sz w:val="22"/>
          <w:szCs w:val="22"/>
        </w:rPr>
        <w:t xml:space="preserve">  </w:t>
      </w:r>
      <w:r>
        <w:rPr>
          <w:sz w:val="22"/>
          <w:szCs w:val="22"/>
        </w:rPr>
        <w:t>This accumulation can potentially affect the biological community</w:t>
      </w:r>
      <w:r w:rsidRPr="001A7340">
        <w:rPr>
          <w:sz w:val="22"/>
          <w:szCs w:val="22"/>
        </w:rPr>
        <w:t xml:space="preserve">. </w:t>
      </w:r>
      <w:r>
        <w:rPr>
          <w:sz w:val="22"/>
          <w:szCs w:val="22"/>
        </w:rPr>
        <w:t xml:space="preserve"> </w:t>
      </w:r>
      <w:r w:rsidRPr="001A7340">
        <w:rPr>
          <w:sz w:val="22"/>
          <w:szCs w:val="22"/>
        </w:rPr>
        <w:t xml:space="preserve">Knowledge of existing sediment quality is important for environmental managers in evaluating restoration and dredging projects, </w:t>
      </w:r>
      <w:r>
        <w:rPr>
          <w:sz w:val="22"/>
          <w:szCs w:val="22"/>
        </w:rPr>
        <w:t>and</w:t>
      </w:r>
      <w:r w:rsidRPr="001A7340">
        <w:rPr>
          <w:sz w:val="22"/>
          <w:szCs w:val="22"/>
        </w:rPr>
        <w:t xml:space="preserve"> to complement traditional water resource monitoring</w:t>
      </w:r>
      <w:r w:rsidRPr="009C7D97">
        <w:rPr>
          <w:sz w:val="22"/>
          <w:szCs w:val="22"/>
        </w:rPr>
        <w:t>.  Periodic water quality monitoring</w:t>
      </w:r>
      <w:r>
        <w:rPr>
          <w:sz w:val="22"/>
          <w:szCs w:val="22"/>
        </w:rPr>
        <w:t xml:space="preserve"> </w:t>
      </w:r>
      <w:r w:rsidRPr="009C7D97">
        <w:rPr>
          <w:sz w:val="22"/>
          <w:szCs w:val="22"/>
        </w:rPr>
        <w:t xml:space="preserve">cannot fully </w:t>
      </w:r>
      <w:r>
        <w:rPr>
          <w:sz w:val="22"/>
          <w:szCs w:val="22"/>
        </w:rPr>
        <w:t>evaluate</w:t>
      </w:r>
      <w:r w:rsidRPr="009C7D97">
        <w:rPr>
          <w:sz w:val="22"/>
          <w:szCs w:val="22"/>
        </w:rPr>
        <w:t xml:space="preserve"> aquatic ecosystems</w:t>
      </w:r>
      <w:r>
        <w:rPr>
          <w:sz w:val="22"/>
          <w:szCs w:val="22"/>
        </w:rPr>
        <w:t>,</w:t>
      </w:r>
      <w:r w:rsidRPr="009C7D97">
        <w:rPr>
          <w:sz w:val="22"/>
          <w:szCs w:val="22"/>
        </w:rPr>
        <w:t xml:space="preserve"> as it is not usually designed to assess the cumulative impact of contaminants.</w:t>
      </w:r>
    </w:p>
    <w:p w:rsidR="00485094" w:rsidRPr="001A7340" w:rsidRDefault="00485094" w:rsidP="00692F31">
      <w:pPr>
        <w:pStyle w:val="Default"/>
        <w:rPr>
          <w:sz w:val="22"/>
          <w:szCs w:val="22"/>
        </w:rPr>
      </w:pPr>
    </w:p>
    <w:p w:rsidR="00485094" w:rsidRPr="00072C64" w:rsidRDefault="00485094" w:rsidP="00692F31">
      <w:pPr>
        <w:pStyle w:val="Default"/>
        <w:rPr>
          <w:sz w:val="22"/>
          <w:szCs w:val="22"/>
        </w:rPr>
      </w:pPr>
      <w:r w:rsidRPr="00072C64">
        <w:rPr>
          <w:sz w:val="22"/>
          <w:szCs w:val="22"/>
        </w:rPr>
        <w:t>Before the 1980s, little was known about the abundance of metals or organics in sediments, especially the natural metals concentrations that differ in clay-rich north Florida sediments and carbonate-rich south Florida sediments.  Unlike many water column constituents, Florida has no standards (criteria) for sediment, and no statutory authority to establish criteria.  Therefore, it is important to use scientifically defensible thresholds to estimate the condition of sediments and determine the ecological significance of these thresholds.</w:t>
      </w:r>
    </w:p>
    <w:p w:rsidR="00485094" w:rsidRPr="00072C64" w:rsidRDefault="00485094" w:rsidP="00692F31">
      <w:pPr>
        <w:pStyle w:val="Default"/>
        <w:rPr>
          <w:sz w:val="22"/>
          <w:szCs w:val="22"/>
        </w:rPr>
      </w:pPr>
    </w:p>
    <w:p w:rsidR="00485094" w:rsidRPr="00072C64" w:rsidRDefault="00485094" w:rsidP="00692F31">
      <w:pPr>
        <w:rPr>
          <w:rFonts w:ascii="Arial" w:hAnsi="Arial" w:cs="Arial"/>
          <w:sz w:val="22"/>
          <w:szCs w:val="22"/>
        </w:rPr>
      </w:pPr>
      <w:r w:rsidRPr="00072C64">
        <w:rPr>
          <w:rFonts w:ascii="Arial" w:hAnsi="Arial" w:cs="Arial"/>
          <w:snapToGrid w:val="0"/>
          <w:color w:val="000000"/>
          <w:sz w:val="22"/>
          <w:szCs w:val="22"/>
        </w:rPr>
        <w:t>The interpretation of marine and freshwater sediment metals data, which can vary by two orders of magnitude, is not straightforward because metallic elements are natural sediment constituents.  T</w:t>
      </w:r>
      <w:r w:rsidRPr="00072C64">
        <w:rPr>
          <w:rFonts w:ascii="Arial" w:hAnsi="Arial" w:cs="Arial"/>
          <w:sz w:val="22"/>
          <w:szCs w:val="22"/>
        </w:rPr>
        <w:t xml:space="preserve">o interpret sediment metals data, FDEP released two publications:  </w:t>
      </w:r>
      <w:hyperlink r:id="rId83" w:history="1">
        <w:r w:rsidRPr="00072C64">
          <w:rPr>
            <w:rStyle w:val="Hyperlink"/>
            <w:rFonts w:ascii="Arial" w:hAnsi="Arial" w:cs="Arial"/>
            <w:i/>
            <w:sz w:val="22"/>
            <w:szCs w:val="22"/>
          </w:rPr>
          <w:t>A Guide to the Interpretation of Metals Concentrations in Estuarine Sediments</w:t>
        </w:r>
      </w:hyperlink>
      <w:r w:rsidRPr="00072C64">
        <w:rPr>
          <w:rFonts w:ascii="Arial" w:hAnsi="Arial" w:cs="Arial"/>
          <w:sz w:val="22"/>
          <w:szCs w:val="22"/>
          <w:vertAlign w:val="superscript"/>
        </w:rPr>
        <w:t xml:space="preserve"> </w:t>
      </w:r>
      <w:r w:rsidRPr="00072C64">
        <w:rPr>
          <w:rFonts w:ascii="Arial" w:hAnsi="Arial" w:cs="Arial"/>
          <w:sz w:val="22"/>
          <w:szCs w:val="22"/>
        </w:rPr>
        <w:t>(Schropp and Windom, 1988) and</w:t>
      </w:r>
      <w:r w:rsidRPr="00072C64">
        <w:rPr>
          <w:rFonts w:ascii="Arial" w:hAnsi="Arial" w:cs="Arial"/>
          <w:sz w:val="22"/>
          <w:szCs w:val="22"/>
          <w:vertAlign w:val="superscript"/>
        </w:rPr>
        <w:t xml:space="preserve"> </w:t>
      </w:r>
      <w:hyperlink r:id="rId84" w:history="1">
        <w:r w:rsidRPr="00072C64">
          <w:rPr>
            <w:rStyle w:val="Hyperlink"/>
            <w:rFonts w:ascii="Arial" w:hAnsi="Arial" w:cs="Arial"/>
            <w:i/>
            <w:snapToGrid w:val="0"/>
            <w:sz w:val="22"/>
            <w:szCs w:val="22"/>
          </w:rPr>
          <w:t>Development of an Interpretive Tool for the Assessment of Metal Enrichment in Florida Freshwater Sediment</w:t>
        </w:r>
      </w:hyperlink>
      <w:r w:rsidRPr="00072C64">
        <w:rPr>
          <w:rFonts w:ascii="Arial" w:hAnsi="Arial" w:cs="Arial"/>
          <w:i/>
          <w:snapToGrid w:val="0"/>
          <w:sz w:val="22"/>
          <w:szCs w:val="22"/>
        </w:rPr>
        <w:t xml:space="preserve"> </w:t>
      </w:r>
      <w:r w:rsidRPr="00072C64">
        <w:rPr>
          <w:rFonts w:ascii="Arial" w:hAnsi="Arial" w:cs="Arial"/>
          <w:snapToGrid w:val="0"/>
          <w:sz w:val="22"/>
          <w:szCs w:val="22"/>
        </w:rPr>
        <w:t>(Carvalho and Schropp et al., 2003).</w:t>
      </w:r>
      <w:r w:rsidRPr="00072C64">
        <w:rPr>
          <w:rFonts w:ascii="Arial" w:hAnsi="Arial" w:cs="Arial"/>
          <w:sz w:val="22"/>
          <w:szCs w:val="22"/>
          <w:vertAlign w:val="superscript"/>
        </w:rPr>
        <w:t xml:space="preserve">  </w:t>
      </w:r>
      <w:r w:rsidRPr="00072C64">
        <w:rPr>
          <w:rFonts w:ascii="Arial" w:hAnsi="Arial" w:cs="Arial"/>
          <w:sz w:val="22"/>
          <w:szCs w:val="22"/>
        </w:rPr>
        <w:t>These documents use statistical normalization techniques to determine background concentrations of metals in sediments.</w:t>
      </w:r>
    </w:p>
    <w:p w:rsidR="00485094" w:rsidRPr="00072C64" w:rsidRDefault="00485094" w:rsidP="00692F31">
      <w:pPr>
        <w:pStyle w:val="Default"/>
        <w:rPr>
          <w:sz w:val="22"/>
          <w:szCs w:val="22"/>
        </w:rPr>
      </w:pPr>
    </w:p>
    <w:p w:rsidR="00485094" w:rsidRPr="006F0D17" w:rsidRDefault="00485094" w:rsidP="00692F31">
      <w:pPr>
        <w:pStyle w:val="Bodytext"/>
        <w:rPr>
          <w:szCs w:val="22"/>
        </w:rPr>
      </w:pPr>
      <w:r w:rsidRPr="00072C64">
        <w:rPr>
          <w:szCs w:val="22"/>
        </w:rPr>
        <w:t>Additional information was needed to determine whether metals and organic contaminants were associated with biological effects in the benthic environment.  During</w:t>
      </w:r>
      <w:r w:rsidRPr="00072C64">
        <w:rPr>
          <w:rFonts w:cs="Arial"/>
          <w:szCs w:val="22"/>
        </w:rPr>
        <w:t xml:space="preserve"> the 1990s, several state and federal agencies evaluated concentration-based sediment guidelines used in evaluating biological effects from sediment contaminants.  These agencies employed several approaches, including a weight-of-evidence statistical strategy to derive guidelines from studies containing paired sediment chemistry and associated biological responses.  To </w:t>
      </w:r>
      <w:r w:rsidRPr="00072C64">
        <w:rPr>
          <w:szCs w:val="22"/>
        </w:rPr>
        <w:t>provide guidance in the interpretation of sediment contaminant data relating to biological impacts,</w:t>
      </w:r>
      <w:r w:rsidRPr="00072C64">
        <w:rPr>
          <w:rFonts w:cs="Arial"/>
          <w:szCs w:val="22"/>
        </w:rPr>
        <w:t xml:space="preserve"> FDEP published the following documents:  </w:t>
      </w:r>
      <w:hyperlink r:id="rId85" w:history="1">
        <w:r w:rsidRPr="00072C64">
          <w:rPr>
            <w:rStyle w:val="Hyperlink"/>
            <w:rFonts w:cs="Arial"/>
            <w:i/>
            <w:szCs w:val="22"/>
          </w:rPr>
          <w:t>Approach to the Assessment of Sediment Quality in Florida Coastal Waters</w:t>
        </w:r>
      </w:hyperlink>
      <w:r w:rsidRPr="00072C64">
        <w:rPr>
          <w:rFonts w:cs="Arial"/>
          <w:i/>
          <w:szCs w:val="22"/>
        </w:rPr>
        <w:t xml:space="preserve"> </w:t>
      </w:r>
      <w:r w:rsidRPr="00072C64">
        <w:rPr>
          <w:rFonts w:cs="Arial"/>
          <w:szCs w:val="22"/>
        </w:rPr>
        <w:t>(MacDonald, 1994)</w:t>
      </w:r>
      <w:r w:rsidRPr="00072C64">
        <w:rPr>
          <w:rFonts w:cs="Arial"/>
          <w:szCs w:val="22"/>
          <w:vertAlign w:val="superscript"/>
        </w:rPr>
        <w:t xml:space="preserve"> </w:t>
      </w:r>
      <w:r w:rsidRPr="00072C64">
        <w:rPr>
          <w:rFonts w:cs="Arial"/>
          <w:szCs w:val="22"/>
        </w:rPr>
        <w:t xml:space="preserve">and </w:t>
      </w:r>
      <w:hyperlink r:id="rId86" w:history="1">
        <w:r w:rsidRPr="00072C64">
          <w:rPr>
            <w:rStyle w:val="Hyperlink"/>
            <w:i/>
            <w:iCs/>
            <w:szCs w:val="22"/>
          </w:rPr>
          <w:t>Development and Evaluation of Numerical Sediment Quality Assessment Guidelines for Florida Inland Waters</w:t>
        </w:r>
      </w:hyperlink>
      <w:r w:rsidRPr="00072C64">
        <w:rPr>
          <w:i/>
          <w:iCs/>
          <w:szCs w:val="22"/>
        </w:rPr>
        <w:t xml:space="preserve"> (</w:t>
      </w:r>
      <w:r w:rsidRPr="00072C64">
        <w:rPr>
          <w:iCs/>
          <w:szCs w:val="22"/>
        </w:rPr>
        <w:t xml:space="preserve">MacDonald Environmental Sciences Ltd. and USGS, 2003).  </w:t>
      </w:r>
      <w:r w:rsidRPr="00072C64">
        <w:rPr>
          <w:szCs w:val="22"/>
        </w:rPr>
        <w:t xml:space="preserve">Additional information is available on the </w:t>
      </w:r>
      <w:hyperlink r:id="rId87" w:history="1">
        <w:r w:rsidRPr="00072C64">
          <w:rPr>
            <w:rStyle w:val="Hyperlink"/>
            <w:szCs w:val="22"/>
          </w:rPr>
          <w:t>FDEP Sediment Guidelines website</w:t>
        </w:r>
      </w:hyperlink>
      <w:r w:rsidRPr="00072C64">
        <w:t>.</w:t>
      </w:r>
      <w:r>
        <w:t xml:space="preserve"> </w:t>
      </w:r>
    </w:p>
    <w:p w:rsidR="00485094" w:rsidRDefault="00485094" w:rsidP="00692F31">
      <w:pPr>
        <w:pStyle w:val="Bodytext"/>
        <w:rPr>
          <w:rFonts w:cs="Arial"/>
          <w:szCs w:val="22"/>
        </w:rPr>
      </w:pPr>
    </w:p>
    <w:p w:rsidR="00485094" w:rsidRPr="006F0D17" w:rsidRDefault="00485094" w:rsidP="00692F31">
      <w:pPr>
        <w:pStyle w:val="Bodytext"/>
        <w:rPr>
          <w:rFonts w:cs="Arial"/>
          <w:snapToGrid w:val="0"/>
          <w:color w:val="000000"/>
          <w:szCs w:val="22"/>
        </w:rPr>
      </w:pPr>
      <w:r>
        <w:rPr>
          <w:rFonts w:cs="Arial"/>
          <w:szCs w:val="22"/>
        </w:rPr>
        <w:t xml:space="preserve">Rather than traditional pass/fail criteria, the approach uses </w:t>
      </w:r>
      <w:r w:rsidRPr="002D731B">
        <w:rPr>
          <w:rFonts w:cs="Arial"/>
          <w:snapToGrid w:val="0"/>
          <w:color w:val="000000"/>
          <w:szCs w:val="22"/>
        </w:rPr>
        <w:t>two</w:t>
      </w:r>
      <w:r>
        <w:rPr>
          <w:rFonts w:cs="Arial"/>
          <w:snapToGrid w:val="0"/>
          <w:color w:val="000000"/>
          <w:szCs w:val="22"/>
        </w:rPr>
        <w:t xml:space="preserve"> guidelines</w:t>
      </w:r>
      <w:r>
        <w:rPr>
          <w:rFonts w:cs="Arial"/>
          <w:szCs w:val="22"/>
        </w:rPr>
        <w:t xml:space="preserve"> for </w:t>
      </w:r>
      <w:r w:rsidRPr="002D731B">
        <w:rPr>
          <w:rFonts w:cs="Arial"/>
          <w:szCs w:val="22"/>
        </w:rPr>
        <w:t>e</w:t>
      </w:r>
      <w:r w:rsidRPr="002D731B">
        <w:rPr>
          <w:rFonts w:cs="Arial"/>
          <w:snapToGrid w:val="0"/>
          <w:color w:val="000000"/>
          <w:szCs w:val="22"/>
        </w:rPr>
        <w:t xml:space="preserve">ach </w:t>
      </w:r>
      <w:r>
        <w:rPr>
          <w:rFonts w:cs="Arial"/>
          <w:snapToGrid w:val="0"/>
          <w:color w:val="000000"/>
          <w:szCs w:val="22"/>
        </w:rPr>
        <w:t xml:space="preserve">contaminant:  a lower guideline </w:t>
      </w:r>
      <w:r w:rsidRPr="00E43A3F">
        <w:rPr>
          <w:rFonts w:cs="Arial"/>
          <w:snapToGrid w:val="0"/>
          <w:color w:val="000000"/>
          <w:szCs w:val="22"/>
        </w:rPr>
        <w:t>referred to as the Threshold Effects Concentration (TEC)</w:t>
      </w:r>
      <w:r>
        <w:rPr>
          <w:rFonts w:cs="Arial"/>
          <w:snapToGrid w:val="0"/>
          <w:color w:val="000000"/>
          <w:szCs w:val="22"/>
        </w:rPr>
        <w:t xml:space="preserve"> </w:t>
      </w:r>
      <w:r w:rsidRPr="002D731B">
        <w:rPr>
          <w:rFonts w:cs="Arial"/>
          <w:snapToGrid w:val="0"/>
          <w:color w:val="000000"/>
          <w:szCs w:val="22"/>
        </w:rPr>
        <w:t xml:space="preserve">and a higher </w:t>
      </w:r>
      <w:r>
        <w:rPr>
          <w:rFonts w:cs="Arial"/>
          <w:snapToGrid w:val="0"/>
          <w:color w:val="000000"/>
          <w:szCs w:val="22"/>
        </w:rPr>
        <w:t xml:space="preserve">guideline, </w:t>
      </w:r>
      <w:r w:rsidRPr="00E43A3F">
        <w:rPr>
          <w:rFonts w:cs="Arial"/>
          <w:snapToGrid w:val="0"/>
          <w:color w:val="000000"/>
          <w:szCs w:val="22"/>
        </w:rPr>
        <w:t>the Probable Effects Concentration (PEC)</w:t>
      </w:r>
      <w:r>
        <w:rPr>
          <w:rFonts w:cs="Arial"/>
          <w:snapToGrid w:val="0"/>
          <w:color w:val="000000"/>
          <w:szCs w:val="22"/>
        </w:rPr>
        <w:t xml:space="preserve">.  A value below the TEC </w:t>
      </w:r>
      <w:r w:rsidRPr="002D731B">
        <w:rPr>
          <w:rFonts w:cs="Arial"/>
          <w:snapToGrid w:val="0"/>
          <w:color w:val="000000"/>
          <w:szCs w:val="22"/>
        </w:rPr>
        <w:t>in</w:t>
      </w:r>
      <w:r>
        <w:rPr>
          <w:rFonts w:cs="Arial"/>
          <w:snapToGrid w:val="0"/>
          <w:color w:val="000000"/>
          <w:szCs w:val="22"/>
        </w:rPr>
        <w:t xml:space="preserve">dicates a low probability of </w:t>
      </w:r>
      <w:r w:rsidRPr="002D731B">
        <w:rPr>
          <w:rFonts w:cs="Arial"/>
          <w:snapToGrid w:val="0"/>
          <w:color w:val="000000"/>
          <w:szCs w:val="22"/>
        </w:rPr>
        <w:t>harm occur</w:t>
      </w:r>
      <w:r>
        <w:rPr>
          <w:rFonts w:cs="Arial"/>
          <w:snapToGrid w:val="0"/>
          <w:color w:val="000000"/>
          <w:szCs w:val="22"/>
        </w:rPr>
        <w:t xml:space="preserve">ring to sediment-dwelling organisms.  Conversely, values above the PEC have a high probability of causing </w:t>
      </w:r>
      <w:r w:rsidRPr="002D731B">
        <w:rPr>
          <w:rFonts w:cs="Arial"/>
          <w:snapToGrid w:val="0"/>
          <w:color w:val="000000"/>
          <w:szCs w:val="22"/>
        </w:rPr>
        <w:t>biological harm</w:t>
      </w:r>
      <w:r>
        <w:rPr>
          <w:rFonts w:cs="Arial"/>
          <w:snapToGrid w:val="0"/>
          <w:color w:val="000000"/>
          <w:szCs w:val="22"/>
        </w:rPr>
        <w:t xml:space="preserve">.  </w:t>
      </w:r>
      <w:r>
        <w:rPr>
          <w:szCs w:val="22"/>
        </w:rPr>
        <w:t xml:space="preserve">. </w:t>
      </w:r>
    </w:p>
    <w:p w:rsidR="00485094" w:rsidRDefault="00485094" w:rsidP="00692F31">
      <w:pPr>
        <w:rPr>
          <w:rFonts w:ascii="Arial" w:hAnsi="Arial" w:cs="Arial"/>
          <w:color w:val="000000"/>
          <w:sz w:val="22"/>
          <w:szCs w:val="22"/>
        </w:rPr>
      </w:pPr>
    </w:p>
    <w:p w:rsidR="00485094" w:rsidRDefault="00485094" w:rsidP="00692F31">
      <w:pPr>
        <w:rPr>
          <w:rFonts w:ascii="Arial" w:hAnsi="Arial" w:cs="Arial"/>
          <w:color w:val="000000"/>
          <w:sz w:val="22"/>
          <w:szCs w:val="22"/>
        </w:rPr>
      </w:pPr>
      <w:r>
        <w:rPr>
          <w:rFonts w:ascii="Arial" w:hAnsi="Arial" w:cs="Arial"/>
          <w:color w:val="000000"/>
          <w:sz w:val="22"/>
          <w:szCs w:val="22"/>
        </w:rPr>
        <w:t xml:space="preserve">The Status Network monitors several surface water resources.  Since lakes integrate runoff and other discharges within watersheds, small and large lakes were selected as the most </w:t>
      </w:r>
      <w:r>
        <w:rPr>
          <w:rFonts w:ascii="Arial" w:hAnsi="Arial" w:cs="Arial"/>
          <w:color w:val="000000"/>
          <w:sz w:val="22"/>
          <w:szCs w:val="22"/>
        </w:rPr>
        <w:lastRenderedPageBreak/>
        <w:t xml:space="preserve">appropriate resources to evaluate the occurrence of both metal and organic constituents in sediments.  Rivers and streams also can be depositional areas; however, sediments would likely be carried to downstream receiving waters because of stream flow and the subsequent transport of contaminants.  Both the geochemical-based metals tool and the biological effects guidance values applicable to freshwater environments are used to evaluate results. </w:t>
      </w:r>
    </w:p>
    <w:p w:rsidR="00485094" w:rsidRDefault="00485094" w:rsidP="00692F31">
      <w:pPr>
        <w:pStyle w:val="Bodytext"/>
        <w:rPr>
          <w:rFonts w:cs="Arial"/>
          <w:szCs w:val="22"/>
        </w:rPr>
      </w:pPr>
    </w:p>
    <w:p w:rsidR="00485094" w:rsidRDefault="00485094" w:rsidP="00692F31">
      <w:pPr>
        <w:pStyle w:val="Heading4"/>
        <w:rPr>
          <w:color w:val="000000"/>
          <w:sz w:val="22"/>
          <w:szCs w:val="22"/>
        </w:rPr>
      </w:pPr>
      <w:r>
        <w:t>Small and Large Lakes</w:t>
      </w:r>
    </w:p>
    <w:p w:rsidR="00485094" w:rsidRDefault="00485094" w:rsidP="00692F31">
      <w:pPr>
        <w:rPr>
          <w:rFonts w:ascii="Arial" w:hAnsi="Arial" w:cs="Arial"/>
          <w:sz w:val="22"/>
          <w:szCs w:val="22"/>
        </w:rPr>
      </w:pPr>
      <w:r>
        <w:rPr>
          <w:rFonts w:ascii="Arial" w:hAnsi="Arial" w:cs="Arial"/>
          <w:color w:val="000000"/>
          <w:sz w:val="22"/>
          <w:szCs w:val="22"/>
        </w:rPr>
        <w:t xml:space="preserve">A total of 1,086 samples were collected from the state’s </w:t>
      </w:r>
      <w:r w:rsidR="003D799D">
        <w:rPr>
          <w:rFonts w:ascii="Arial" w:hAnsi="Arial" w:cs="Arial"/>
          <w:color w:val="000000"/>
          <w:sz w:val="22"/>
          <w:szCs w:val="22"/>
        </w:rPr>
        <w:t xml:space="preserve">2 </w:t>
      </w:r>
      <w:r>
        <w:rPr>
          <w:rFonts w:ascii="Arial" w:hAnsi="Arial" w:cs="Arial"/>
          <w:color w:val="000000"/>
          <w:sz w:val="22"/>
          <w:szCs w:val="22"/>
        </w:rPr>
        <w:t xml:space="preserve">lake resources:  459 from small lakes and 627 from large lakes.  Statewide results for each lake resource are reported below.  </w:t>
      </w:r>
      <w:r>
        <w:rPr>
          <w:rFonts w:ascii="Arial" w:hAnsi="Arial" w:cs="Arial"/>
          <w:sz w:val="22"/>
          <w:szCs w:val="22"/>
        </w:rPr>
        <w:t xml:space="preserve">Samples were analyzed </w:t>
      </w:r>
      <w:r w:rsidRPr="002D731B">
        <w:rPr>
          <w:rFonts w:ascii="Arial" w:hAnsi="Arial" w:cs="Arial"/>
          <w:sz w:val="22"/>
          <w:szCs w:val="22"/>
        </w:rPr>
        <w:t>for major elements (</w:t>
      </w:r>
      <w:r>
        <w:rPr>
          <w:rFonts w:ascii="Arial" w:hAnsi="Arial" w:cs="Arial"/>
          <w:sz w:val="22"/>
          <w:szCs w:val="22"/>
        </w:rPr>
        <w:t>aluminum and iron</w:t>
      </w:r>
      <w:r w:rsidRPr="002D731B">
        <w:rPr>
          <w:rFonts w:ascii="Arial" w:hAnsi="Arial" w:cs="Arial"/>
          <w:sz w:val="22"/>
          <w:szCs w:val="22"/>
        </w:rPr>
        <w:t xml:space="preserve">), </w:t>
      </w:r>
      <w:r>
        <w:rPr>
          <w:rFonts w:ascii="Arial" w:hAnsi="Arial" w:cs="Arial"/>
          <w:sz w:val="22"/>
          <w:szCs w:val="22"/>
        </w:rPr>
        <w:t xml:space="preserve">a suite of trace </w:t>
      </w:r>
      <w:r w:rsidRPr="002D731B">
        <w:rPr>
          <w:rFonts w:ascii="Arial" w:hAnsi="Arial" w:cs="Arial"/>
          <w:sz w:val="22"/>
          <w:szCs w:val="22"/>
        </w:rPr>
        <w:t>metals, nutrients</w:t>
      </w:r>
      <w:r>
        <w:rPr>
          <w:rFonts w:ascii="Arial" w:hAnsi="Arial" w:cs="Arial"/>
          <w:sz w:val="22"/>
          <w:szCs w:val="22"/>
        </w:rPr>
        <w:t xml:space="preserve">, and a suite of </w:t>
      </w:r>
      <w:r w:rsidRPr="002D731B">
        <w:rPr>
          <w:rFonts w:ascii="Arial" w:hAnsi="Arial" w:cs="Arial"/>
          <w:sz w:val="22"/>
          <w:szCs w:val="22"/>
        </w:rPr>
        <w:t>organic contaminants</w:t>
      </w:r>
      <w:r>
        <w:rPr>
          <w:rFonts w:ascii="Arial" w:hAnsi="Arial" w:cs="Arial"/>
          <w:sz w:val="22"/>
          <w:szCs w:val="22"/>
        </w:rPr>
        <w:t xml:space="preserve"> (</w:t>
      </w:r>
      <w:r w:rsidRPr="00377936">
        <w:rPr>
          <w:rFonts w:ascii="Arial" w:hAnsi="Arial" w:cs="Arial"/>
          <w:b/>
          <w:i/>
          <w:sz w:val="22"/>
          <w:szCs w:val="22"/>
        </w:rPr>
        <w:t xml:space="preserve">Tables </w:t>
      </w:r>
      <w:r>
        <w:rPr>
          <w:rFonts w:ascii="Arial" w:hAnsi="Arial" w:cs="Arial"/>
          <w:b/>
          <w:i/>
          <w:sz w:val="22"/>
          <w:szCs w:val="22"/>
        </w:rPr>
        <w:t>5.</w:t>
      </w:r>
      <w:r w:rsidRPr="00377936">
        <w:rPr>
          <w:rFonts w:ascii="Arial" w:hAnsi="Arial" w:cs="Arial"/>
          <w:b/>
          <w:i/>
          <w:sz w:val="22"/>
          <w:szCs w:val="22"/>
        </w:rPr>
        <w:t>3a</w:t>
      </w:r>
      <w:r w:rsidRPr="004F197D">
        <w:rPr>
          <w:rFonts w:ascii="Arial" w:hAnsi="Arial" w:cs="Arial"/>
          <w:snapToGrid w:val="0"/>
          <w:color w:val="000000"/>
          <w:sz w:val="22"/>
          <w:szCs w:val="22"/>
        </w:rPr>
        <w:t xml:space="preserve"> through</w:t>
      </w:r>
      <w:r>
        <w:rPr>
          <w:rFonts w:ascii="Arial" w:hAnsi="Arial" w:cs="Arial"/>
          <w:snapToGrid w:val="0"/>
          <w:color w:val="000000"/>
          <w:sz w:val="22"/>
          <w:szCs w:val="22"/>
        </w:rPr>
        <w:t xml:space="preserve"> </w:t>
      </w:r>
      <w:r w:rsidRPr="00AA6D75">
        <w:rPr>
          <w:rFonts w:ascii="Arial" w:hAnsi="Arial" w:cs="Arial"/>
          <w:b/>
          <w:i/>
          <w:snapToGrid w:val="0"/>
          <w:color w:val="000000"/>
          <w:sz w:val="22"/>
          <w:szCs w:val="22"/>
        </w:rPr>
        <w:t>5.3</w:t>
      </w:r>
      <w:r w:rsidRPr="00AA6D75">
        <w:rPr>
          <w:rFonts w:ascii="Arial" w:hAnsi="Arial" w:cs="Arial"/>
          <w:b/>
          <w:i/>
          <w:sz w:val="22"/>
          <w:szCs w:val="22"/>
        </w:rPr>
        <w:t>c</w:t>
      </w:r>
      <w:r>
        <w:rPr>
          <w:rFonts w:ascii="Arial" w:hAnsi="Arial" w:cs="Arial"/>
          <w:sz w:val="22"/>
          <w:szCs w:val="22"/>
        </w:rPr>
        <w:t xml:space="preserve">). </w:t>
      </w:r>
      <w:r>
        <w:rPr>
          <w:rFonts w:ascii="Arial" w:hAnsi="Arial" w:cs="Arial"/>
          <w:color w:val="000000"/>
          <w:sz w:val="22"/>
          <w:szCs w:val="22"/>
        </w:rPr>
        <w:t xml:space="preserve"> </w:t>
      </w:r>
      <w:r>
        <w:rPr>
          <w:rFonts w:ascii="Arial" w:hAnsi="Arial" w:cs="Arial"/>
          <w:sz w:val="22"/>
          <w:szCs w:val="22"/>
        </w:rPr>
        <w:t xml:space="preserve">To ensure </w:t>
      </w:r>
      <w:r w:rsidRPr="002D731B">
        <w:rPr>
          <w:rFonts w:ascii="Arial" w:hAnsi="Arial" w:cs="Arial"/>
          <w:sz w:val="22"/>
          <w:szCs w:val="22"/>
        </w:rPr>
        <w:t xml:space="preserve">accurate </w:t>
      </w:r>
      <w:r>
        <w:rPr>
          <w:rFonts w:ascii="Arial" w:hAnsi="Arial" w:cs="Arial"/>
          <w:sz w:val="22"/>
          <w:szCs w:val="22"/>
        </w:rPr>
        <w:t xml:space="preserve">metals </w:t>
      </w:r>
      <w:r w:rsidRPr="002D731B">
        <w:rPr>
          <w:rFonts w:ascii="Arial" w:hAnsi="Arial" w:cs="Arial"/>
          <w:sz w:val="22"/>
          <w:szCs w:val="22"/>
        </w:rPr>
        <w:t>data</w:t>
      </w:r>
      <w:r>
        <w:rPr>
          <w:rFonts w:ascii="Arial" w:hAnsi="Arial" w:cs="Arial"/>
          <w:sz w:val="22"/>
          <w:szCs w:val="22"/>
        </w:rPr>
        <w:t>, samples were prepared for chemical analysis</w:t>
      </w:r>
      <w:r w:rsidDel="00AA260C">
        <w:rPr>
          <w:rFonts w:ascii="Arial" w:hAnsi="Arial" w:cs="Arial"/>
          <w:sz w:val="22"/>
          <w:szCs w:val="22"/>
        </w:rPr>
        <w:t xml:space="preserve"> </w:t>
      </w:r>
      <w:r>
        <w:rPr>
          <w:rFonts w:ascii="Arial" w:hAnsi="Arial" w:cs="Arial"/>
          <w:sz w:val="22"/>
          <w:szCs w:val="22"/>
        </w:rPr>
        <w:t xml:space="preserve">using </w:t>
      </w:r>
      <w:r w:rsidRPr="002D731B">
        <w:rPr>
          <w:rFonts w:ascii="Arial" w:hAnsi="Arial" w:cs="Arial"/>
          <w:sz w:val="22"/>
          <w:szCs w:val="22"/>
        </w:rPr>
        <w:t xml:space="preserve">EPA </w:t>
      </w:r>
      <w:r>
        <w:rPr>
          <w:rFonts w:ascii="Arial" w:hAnsi="Arial" w:cs="Arial"/>
          <w:sz w:val="22"/>
          <w:szCs w:val="22"/>
        </w:rPr>
        <w:t>M</w:t>
      </w:r>
      <w:r w:rsidRPr="002D731B">
        <w:rPr>
          <w:rFonts w:ascii="Arial" w:hAnsi="Arial" w:cs="Arial"/>
          <w:sz w:val="22"/>
          <w:szCs w:val="22"/>
        </w:rPr>
        <w:t>ethod 305</w:t>
      </w:r>
      <w:r>
        <w:rPr>
          <w:rFonts w:ascii="Arial" w:hAnsi="Arial" w:cs="Arial"/>
          <w:sz w:val="22"/>
          <w:szCs w:val="22"/>
        </w:rPr>
        <w:t>1 (t</w:t>
      </w:r>
      <w:r w:rsidRPr="002D731B">
        <w:rPr>
          <w:rFonts w:ascii="Arial" w:hAnsi="Arial" w:cs="Arial"/>
          <w:sz w:val="22"/>
          <w:szCs w:val="22"/>
        </w:rPr>
        <w:t>otal digestion</w:t>
      </w:r>
      <w:r>
        <w:rPr>
          <w:rFonts w:ascii="Arial" w:hAnsi="Arial" w:cs="Arial"/>
          <w:sz w:val="22"/>
          <w:szCs w:val="22"/>
        </w:rPr>
        <w:t>) rather than with the EPA’s 200.2 method</w:t>
      </w:r>
      <w:r w:rsidR="003D799D">
        <w:rPr>
          <w:rFonts w:ascii="Arial" w:hAnsi="Arial" w:cs="Arial"/>
          <w:sz w:val="22"/>
          <w:szCs w:val="22"/>
        </w:rPr>
        <w:t xml:space="preserve"> (</w:t>
      </w:r>
      <w:r>
        <w:rPr>
          <w:rFonts w:ascii="Arial" w:hAnsi="Arial" w:cs="Arial"/>
          <w:sz w:val="22"/>
          <w:szCs w:val="22"/>
        </w:rPr>
        <w:t xml:space="preserve">referred to as the </w:t>
      </w:r>
      <w:r w:rsidRPr="002D731B">
        <w:rPr>
          <w:rFonts w:ascii="Arial" w:hAnsi="Arial" w:cs="Arial"/>
          <w:sz w:val="22"/>
          <w:szCs w:val="22"/>
        </w:rPr>
        <w:t>total</w:t>
      </w:r>
      <w:r>
        <w:rPr>
          <w:rFonts w:ascii="Arial" w:hAnsi="Arial" w:cs="Arial"/>
          <w:sz w:val="22"/>
          <w:szCs w:val="22"/>
        </w:rPr>
        <w:t xml:space="preserve"> recoverable method</w:t>
      </w:r>
      <w:r w:rsidR="003D799D">
        <w:rPr>
          <w:rFonts w:ascii="Arial" w:hAnsi="Arial" w:cs="Arial"/>
          <w:sz w:val="22"/>
          <w:szCs w:val="22"/>
        </w:rPr>
        <w:t>)</w:t>
      </w:r>
      <w:r>
        <w:rPr>
          <w:rFonts w:ascii="Arial" w:hAnsi="Arial" w:cs="Arial"/>
          <w:sz w:val="22"/>
          <w:szCs w:val="22"/>
        </w:rPr>
        <w:t xml:space="preserve">.  </w:t>
      </w:r>
    </w:p>
    <w:p w:rsidR="00485094" w:rsidRDefault="00485094" w:rsidP="00692F31">
      <w:pPr>
        <w:rPr>
          <w:rFonts w:ascii="Arial" w:hAnsi="Arial" w:cs="Arial"/>
          <w:sz w:val="22"/>
          <w:szCs w:val="22"/>
        </w:rPr>
      </w:pPr>
    </w:p>
    <w:p w:rsidR="00485094" w:rsidRDefault="00485094" w:rsidP="00692F31">
      <w:pPr>
        <w:rPr>
          <w:rFonts w:ascii="Arial" w:hAnsi="Arial" w:cs="Arial"/>
          <w:snapToGrid w:val="0"/>
          <w:color w:val="000000"/>
          <w:sz w:val="22"/>
          <w:szCs w:val="22"/>
        </w:rPr>
      </w:pPr>
      <w:r w:rsidRPr="00E43A3F">
        <w:rPr>
          <w:rFonts w:ascii="Arial" w:hAnsi="Arial" w:cs="Arial"/>
          <w:sz w:val="22"/>
          <w:szCs w:val="22"/>
        </w:rPr>
        <w:t xml:space="preserve">FDEP staff applied the sediment assessment tools to the </w:t>
      </w:r>
      <w:r>
        <w:rPr>
          <w:rFonts w:ascii="Arial" w:hAnsi="Arial" w:cs="Arial"/>
          <w:sz w:val="22"/>
          <w:szCs w:val="22"/>
        </w:rPr>
        <w:t>l</w:t>
      </w:r>
      <w:r w:rsidRPr="00E43A3F">
        <w:rPr>
          <w:rFonts w:ascii="Arial" w:hAnsi="Arial" w:cs="Arial"/>
          <w:sz w:val="22"/>
          <w:szCs w:val="22"/>
        </w:rPr>
        <w:t xml:space="preserve">ake datasets.  </w:t>
      </w:r>
      <w:r w:rsidRPr="00E43A3F">
        <w:rPr>
          <w:rFonts w:ascii="Arial" w:hAnsi="Arial" w:cs="Arial"/>
          <w:snapToGrid w:val="0"/>
          <w:color w:val="000000"/>
          <w:sz w:val="22"/>
          <w:szCs w:val="22"/>
        </w:rPr>
        <w:t>The sediment metal concentration</w:t>
      </w:r>
      <w:r>
        <w:rPr>
          <w:rFonts w:ascii="Arial" w:hAnsi="Arial" w:cs="Arial"/>
          <w:snapToGrid w:val="0"/>
          <w:color w:val="000000"/>
          <w:sz w:val="22"/>
          <w:szCs w:val="22"/>
        </w:rPr>
        <w:t>s were</w:t>
      </w:r>
      <w:r w:rsidRPr="00E43A3F">
        <w:rPr>
          <w:rFonts w:ascii="Arial" w:hAnsi="Arial" w:cs="Arial"/>
          <w:snapToGrid w:val="0"/>
          <w:color w:val="000000"/>
          <w:sz w:val="22"/>
          <w:szCs w:val="22"/>
        </w:rPr>
        <w:t xml:space="preserve"> compare</w:t>
      </w:r>
      <w:r>
        <w:rPr>
          <w:rFonts w:ascii="Arial" w:hAnsi="Arial" w:cs="Arial"/>
          <w:snapToGrid w:val="0"/>
          <w:color w:val="000000"/>
          <w:sz w:val="22"/>
          <w:szCs w:val="22"/>
        </w:rPr>
        <w:t>d with</w:t>
      </w:r>
      <w:r w:rsidRPr="00E43A3F">
        <w:rPr>
          <w:rFonts w:ascii="Arial" w:hAnsi="Arial" w:cs="Arial"/>
          <w:snapToGrid w:val="0"/>
          <w:color w:val="000000"/>
          <w:sz w:val="22"/>
          <w:szCs w:val="22"/>
        </w:rPr>
        <w:t xml:space="preserve"> the </w:t>
      </w:r>
      <w:r>
        <w:rPr>
          <w:rFonts w:ascii="Arial" w:hAnsi="Arial" w:cs="Arial"/>
          <w:snapToGrid w:val="0"/>
          <w:color w:val="000000"/>
          <w:sz w:val="22"/>
          <w:szCs w:val="22"/>
        </w:rPr>
        <w:t>F</w:t>
      </w:r>
      <w:r w:rsidRPr="00E43A3F">
        <w:rPr>
          <w:rFonts w:ascii="Arial" w:hAnsi="Arial" w:cs="Arial"/>
          <w:snapToGrid w:val="0"/>
          <w:color w:val="000000"/>
          <w:sz w:val="22"/>
          <w:szCs w:val="22"/>
        </w:rPr>
        <w:t xml:space="preserve">DEP freshwater </w:t>
      </w:r>
      <w:r>
        <w:rPr>
          <w:rFonts w:ascii="Arial" w:hAnsi="Arial" w:cs="Arial"/>
          <w:snapToGrid w:val="0"/>
          <w:color w:val="000000"/>
          <w:sz w:val="22"/>
          <w:szCs w:val="22"/>
        </w:rPr>
        <w:t xml:space="preserve">biologically based </w:t>
      </w:r>
      <w:r w:rsidRPr="00E43A3F">
        <w:rPr>
          <w:rFonts w:ascii="Arial" w:hAnsi="Arial" w:cs="Arial"/>
          <w:snapToGrid w:val="0"/>
          <w:color w:val="000000"/>
          <w:sz w:val="22"/>
          <w:szCs w:val="22"/>
        </w:rPr>
        <w:t>sediment guidelines</w:t>
      </w:r>
      <w:r>
        <w:rPr>
          <w:rFonts w:ascii="Arial" w:hAnsi="Arial" w:cs="Arial"/>
          <w:snapToGrid w:val="0"/>
          <w:color w:val="000000"/>
          <w:sz w:val="22"/>
          <w:szCs w:val="22"/>
        </w:rPr>
        <w:t xml:space="preserve"> (MacDonald, 1994)</w:t>
      </w:r>
      <w:r>
        <w:rPr>
          <w:rFonts w:ascii="Arial" w:hAnsi="Arial" w:cs="Arial"/>
          <w:sz w:val="22"/>
          <w:szCs w:val="22"/>
          <w:vertAlign w:val="superscript"/>
        </w:rPr>
        <w:t xml:space="preserve"> </w:t>
      </w:r>
      <w:r w:rsidRPr="00E43A3F">
        <w:rPr>
          <w:rFonts w:ascii="Arial" w:hAnsi="Arial" w:cs="Arial"/>
          <w:snapToGrid w:val="0"/>
          <w:color w:val="000000"/>
          <w:sz w:val="22"/>
          <w:szCs w:val="22"/>
        </w:rPr>
        <w:t>(</w:t>
      </w:r>
      <w:r w:rsidRPr="00377936">
        <w:rPr>
          <w:rFonts w:ascii="Arial" w:hAnsi="Arial" w:cs="Arial"/>
          <w:b/>
          <w:i/>
          <w:snapToGrid w:val="0"/>
          <w:color w:val="000000"/>
          <w:sz w:val="22"/>
          <w:szCs w:val="22"/>
        </w:rPr>
        <w:t xml:space="preserve">Tables </w:t>
      </w:r>
      <w:r>
        <w:rPr>
          <w:rFonts w:ascii="Arial" w:hAnsi="Arial" w:cs="Arial"/>
          <w:b/>
          <w:i/>
          <w:snapToGrid w:val="0"/>
          <w:color w:val="000000"/>
          <w:sz w:val="22"/>
          <w:szCs w:val="22"/>
        </w:rPr>
        <w:t xml:space="preserve">6.2c </w:t>
      </w:r>
      <w:r w:rsidRPr="000C661D">
        <w:rPr>
          <w:rFonts w:ascii="Arial" w:hAnsi="Arial" w:cs="Arial"/>
          <w:snapToGrid w:val="0"/>
          <w:color w:val="000000"/>
          <w:sz w:val="22"/>
          <w:szCs w:val="22"/>
        </w:rPr>
        <w:t>and</w:t>
      </w:r>
      <w:r>
        <w:rPr>
          <w:rFonts w:ascii="Arial" w:hAnsi="Arial" w:cs="Arial"/>
          <w:b/>
          <w:i/>
          <w:snapToGrid w:val="0"/>
          <w:color w:val="000000"/>
          <w:sz w:val="22"/>
          <w:szCs w:val="22"/>
        </w:rPr>
        <w:t xml:space="preserve"> 6.2d</w:t>
      </w:r>
      <w:r w:rsidRPr="00E43A3F">
        <w:rPr>
          <w:rFonts w:ascii="Arial" w:hAnsi="Arial" w:cs="Arial"/>
          <w:snapToGrid w:val="0"/>
          <w:color w:val="000000"/>
          <w:sz w:val="22"/>
          <w:szCs w:val="22"/>
        </w:rPr>
        <w:t xml:space="preserve">).  </w:t>
      </w:r>
      <w:r>
        <w:rPr>
          <w:rFonts w:ascii="Arial" w:hAnsi="Arial" w:cs="Arial"/>
          <w:snapToGrid w:val="0"/>
          <w:color w:val="000000"/>
          <w:sz w:val="22"/>
          <w:szCs w:val="22"/>
        </w:rPr>
        <w:t>When</w:t>
      </w:r>
      <w:r w:rsidRPr="00E43A3F">
        <w:rPr>
          <w:rFonts w:ascii="Arial" w:hAnsi="Arial" w:cs="Arial"/>
          <w:snapToGrid w:val="0"/>
          <w:color w:val="000000"/>
          <w:sz w:val="22"/>
          <w:szCs w:val="22"/>
        </w:rPr>
        <w:t xml:space="preserve"> the concentration exceed</w:t>
      </w:r>
      <w:r>
        <w:rPr>
          <w:rFonts w:ascii="Arial" w:hAnsi="Arial" w:cs="Arial"/>
          <w:snapToGrid w:val="0"/>
          <w:color w:val="000000"/>
          <w:sz w:val="22"/>
          <w:szCs w:val="22"/>
        </w:rPr>
        <w:t>ed</w:t>
      </w:r>
      <w:r w:rsidRPr="00E43A3F">
        <w:rPr>
          <w:rFonts w:ascii="Arial" w:hAnsi="Arial" w:cs="Arial"/>
          <w:snapToGrid w:val="0"/>
          <w:color w:val="000000"/>
          <w:sz w:val="22"/>
          <w:szCs w:val="22"/>
        </w:rPr>
        <w:t xml:space="preserve"> </w:t>
      </w:r>
      <w:r w:rsidRPr="00071338">
        <w:rPr>
          <w:rFonts w:ascii="Arial" w:hAnsi="Arial" w:cs="Arial"/>
          <w:snapToGrid w:val="0"/>
          <w:color w:val="000000"/>
          <w:sz w:val="22"/>
          <w:szCs w:val="22"/>
        </w:rPr>
        <w:t xml:space="preserve">either guideline, </w:t>
      </w:r>
      <w:r w:rsidRPr="00E43A3F">
        <w:rPr>
          <w:rFonts w:ascii="Arial" w:hAnsi="Arial" w:cs="Arial"/>
          <w:snapToGrid w:val="0"/>
          <w:color w:val="000000"/>
          <w:sz w:val="22"/>
          <w:szCs w:val="22"/>
        </w:rPr>
        <w:t>the metal concentration was evaluated</w:t>
      </w:r>
      <w:r>
        <w:rPr>
          <w:rFonts w:ascii="Arial" w:hAnsi="Arial" w:cs="Arial"/>
          <w:snapToGrid w:val="0"/>
          <w:color w:val="000000"/>
          <w:sz w:val="22"/>
          <w:szCs w:val="22"/>
        </w:rPr>
        <w:t>.</w:t>
      </w:r>
      <w:r w:rsidRPr="00E43A3F">
        <w:rPr>
          <w:rFonts w:ascii="Arial" w:hAnsi="Arial" w:cs="Arial"/>
          <w:snapToGrid w:val="0"/>
          <w:color w:val="000000"/>
          <w:sz w:val="22"/>
          <w:szCs w:val="22"/>
        </w:rPr>
        <w:t xml:space="preserve"> </w:t>
      </w:r>
      <w:r>
        <w:rPr>
          <w:rFonts w:ascii="Arial" w:hAnsi="Arial" w:cs="Arial"/>
          <w:snapToGrid w:val="0"/>
          <w:color w:val="000000"/>
          <w:sz w:val="22"/>
          <w:szCs w:val="22"/>
        </w:rPr>
        <w:t xml:space="preserve"> </w:t>
      </w:r>
      <w:r w:rsidRPr="00E43A3F">
        <w:rPr>
          <w:rFonts w:ascii="Arial" w:hAnsi="Arial" w:cs="Arial"/>
          <w:snapToGrid w:val="0"/>
          <w:color w:val="000000"/>
          <w:sz w:val="22"/>
          <w:szCs w:val="22"/>
        </w:rPr>
        <w:t xml:space="preserve">If the concentration </w:t>
      </w:r>
      <w:r>
        <w:rPr>
          <w:rFonts w:ascii="Arial" w:hAnsi="Arial" w:cs="Arial"/>
          <w:snapToGrid w:val="0"/>
          <w:color w:val="000000"/>
          <w:sz w:val="22"/>
          <w:szCs w:val="22"/>
        </w:rPr>
        <w:t>was</w:t>
      </w:r>
      <w:r w:rsidRPr="00E43A3F">
        <w:rPr>
          <w:rFonts w:ascii="Arial" w:hAnsi="Arial" w:cs="Arial"/>
          <w:snapToGrid w:val="0"/>
          <w:color w:val="000000"/>
          <w:sz w:val="22"/>
          <w:szCs w:val="22"/>
        </w:rPr>
        <w:t xml:space="preserve"> within the naturally occurring range, the sediment sample </w:t>
      </w:r>
      <w:r>
        <w:rPr>
          <w:rFonts w:ascii="Arial" w:hAnsi="Arial" w:cs="Arial"/>
          <w:snapToGrid w:val="0"/>
          <w:color w:val="000000"/>
          <w:sz w:val="22"/>
          <w:szCs w:val="22"/>
        </w:rPr>
        <w:t>was reclassified as “</w:t>
      </w:r>
      <w:r w:rsidRPr="00E43A3F">
        <w:rPr>
          <w:rFonts w:ascii="Arial" w:hAnsi="Arial" w:cs="Arial"/>
          <w:snapToGrid w:val="0"/>
          <w:color w:val="000000"/>
          <w:sz w:val="22"/>
          <w:szCs w:val="22"/>
        </w:rPr>
        <w:t>not elevated.</w:t>
      </w:r>
      <w:r>
        <w:rPr>
          <w:rFonts w:ascii="Arial" w:hAnsi="Arial" w:cs="Arial"/>
          <w:snapToGrid w:val="0"/>
          <w:color w:val="000000"/>
          <w:sz w:val="22"/>
          <w:szCs w:val="22"/>
        </w:rPr>
        <w:t>”</w:t>
      </w:r>
      <w:r w:rsidRPr="00E43A3F">
        <w:rPr>
          <w:rFonts w:ascii="Arial" w:hAnsi="Arial" w:cs="Arial"/>
          <w:snapToGrid w:val="0"/>
          <w:color w:val="000000"/>
          <w:sz w:val="22"/>
          <w:szCs w:val="22"/>
        </w:rPr>
        <w:t xml:space="preserve">  </w:t>
      </w:r>
      <w:r>
        <w:rPr>
          <w:rFonts w:ascii="Arial" w:hAnsi="Arial" w:cs="Arial"/>
          <w:snapToGrid w:val="0"/>
          <w:color w:val="000000"/>
          <w:sz w:val="22"/>
          <w:szCs w:val="22"/>
        </w:rPr>
        <w:t>Res</w:t>
      </w:r>
      <w:r w:rsidRPr="00E43A3F">
        <w:rPr>
          <w:rFonts w:ascii="Arial" w:hAnsi="Arial" w:cs="Arial"/>
          <w:snapToGrid w:val="0"/>
          <w:color w:val="000000"/>
          <w:sz w:val="22"/>
          <w:szCs w:val="22"/>
        </w:rPr>
        <w:t xml:space="preserve">ults </w:t>
      </w:r>
      <w:r>
        <w:rPr>
          <w:rFonts w:ascii="Arial" w:hAnsi="Arial" w:cs="Arial"/>
          <w:snapToGrid w:val="0"/>
          <w:color w:val="000000"/>
          <w:sz w:val="22"/>
          <w:szCs w:val="22"/>
        </w:rPr>
        <w:t>can be found</w:t>
      </w:r>
      <w:r w:rsidRPr="00E43A3F">
        <w:rPr>
          <w:rFonts w:ascii="Arial" w:hAnsi="Arial" w:cs="Arial"/>
          <w:snapToGrid w:val="0"/>
          <w:color w:val="000000"/>
          <w:sz w:val="22"/>
          <w:szCs w:val="22"/>
        </w:rPr>
        <w:t xml:space="preserve"> in </w:t>
      </w:r>
      <w:r w:rsidRPr="00377936">
        <w:rPr>
          <w:rFonts w:ascii="Arial" w:hAnsi="Arial" w:cs="Arial"/>
          <w:b/>
          <w:i/>
          <w:snapToGrid w:val="0"/>
          <w:color w:val="000000"/>
          <w:sz w:val="22"/>
          <w:szCs w:val="22"/>
        </w:rPr>
        <w:t xml:space="preserve">Figures </w:t>
      </w:r>
      <w:r>
        <w:rPr>
          <w:rFonts w:ascii="Arial" w:hAnsi="Arial" w:cs="Arial"/>
          <w:b/>
          <w:i/>
          <w:snapToGrid w:val="0"/>
          <w:color w:val="000000"/>
          <w:sz w:val="22"/>
          <w:szCs w:val="22"/>
        </w:rPr>
        <w:t xml:space="preserve">6.9 </w:t>
      </w:r>
      <w:r w:rsidRPr="000C661D">
        <w:rPr>
          <w:rFonts w:ascii="Arial" w:hAnsi="Arial" w:cs="Arial"/>
          <w:snapToGrid w:val="0"/>
          <w:color w:val="000000"/>
          <w:sz w:val="22"/>
          <w:szCs w:val="22"/>
        </w:rPr>
        <w:t>and</w:t>
      </w:r>
      <w:r>
        <w:rPr>
          <w:rFonts w:ascii="Arial" w:hAnsi="Arial" w:cs="Arial"/>
          <w:b/>
          <w:i/>
          <w:snapToGrid w:val="0"/>
          <w:color w:val="000000"/>
          <w:sz w:val="22"/>
          <w:szCs w:val="22"/>
        </w:rPr>
        <w:t xml:space="preserve"> 6.10</w:t>
      </w:r>
      <w:r>
        <w:rPr>
          <w:rFonts w:ascii="Arial" w:hAnsi="Arial" w:cs="Arial"/>
          <w:snapToGrid w:val="0"/>
          <w:color w:val="000000"/>
          <w:sz w:val="22"/>
          <w:szCs w:val="22"/>
        </w:rPr>
        <w:t xml:space="preserve">, along with </w:t>
      </w:r>
      <w:r>
        <w:rPr>
          <w:rFonts w:ascii="Arial" w:hAnsi="Arial" w:cs="Arial"/>
          <w:b/>
          <w:i/>
          <w:snapToGrid w:val="0"/>
          <w:color w:val="000000"/>
          <w:sz w:val="22"/>
          <w:szCs w:val="22"/>
        </w:rPr>
        <w:t>Tables 6.4</w:t>
      </w:r>
      <w:r w:rsidRPr="00377936">
        <w:rPr>
          <w:rFonts w:ascii="Arial" w:hAnsi="Arial" w:cs="Arial"/>
          <w:b/>
          <w:i/>
          <w:snapToGrid w:val="0"/>
          <w:color w:val="000000"/>
          <w:sz w:val="22"/>
          <w:szCs w:val="22"/>
        </w:rPr>
        <w:t>a</w:t>
      </w:r>
      <w:r w:rsidRPr="004F197D">
        <w:rPr>
          <w:rFonts w:ascii="Arial" w:hAnsi="Arial" w:cs="Arial"/>
          <w:snapToGrid w:val="0"/>
          <w:color w:val="000000"/>
          <w:sz w:val="22"/>
          <w:szCs w:val="22"/>
        </w:rPr>
        <w:t xml:space="preserve"> </w:t>
      </w:r>
      <w:r>
        <w:rPr>
          <w:rFonts w:ascii="Arial" w:hAnsi="Arial" w:cs="Arial"/>
          <w:snapToGrid w:val="0"/>
          <w:color w:val="000000"/>
          <w:sz w:val="22"/>
          <w:szCs w:val="22"/>
        </w:rPr>
        <w:t>and</w:t>
      </w:r>
      <w:r>
        <w:rPr>
          <w:rFonts w:ascii="Arial" w:hAnsi="Arial" w:cs="Arial"/>
          <w:b/>
          <w:i/>
          <w:snapToGrid w:val="0"/>
          <w:color w:val="000000"/>
          <w:sz w:val="22"/>
          <w:szCs w:val="22"/>
        </w:rPr>
        <w:t xml:space="preserve"> 6.4</w:t>
      </w:r>
      <w:r w:rsidRPr="00377936">
        <w:rPr>
          <w:rFonts w:ascii="Arial" w:hAnsi="Arial" w:cs="Arial"/>
          <w:b/>
          <w:i/>
          <w:snapToGrid w:val="0"/>
          <w:color w:val="000000"/>
          <w:sz w:val="22"/>
          <w:szCs w:val="22"/>
        </w:rPr>
        <w:t>b</w:t>
      </w:r>
      <w:r>
        <w:rPr>
          <w:rFonts w:ascii="Arial" w:hAnsi="Arial" w:cs="Arial"/>
          <w:snapToGrid w:val="0"/>
          <w:color w:val="000000"/>
          <w:sz w:val="22"/>
          <w:szCs w:val="22"/>
        </w:rPr>
        <w:t xml:space="preserve">.  </w:t>
      </w:r>
      <w:r w:rsidRPr="00F729AC">
        <w:rPr>
          <w:rFonts w:ascii="Arial" w:hAnsi="Arial" w:cs="Arial"/>
          <w:b/>
          <w:i/>
          <w:snapToGrid w:val="0"/>
          <w:color w:val="000000"/>
          <w:sz w:val="22"/>
          <w:szCs w:val="22"/>
        </w:rPr>
        <w:t>Tables 6.4a</w:t>
      </w:r>
      <w:r>
        <w:rPr>
          <w:rFonts w:ascii="Arial" w:hAnsi="Arial" w:cs="Arial"/>
          <w:snapToGrid w:val="0"/>
          <w:color w:val="000000"/>
          <w:sz w:val="22"/>
          <w:szCs w:val="22"/>
        </w:rPr>
        <w:t xml:space="preserve"> and </w:t>
      </w:r>
      <w:r w:rsidRPr="00F729AC">
        <w:rPr>
          <w:rFonts w:ascii="Arial" w:hAnsi="Arial" w:cs="Arial"/>
          <w:b/>
          <w:i/>
          <w:snapToGrid w:val="0"/>
          <w:color w:val="000000"/>
          <w:sz w:val="22"/>
          <w:szCs w:val="22"/>
        </w:rPr>
        <w:t>6.4b</w:t>
      </w:r>
      <w:r>
        <w:rPr>
          <w:rFonts w:ascii="Arial" w:hAnsi="Arial" w:cs="Arial"/>
          <w:snapToGrid w:val="0"/>
          <w:color w:val="000000"/>
          <w:sz w:val="22"/>
          <w:szCs w:val="22"/>
        </w:rPr>
        <w:t xml:space="preserve"> have two rows for each metal.  The first row contains the uncorrected metals results, while the second row, with the heading </w:t>
      </w:r>
      <w:r w:rsidR="003D799D">
        <w:rPr>
          <w:rFonts w:ascii="Arial" w:hAnsi="Arial" w:cs="Arial"/>
          <w:snapToGrid w:val="0"/>
          <w:color w:val="000000"/>
          <w:sz w:val="22"/>
          <w:szCs w:val="22"/>
        </w:rPr>
        <w:t>“Corrected M</w:t>
      </w:r>
      <w:r>
        <w:rPr>
          <w:rFonts w:ascii="Arial" w:hAnsi="Arial" w:cs="Arial"/>
          <w:snapToGrid w:val="0"/>
          <w:color w:val="000000"/>
          <w:sz w:val="22"/>
          <w:szCs w:val="22"/>
        </w:rPr>
        <w:t>etals,</w:t>
      </w:r>
      <w:r w:rsidR="003D799D">
        <w:rPr>
          <w:rFonts w:ascii="Arial" w:hAnsi="Arial" w:cs="Arial"/>
          <w:snapToGrid w:val="0"/>
          <w:color w:val="000000"/>
          <w:sz w:val="22"/>
          <w:szCs w:val="22"/>
        </w:rPr>
        <w:t>”</w:t>
      </w:r>
      <w:r>
        <w:rPr>
          <w:rFonts w:ascii="Arial" w:hAnsi="Arial" w:cs="Arial"/>
          <w:snapToGrid w:val="0"/>
          <w:color w:val="000000"/>
          <w:sz w:val="22"/>
          <w:szCs w:val="22"/>
        </w:rPr>
        <w:t xml:space="preserve"> contains the results after applying the metals normalization analysis.</w:t>
      </w:r>
    </w:p>
    <w:p w:rsidR="00485094" w:rsidRDefault="00485094" w:rsidP="00692F31">
      <w:pPr>
        <w:rPr>
          <w:rFonts w:ascii="Arial" w:hAnsi="Arial" w:cs="Arial"/>
          <w:snapToGrid w:val="0"/>
          <w:color w:val="000000"/>
          <w:sz w:val="22"/>
          <w:szCs w:val="22"/>
        </w:rPr>
      </w:pPr>
    </w:p>
    <w:p w:rsidR="00485094" w:rsidRPr="00CF1D85" w:rsidRDefault="00485094" w:rsidP="00692F31">
      <w:pPr>
        <w:rPr>
          <w:rFonts w:ascii="Arial" w:hAnsi="Arial" w:cs="Arial"/>
          <w:sz w:val="22"/>
          <w:szCs w:val="22"/>
        </w:rPr>
      </w:pPr>
      <w:r w:rsidRPr="00CF1D85">
        <w:rPr>
          <w:rFonts w:ascii="Arial" w:hAnsi="Arial" w:cs="Arial"/>
          <w:snapToGrid w:val="0"/>
          <w:color w:val="000000"/>
          <w:sz w:val="22"/>
          <w:szCs w:val="22"/>
        </w:rPr>
        <w:t xml:space="preserve">This evaluation </w:t>
      </w:r>
      <w:r w:rsidR="003D799D" w:rsidRPr="00CF1D85">
        <w:rPr>
          <w:rFonts w:ascii="Arial" w:hAnsi="Arial" w:cs="Arial"/>
          <w:snapToGrid w:val="0"/>
          <w:color w:val="000000"/>
          <w:sz w:val="22"/>
          <w:szCs w:val="22"/>
        </w:rPr>
        <w:t>illustrate</w:t>
      </w:r>
      <w:r w:rsidR="003D799D">
        <w:rPr>
          <w:rFonts w:ascii="Arial" w:hAnsi="Arial" w:cs="Arial"/>
          <w:snapToGrid w:val="0"/>
          <w:color w:val="000000"/>
          <w:sz w:val="22"/>
          <w:szCs w:val="22"/>
        </w:rPr>
        <w:t>s</w:t>
      </w:r>
      <w:r w:rsidR="003D799D" w:rsidRPr="00CF1D85">
        <w:rPr>
          <w:rFonts w:ascii="Arial" w:hAnsi="Arial" w:cs="Arial"/>
          <w:snapToGrid w:val="0"/>
          <w:color w:val="000000"/>
          <w:sz w:val="22"/>
          <w:szCs w:val="22"/>
        </w:rPr>
        <w:t xml:space="preserve"> </w:t>
      </w:r>
      <w:r w:rsidRPr="00CF1D85">
        <w:rPr>
          <w:rFonts w:ascii="Arial" w:hAnsi="Arial" w:cs="Arial"/>
          <w:snapToGrid w:val="0"/>
          <w:color w:val="000000"/>
          <w:sz w:val="22"/>
          <w:szCs w:val="22"/>
        </w:rPr>
        <w:t>that the number of metal exceedances was lower than expected if concentration had been the only measure used to determine bioeffects.  This is true especially for certain metals such as arsenic, cadmium</w:t>
      </w:r>
      <w:r>
        <w:rPr>
          <w:rFonts w:ascii="Arial" w:hAnsi="Arial" w:cs="Arial"/>
          <w:snapToGrid w:val="0"/>
          <w:color w:val="000000"/>
          <w:sz w:val="22"/>
          <w:szCs w:val="22"/>
        </w:rPr>
        <w:t>,</w:t>
      </w:r>
      <w:r w:rsidRPr="00CF1D85">
        <w:rPr>
          <w:rFonts w:ascii="Arial" w:hAnsi="Arial" w:cs="Arial"/>
          <w:snapToGrid w:val="0"/>
          <w:color w:val="000000"/>
          <w:sz w:val="22"/>
          <w:szCs w:val="22"/>
        </w:rPr>
        <w:t xml:space="preserve"> and chromium.  Many sites that appear to be impacted in fact exhibit expected sediment metal concentrations.  </w:t>
      </w:r>
      <w:r w:rsidRPr="00CF1D85">
        <w:rPr>
          <w:rFonts w:ascii="Arial" w:hAnsi="Arial" w:cs="Arial"/>
          <w:sz w:val="22"/>
          <w:szCs w:val="22"/>
        </w:rPr>
        <w:t>Using the bioeffect guidelines, the metals copper, lead</w:t>
      </w:r>
      <w:r>
        <w:rPr>
          <w:rFonts w:ascii="Arial" w:hAnsi="Arial" w:cs="Arial"/>
          <w:sz w:val="22"/>
          <w:szCs w:val="22"/>
        </w:rPr>
        <w:t>,</w:t>
      </w:r>
      <w:r w:rsidRPr="00CF1D85">
        <w:rPr>
          <w:rFonts w:ascii="Arial" w:hAnsi="Arial" w:cs="Arial"/>
          <w:sz w:val="22"/>
          <w:szCs w:val="22"/>
        </w:rPr>
        <w:t xml:space="preserve"> and zinc produce the most exceedances.  Arsenic, cadmium, chromium, and silver rarely exceed guidelines.  Not surprisingly, sediment metals are highest in lakes in urbanized areas, with the highest number of samples having elevated metals in the Tampa Bay a</w:t>
      </w:r>
      <w:r>
        <w:rPr>
          <w:rFonts w:ascii="Arial" w:hAnsi="Arial" w:cs="Arial"/>
          <w:sz w:val="22"/>
          <w:szCs w:val="22"/>
        </w:rPr>
        <w:t>nd southeast Florida regions.</w:t>
      </w:r>
    </w:p>
    <w:p w:rsidR="00485094" w:rsidRPr="00CF1D85" w:rsidRDefault="00485094" w:rsidP="00692F31">
      <w:pPr>
        <w:rPr>
          <w:rFonts w:ascii="Arial" w:hAnsi="Arial" w:cs="Arial"/>
          <w:sz w:val="22"/>
          <w:szCs w:val="22"/>
        </w:rPr>
      </w:pPr>
    </w:p>
    <w:p w:rsidR="00485094" w:rsidRPr="005D6D8F" w:rsidRDefault="00485094" w:rsidP="005D6D8F">
      <w:pPr>
        <w:pStyle w:val="NoSpacing"/>
        <w:rPr>
          <w:rFonts w:ascii="Arial" w:hAnsi="Arial" w:cs="Arial"/>
          <w:sz w:val="22"/>
          <w:szCs w:val="22"/>
        </w:rPr>
      </w:pPr>
      <w:r>
        <w:rPr>
          <w:rFonts w:ascii="Arial" w:hAnsi="Arial" w:cs="Arial"/>
          <w:sz w:val="22"/>
          <w:szCs w:val="22"/>
        </w:rPr>
        <w:t>The e</w:t>
      </w:r>
      <w:r w:rsidRPr="00CF1D85">
        <w:rPr>
          <w:rFonts w:ascii="Arial" w:hAnsi="Arial" w:cs="Arial"/>
          <w:sz w:val="22"/>
          <w:szCs w:val="22"/>
        </w:rPr>
        <w:t>valuation of organic contaminants in the state’s lake sediments is straightforward, as normalization is not used to interpret organic contaminant concentrations.  Pesticides and</w:t>
      </w:r>
      <w:r w:rsidRPr="004C1F19">
        <w:rPr>
          <w:rFonts w:ascii="Arial" w:hAnsi="Arial" w:cs="Arial"/>
          <w:sz w:val="22"/>
          <w:szCs w:val="22"/>
        </w:rPr>
        <w:t xml:space="preserve"> </w:t>
      </w:r>
      <w:r>
        <w:rPr>
          <w:rFonts w:ascii="Arial" w:hAnsi="Arial" w:cs="Arial"/>
          <w:sz w:val="22"/>
          <w:szCs w:val="22"/>
        </w:rPr>
        <w:t>polynuclear aromatic hydrocarbons (</w:t>
      </w:r>
      <w:r w:rsidRPr="004C1F19">
        <w:rPr>
          <w:rFonts w:ascii="Arial" w:hAnsi="Arial" w:cs="Arial"/>
          <w:sz w:val="22"/>
          <w:szCs w:val="22"/>
        </w:rPr>
        <w:t>PAHs</w:t>
      </w:r>
      <w:r>
        <w:rPr>
          <w:rFonts w:ascii="Arial" w:hAnsi="Arial" w:cs="Arial"/>
          <w:sz w:val="22"/>
          <w:szCs w:val="22"/>
        </w:rPr>
        <w:t>)</w:t>
      </w:r>
      <w:r w:rsidRPr="004C1F19">
        <w:rPr>
          <w:rFonts w:ascii="Arial" w:hAnsi="Arial" w:cs="Arial"/>
          <w:sz w:val="22"/>
          <w:szCs w:val="22"/>
        </w:rPr>
        <w:t xml:space="preserve"> were the most frequently detected organic c</w:t>
      </w:r>
      <w:r>
        <w:rPr>
          <w:rFonts w:ascii="Arial" w:hAnsi="Arial" w:cs="Arial"/>
          <w:sz w:val="22"/>
          <w:szCs w:val="22"/>
        </w:rPr>
        <w:t>ontaminants, reported in 34</w:t>
      </w:r>
      <w:r w:rsidRPr="004C1F19">
        <w:rPr>
          <w:rFonts w:ascii="Arial" w:hAnsi="Arial" w:cs="Arial"/>
          <w:sz w:val="22"/>
          <w:szCs w:val="22"/>
        </w:rPr>
        <w:t xml:space="preserve">% of all samples.  </w:t>
      </w:r>
      <w:r>
        <w:rPr>
          <w:rFonts w:ascii="Arial" w:hAnsi="Arial" w:cs="Arial"/>
          <w:sz w:val="22"/>
          <w:szCs w:val="22"/>
        </w:rPr>
        <w:t>Polychlorinated biphenyls (</w:t>
      </w:r>
      <w:r w:rsidRPr="004C1F19">
        <w:rPr>
          <w:rFonts w:ascii="Arial" w:hAnsi="Arial" w:cs="Arial"/>
          <w:sz w:val="22"/>
          <w:szCs w:val="22"/>
        </w:rPr>
        <w:t>PCBs</w:t>
      </w:r>
      <w:r>
        <w:rPr>
          <w:rFonts w:ascii="Arial" w:hAnsi="Arial" w:cs="Arial"/>
          <w:sz w:val="22"/>
          <w:szCs w:val="22"/>
        </w:rPr>
        <w:t>)</w:t>
      </w:r>
      <w:r w:rsidRPr="004C1F19">
        <w:rPr>
          <w:rFonts w:ascii="Arial" w:hAnsi="Arial" w:cs="Arial"/>
          <w:sz w:val="22"/>
          <w:szCs w:val="22"/>
        </w:rPr>
        <w:t xml:space="preserve"> were detected in just </w:t>
      </w:r>
      <w:r>
        <w:rPr>
          <w:rFonts w:ascii="Arial" w:hAnsi="Arial" w:cs="Arial"/>
          <w:sz w:val="22"/>
          <w:szCs w:val="22"/>
        </w:rPr>
        <w:t>4</w:t>
      </w:r>
      <w:r w:rsidRPr="004C1F19">
        <w:rPr>
          <w:rFonts w:ascii="Arial" w:hAnsi="Arial" w:cs="Arial"/>
          <w:sz w:val="22"/>
          <w:szCs w:val="22"/>
        </w:rPr>
        <w:t xml:space="preserve"> </w:t>
      </w:r>
      <w:r>
        <w:rPr>
          <w:rFonts w:ascii="Arial" w:hAnsi="Arial" w:cs="Arial"/>
          <w:sz w:val="22"/>
          <w:szCs w:val="22"/>
        </w:rPr>
        <w:t xml:space="preserve">lake </w:t>
      </w:r>
      <w:r w:rsidRPr="004C1F19">
        <w:rPr>
          <w:rFonts w:ascii="Arial" w:hAnsi="Arial" w:cs="Arial"/>
          <w:sz w:val="22"/>
          <w:szCs w:val="22"/>
        </w:rPr>
        <w:t xml:space="preserve">stations, or </w:t>
      </w:r>
      <w:r>
        <w:rPr>
          <w:rFonts w:ascii="Arial" w:hAnsi="Arial" w:cs="Arial"/>
          <w:sz w:val="22"/>
          <w:szCs w:val="22"/>
        </w:rPr>
        <w:t>fewer</w:t>
      </w:r>
      <w:r w:rsidRPr="004C1F19">
        <w:rPr>
          <w:rFonts w:ascii="Arial" w:hAnsi="Arial" w:cs="Arial"/>
          <w:sz w:val="22"/>
          <w:szCs w:val="22"/>
        </w:rPr>
        <w:t xml:space="preserve"> than 1% of the total samples.</w:t>
      </w:r>
      <w:r>
        <w:rPr>
          <w:rFonts w:cs="Arial"/>
          <w:szCs w:val="22"/>
        </w:rPr>
        <w:t xml:space="preserve">  </w:t>
      </w:r>
      <w:r w:rsidRPr="004C1F19">
        <w:rPr>
          <w:rFonts w:ascii="Arial" w:hAnsi="Arial" w:cs="Arial"/>
          <w:sz w:val="22"/>
          <w:szCs w:val="22"/>
        </w:rPr>
        <w:t>When the organic contaminant concentration in a sample exceed</w:t>
      </w:r>
      <w:r>
        <w:rPr>
          <w:rFonts w:ascii="Arial" w:hAnsi="Arial" w:cs="Arial"/>
          <w:sz w:val="22"/>
          <w:szCs w:val="22"/>
        </w:rPr>
        <w:t>ed</w:t>
      </w:r>
      <w:r w:rsidRPr="004C1F19">
        <w:rPr>
          <w:rFonts w:ascii="Arial" w:hAnsi="Arial" w:cs="Arial"/>
          <w:sz w:val="22"/>
          <w:szCs w:val="22"/>
        </w:rPr>
        <w:t xml:space="preserve"> either </w:t>
      </w:r>
      <w:r>
        <w:rPr>
          <w:rFonts w:ascii="Arial" w:hAnsi="Arial" w:cs="Arial"/>
          <w:sz w:val="22"/>
          <w:szCs w:val="22"/>
        </w:rPr>
        <w:t>guideline (TEC or PEC),</w:t>
      </w:r>
      <w:r w:rsidRPr="004C1F19">
        <w:rPr>
          <w:rFonts w:ascii="Arial" w:hAnsi="Arial" w:cs="Arial"/>
          <w:sz w:val="22"/>
          <w:szCs w:val="22"/>
        </w:rPr>
        <w:t xml:space="preserve"> this exceedance was </w:t>
      </w:r>
      <w:r>
        <w:rPr>
          <w:rFonts w:ascii="Arial" w:hAnsi="Arial" w:cs="Arial"/>
          <w:sz w:val="22"/>
          <w:szCs w:val="22"/>
        </w:rPr>
        <w:t>recorded</w:t>
      </w:r>
      <w:r w:rsidRPr="004C1F19">
        <w:rPr>
          <w:rFonts w:ascii="Arial" w:hAnsi="Arial" w:cs="Arial"/>
          <w:sz w:val="22"/>
          <w:szCs w:val="22"/>
        </w:rPr>
        <w:t>.</w:t>
      </w:r>
      <w:r>
        <w:rPr>
          <w:rFonts w:ascii="Arial" w:hAnsi="Arial" w:cs="Arial"/>
          <w:sz w:val="22"/>
          <w:szCs w:val="22"/>
        </w:rPr>
        <w:t xml:space="preserve">  </w:t>
      </w:r>
      <w:r w:rsidRPr="00B77603">
        <w:rPr>
          <w:rFonts w:ascii="Arial" w:hAnsi="Arial" w:cs="Arial"/>
          <w:sz w:val="22"/>
          <w:szCs w:val="22"/>
        </w:rPr>
        <w:t>Regions of the state that had</w:t>
      </w:r>
      <w:r>
        <w:rPr>
          <w:rFonts w:cs="Arial"/>
          <w:szCs w:val="22"/>
        </w:rPr>
        <w:t xml:space="preserve"> </w:t>
      </w:r>
      <w:r w:rsidRPr="002D731B">
        <w:rPr>
          <w:rFonts w:ascii="Arial" w:hAnsi="Arial" w:cs="Arial"/>
          <w:sz w:val="22"/>
          <w:szCs w:val="22"/>
        </w:rPr>
        <w:t xml:space="preserve">the </w:t>
      </w:r>
      <w:r>
        <w:rPr>
          <w:rFonts w:ascii="Arial" w:hAnsi="Arial" w:cs="Arial"/>
          <w:sz w:val="22"/>
          <w:szCs w:val="22"/>
        </w:rPr>
        <w:t>highest</w:t>
      </w:r>
      <w:r w:rsidRPr="002D731B">
        <w:rPr>
          <w:rFonts w:ascii="Arial" w:hAnsi="Arial" w:cs="Arial"/>
          <w:sz w:val="22"/>
          <w:szCs w:val="22"/>
        </w:rPr>
        <w:t xml:space="preserve"> organic contaminant exceedances were the agricultural Ocklawaha River </w:t>
      </w:r>
      <w:r>
        <w:rPr>
          <w:rFonts w:ascii="Arial" w:hAnsi="Arial" w:cs="Arial"/>
          <w:sz w:val="22"/>
          <w:szCs w:val="22"/>
        </w:rPr>
        <w:t xml:space="preserve">region (for DDT and derivatives), and the </w:t>
      </w:r>
      <w:r w:rsidRPr="002D731B">
        <w:rPr>
          <w:rFonts w:ascii="Arial" w:hAnsi="Arial" w:cs="Arial"/>
          <w:sz w:val="22"/>
          <w:szCs w:val="22"/>
        </w:rPr>
        <w:t>urban</w:t>
      </w:r>
      <w:r>
        <w:rPr>
          <w:rFonts w:ascii="Arial" w:hAnsi="Arial" w:cs="Arial"/>
          <w:sz w:val="22"/>
          <w:szCs w:val="22"/>
        </w:rPr>
        <w:t>ized</w:t>
      </w:r>
      <w:r w:rsidRPr="002D731B">
        <w:rPr>
          <w:rFonts w:ascii="Arial" w:hAnsi="Arial" w:cs="Arial"/>
          <w:sz w:val="22"/>
          <w:szCs w:val="22"/>
        </w:rPr>
        <w:t xml:space="preserve"> Tampa Bay </w:t>
      </w:r>
      <w:r>
        <w:rPr>
          <w:rFonts w:ascii="Arial" w:hAnsi="Arial" w:cs="Arial"/>
          <w:sz w:val="22"/>
          <w:szCs w:val="22"/>
        </w:rPr>
        <w:t>region (for c</w:t>
      </w:r>
      <w:r w:rsidRPr="002D731B">
        <w:rPr>
          <w:rFonts w:ascii="Arial" w:hAnsi="Arial" w:cs="Arial"/>
          <w:sz w:val="22"/>
          <w:szCs w:val="22"/>
        </w:rPr>
        <w:t>hlordane, a formerly widely used termiticide</w:t>
      </w:r>
      <w:r w:rsidRPr="005D6D8F">
        <w:rPr>
          <w:rFonts w:ascii="Arial" w:hAnsi="Arial" w:cs="Arial"/>
          <w:sz w:val="22"/>
          <w:szCs w:val="22"/>
        </w:rPr>
        <w:t>).  Chlordane, a legacy organochlorine pesticide banned in 1988, is still found in many Florida lakes affected by urban stormwater.</w:t>
      </w:r>
      <w:r>
        <w:rPr>
          <w:rFonts w:ascii="Arial" w:hAnsi="Arial" w:cs="Arial"/>
          <w:sz w:val="22"/>
          <w:szCs w:val="22"/>
        </w:rPr>
        <w:t xml:space="preserve"> </w:t>
      </w:r>
      <w:r w:rsidRPr="005D6D8F">
        <w:rPr>
          <w:rFonts w:ascii="Arial" w:hAnsi="Arial" w:cs="Arial"/>
          <w:sz w:val="22"/>
          <w:szCs w:val="22"/>
        </w:rPr>
        <w:t xml:space="preserve"> This widespread occurrence is a reminder that much work remains to protect state waters from pulses of untreated stormwater.  </w:t>
      </w:r>
    </w:p>
    <w:p w:rsidR="00485094" w:rsidRDefault="00485094" w:rsidP="00692F31">
      <w:pPr>
        <w:rPr>
          <w:rFonts w:ascii="Arial" w:hAnsi="Arial" w:cs="Arial"/>
          <w:sz w:val="22"/>
          <w:szCs w:val="22"/>
        </w:rPr>
      </w:pPr>
    </w:p>
    <w:p w:rsidR="00485094" w:rsidRDefault="00485094" w:rsidP="00692F31">
      <w:pPr>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rPr>
          <w:sz w:val="22"/>
          <w:szCs w:val="22"/>
        </w:rPr>
      </w:pPr>
      <w:bookmarkStart w:id="411" w:name="_Toc262464302"/>
      <w:bookmarkStart w:id="412" w:name="_Toc271280154"/>
      <w:r>
        <w:rPr>
          <w:sz w:val="22"/>
          <w:szCs w:val="22"/>
        </w:rPr>
        <w:lastRenderedPageBreak/>
        <w:t xml:space="preserve">Figure 6.9.  </w:t>
      </w:r>
      <w:r>
        <w:t>Statewide Summary of Large Lake Sediment Results</w:t>
      </w:r>
      <w:bookmarkEnd w:id="411"/>
      <w:bookmarkEnd w:id="412"/>
    </w:p>
    <w:p w:rsidR="00485094" w:rsidRDefault="00485094" w:rsidP="00216282">
      <w:pPr>
        <w:pStyle w:val="Bodytextreduced"/>
      </w:pPr>
    </w:p>
    <w:p w:rsidR="00485094" w:rsidRDefault="00485094" w:rsidP="00216282">
      <w:pPr>
        <w:pStyle w:val="Bodytextreduced"/>
      </w:pPr>
    </w:p>
    <w:p w:rsidR="00485094" w:rsidRDefault="001717CD" w:rsidP="00216282">
      <w:r>
        <w:rPr>
          <w:noProof/>
        </w:rPr>
        <w:drawing>
          <wp:anchor distT="0" distB="0" distL="114300" distR="114300" simplePos="0" relativeHeight="251672064" behindDoc="0" locked="0" layoutInCell="1" allowOverlap="1">
            <wp:simplePos x="0" y="0"/>
            <wp:positionH relativeFrom="column">
              <wp:align>center</wp:align>
            </wp:positionH>
            <wp:positionV relativeFrom="paragraph">
              <wp:posOffset>89535</wp:posOffset>
            </wp:positionV>
            <wp:extent cx="5102225" cy="5591810"/>
            <wp:effectExtent l="19050" t="0" r="3175" b="0"/>
            <wp:wrapTopAndBottom/>
            <wp:docPr id="31" name="Picture 2" descr="Figure 6.9.  Statewide Summary of Large Lake Sediment Results. This graphic shows statewide results in pie chart format for the large lake sediment indicators.  The results follow in Table 6.4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6.9.  Statewide Summary of Large Lake Sediment Results"/>
                    <pic:cNvPicPr>
                      <a:picLocks noChangeAspect="1" noChangeArrowheads="1"/>
                    </pic:cNvPicPr>
                  </pic:nvPicPr>
                  <pic:blipFill>
                    <a:blip r:embed="rId88"/>
                    <a:srcRect t="7692"/>
                    <a:stretch>
                      <a:fillRect/>
                    </a:stretch>
                  </pic:blipFill>
                  <pic:spPr bwMode="auto">
                    <a:xfrm>
                      <a:off x="0" y="0"/>
                      <a:ext cx="5102225" cy="5591810"/>
                    </a:xfrm>
                    <a:prstGeom prst="rect">
                      <a:avLst/>
                    </a:prstGeom>
                    <a:noFill/>
                    <a:ln w="9525">
                      <a:noFill/>
                      <a:miter lim="800000"/>
                      <a:headEnd/>
                      <a:tailEnd/>
                    </a:ln>
                  </pic:spPr>
                </pic:pic>
              </a:graphicData>
            </a:graphic>
          </wp:anchor>
        </w:drawing>
      </w:r>
    </w:p>
    <w:p w:rsidR="00485094" w:rsidRDefault="00485094" w:rsidP="00216282"/>
    <w:p w:rsidR="00C32631" w:rsidRDefault="00C32631" w:rsidP="00692F31">
      <w:pPr>
        <w:pStyle w:val="Bodytextreduced"/>
        <w:sectPr w:rsidR="00C32631" w:rsidSect="003B37D3">
          <w:pgSz w:w="12240" w:h="15840"/>
          <w:pgMar w:top="1440" w:right="1440" w:bottom="1440" w:left="1440" w:header="720" w:footer="720" w:gutter="0"/>
          <w:cols w:space="720"/>
          <w:docGrid w:linePitch="360"/>
        </w:sectPr>
      </w:pPr>
    </w:p>
    <w:p w:rsidR="00485094" w:rsidRDefault="00485094" w:rsidP="00692F31">
      <w:pPr>
        <w:pStyle w:val="Bodytextreduced"/>
      </w:pPr>
    </w:p>
    <w:p w:rsidR="00485094" w:rsidRDefault="00485094" w:rsidP="00692F31">
      <w:pPr>
        <w:pStyle w:val="Tableheading"/>
      </w:pPr>
      <w:bookmarkStart w:id="413" w:name="_Toc255482834"/>
      <w:bookmarkStart w:id="414" w:name="_Toc255807492"/>
      <w:bookmarkStart w:id="415" w:name="_Toc262464250"/>
      <w:bookmarkStart w:id="416" w:name="_Toc271889844"/>
      <w:r w:rsidRPr="00FD0860">
        <w:t xml:space="preserve">Table </w:t>
      </w:r>
      <w:r>
        <w:t>6.4a.  Statewide Percentage of Large Lakes Meeting Sediment Contaminant Threshold Values</w:t>
      </w:r>
      <w:bookmarkEnd w:id="413"/>
      <w:bookmarkEnd w:id="414"/>
      <w:bookmarkEnd w:id="415"/>
      <w:bookmarkEnd w:id="416"/>
    </w:p>
    <w:p w:rsidR="00485094" w:rsidRDefault="00485094" w:rsidP="00692F31">
      <w:pPr>
        <w:pStyle w:val="TabledescriptionBF"/>
      </w:pPr>
      <w:r w:rsidRPr="000C661D">
        <w:t xml:space="preserve">This is a six-column table.  Column 1 lists </w:t>
      </w:r>
      <w:r w:rsidR="00F01F27">
        <w:t xml:space="preserve">the </w:t>
      </w:r>
      <w:r w:rsidRPr="000C661D">
        <w:t>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64329B" w:rsidRDefault="00485094">
      <w:pPr>
        <w:pStyle w:val="Bodytextreduced"/>
      </w:pPr>
      <w:proofErr w:type="spellStart"/>
      <w:r w:rsidRPr="00805B69">
        <w:t>na</w:t>
      </w:r>
      <w:proofErr w:type="spellEnd"/>
      <w:r w:rsidRPr="00805B69">
        <w:t xml:space="preserve"> </w:t>
      </w:r>
      <w:r w:rsidR="00F01F27" w:rsidRPr="00805B69">
        <w:t>= N</w:t>
      </w:r>
      <w:r w:rsidR="008A5E02" w:rsidRPr="008A5E02">
        <w:t>ot applicable</w:t>
      </w:r>
    </w:p>
    <w:tbl>
      <w:tblPr>
        <w:tblW w:w="9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460"/>
        <w:gridCol w:w="1461"/>
        <w:gridCol w:w="1460"/>
        <w:gridCol w:w="1461"/>
        <w:gridCol w:w="1600"/>
        <w:gridCol w:w="1634"/>
      </w:tblGrid>
      <w:tr w:rsidR="00485094" w:rsidRPr="00225579" w:rsidTr="000F2909">
        <w:trPr>
          <w:trHeight w:val="301"/>
          <w:jc w:val="center"/>
        </w:trPr>
        <w:tc>
          <w:tcPr>
            <w:tcW w:w="1460"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Metal</w:t>
            </w:r>
          </w:p>
        </w:tc>
        <w:tc>
          <w:tcPr>
            <w:tcW w:w="146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460"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TEC </w:t>
            </w:r>
            <w:r w:rsidRPr="00225579">
              <w:rPr>
                <w:rFonts w:cs="Arial"/>
                <w:b/>
                <w:i/>
                <w:szCs w:val="18"/>
                <w:lang w:val="fr-FR"/>
              </w:rPr>
              <w:t>Threshold</w:t>
            </w:r>
          </w:p>
        </w:tc>
        <w:tc>
          <w:tcPr>
            <w:tcW w:w="146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600"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34"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485094" w:rsidRPr="00377936" w:rsidTr="00453E80">
        <w:trPr>
          <w:trHeight w:val="299"/>
          <w:jc w:val="center"/>
        </w:trPr>
        <w:tc>
          <w:tcPr>
            <w:tcW w:w="146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Uncorrected</w:t>
            </w:r>
          </w:p>
        </w:tc>
        <w:tc>
          <w:tcPr>
            <w:tcW w:w="1461"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w:t>
            </w:r>
          </w:p>
        </w:tc>
        <w:tc>
          <w:tcPr>
            <w:tcW w:w="146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10.7</w:t>
            </w:r>
          </w:p>
        </w:tc>
        <w:tc>
          <w:tcPr>
            <w:tcW w:w="1461"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A</w:t>
            </w:r>
            <w:r>
              <w:rPr>
                <w:rFonts w:cs="Arial"/>
                <w:color w:val="000000"/>
                <w:szCs w:val="18"/>
              </w:rPr>
              <w:t>rsenic</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89.33</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0.003</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10.67</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94</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5</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admium</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95</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5</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8D3B73">
            <w:pPr>
              <w:pStyle w:val="TableText"/>
              <w:jc w:val="center"/>
              <w:rPr>
                <w:rFonts w:cs="Arial"/>
                <w:color w:val="000000"/>
                <w:szCs w:val="18"/>
              </w:rPr>
            </w:pPr>
            <w:r w:rsidRPr="00377936">
              <w:rPr>
                <w:rFonts w:cs="Arial"/>
                <w:color w:val="000000"/>
                <w:szCs w:val="18"/>
              </w:rPr>
              <w:t>C</w:t>
            </w:r>
            <w:r>
              <w:rPr>
                <w:rFonts w:cs="Arial"/>
                <w:color w:val="000000"/>
                <w:szCs w:val="18"/>
              </w:rPr>
              <w:t>hromium</w:t>
            </w:r>
            <w:r w:rsidRPr="00377936">
              <w:rPr>
                <w:rFonts w:cs="Arial"/>
                <w:color w:val="000000"/>
                <w:szCs w:val="18"/>
              </w:rPr>
              <w:t xml:space="preserve"> </w:t>
            </w:r>
            <w:r>
              <w:rPr>
                <w:rFonts w:cs="Arial"/>
                <w:color w:val="000000"/>
                <w:szCs w:val="18"/>
              </w:rPr>
              <w:t>Unc</w:t>
            </w:r>
            <w:r w:rsidRPr="00377936">
              <w:rPr>
                <w:rFonts w:cs="Arial"/>
                <w:color w:val="000000"/>
                <w:szCs w:val="18"/>
              </w:rPr>
              <w:t>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75.3</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23.4</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1.3</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C</w:t>
            </w:r>
            <w:r>
              <w:rPr>
                <w:rFonts w:cs="Arial"/>
                <w:color w:val="000000"/>
                <w:szCs w:val="18"/>
              </w:rPr>
              <w:t>hromium</w:t>
            </w:r>
            <w:r w:rsidR="003D799D">
              <w:rPr>
                <w:rFonts w:cs="Arial"/>
                <w:color w:val="000000"/>
                <w:szCs w:val="18"/>
              </w:rPr>
              <w:t xml:space="preserve"> </w:t>
            </w:r>
            <w:r>
              <w:rPr>
                <w:rFonts w:cs="Arial"/>
                <w:color w:val="000000"/>
                <w:szCs w:val="18"/>
              </w:rPr>
              <w:t>C</w:t>
            </w:r>
            <w:r w:rsidRPr="00377936">
              <w:rPr>
                <w:rFonts w:cs="Arial"/>
                <w:color w:val="000000"/>
                <w:szCs w:val="18"/>
              </w:rPr>
              <w:t>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75.3</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1.9</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0.8</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21.53</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0.47</w:t>
            </w:r>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Copper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86.3</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11.6</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612593">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Copper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86.3</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7.8</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2.1</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3.8</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Silver</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99.998</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Silver</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99.998</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Nickel</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89.31</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10.05</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0.64</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Nickel</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89.31</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2.71</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0.64</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7.34</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Lead</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74.5</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22.8</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Pr>
                <w:rFonts w:cs="Arial"/>
                <w:color w:val="000000"/>
                <w:szCs w:val="18"/>
              </w:rPr>
              <w:t>Lead</w:t>
            </w:r>
            <w:r w:rsidRPr="00377936">
              <w:rPr>
                <w:rFonts w:cs="Arial"/>
                <w:color w:val="000000"/>
                <w:szCs w:val="18"/>
              </w:rPr>
              <w:t xml:space="preserve"> </w:t>
            </w:r>
          </w:p>
          <w:p w:rsidR="00485094" w:rsidRPr="00377936" w:rsidRDefault="00485094" w:rsidP="00453E80">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74.5</w:t>
            </w:r>
          </w:p>
        </w:tc>
        <w:tc>
          <w:tcPr>
            <w:tcW w:w="146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13.24</w:t>
            </w:r>
          </w:p>
        </w:tc>
        <w:tc>
          <w:tcPr>
            <w:tcW w:w="1461"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w:t>
            </w:r>
          </w:p>
        </w:tc>
        <w:tc>
          <w:tcPr>
            <w:tcW w:w="1600" w:type="dxa"/>
            <w:tcBorders>
              <w:top w:val="single" w:sz="6" w:space="0" w:color="auto"/>
              <w:left w:val="single" w:sz="6" w:space="0" w:color="auto"/>
              <w:bottom w:val="double" w:sz="4"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9.56</w:t>
            </w:r>
          </w:p>
        </w:tc>
        <w:tc>
          <w:tcPr>
            <w:tcW w:w="1634" w:type="dxa"/>
            <w:tcBorders>
              <w:top w:val="single" w:sz="6" w:space="0" w:color="auto"/>
              <w:left w:val="single" w:sz="6" w:space="0" w:color="auto"/>
              <w:bottom w:val="double" w:sz="4"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71.61</w:t>
            </w:r>
          </w:p>
        </w:tc>
        <w:tc>
          <w:tcPr>
            <w:tcW w:w="146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28.38</w:t>
            </w:r>
          </w:p>
        </w:tc>
        <w:tc>
          <w:tcPr>
            <w:tcW w:w="146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Mercury</w:t>
            </w:r>
            <w:r w:rsidRPr="00377936">
              <w:rPr>
                <w:rFonts w:cs="Arial"/>
                <w:color w:val="000000"/>
                <w:szCs w:val="18"/>
              </w:rPr>
              <w:t xml:space="preserve"> Corrected</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71.61</w:t>
            </w:r>
          </w:p>
        </w:tc>
        <w:tc>
          <w:tcPr>
            <w:tcW w:w="146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3.34</w:t>
            </w:r>
          </w:p>
        </w:tc>
        <w:tc>
          <w:tcPr>
            <w:tcW w:w="146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24.89</w:t>
            </w:r>
          </w:p>
        </w:tc>
        <w:tc>
          <w:tcPr>
            <w:tcW w:w="1634" w:type="dxa"/>
            <w:tcBorders>
              <w:top w:val="single" w:sz="6" w:space="0" w:color="auto"/>
              <w:left w:val="single" w:sz="6" w:space="0" w:color="auto"/>
              <w:bottom w:val="double" w:sz="4" w:space="0" w:color="auto"/>
            </w:tcBorders>
            <w:shd w:val="clear" w:color="auto" w:fill="FFFFCC"/>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double" w:sz="4"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Pr>
                <w:rFonts w:cs="Arial"/>
                <w:color w:val="000000"/>
                <w:szCs w:val="18"/>
              </w:rPr>
              <w:t>Zinc</w:t>
            </w:r>
            <w:r w:rsidRPr="00377936">
              <w:rPr>
                <w:rFonts w:cs="Arial"/>
                <w:color w:val="000000"/>
                <w:szCs w:val="18"/>
              </w:rPr>
              <w:t xml:space="preserve"> Uncorrected</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93.9</w:t>
            </w:r>
          </w:p>
        </w:tc>
        <w:tc>
          <w:tcPr>
            <w:tcW w:w="146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6.1</w:t>
            </w:r>
          </w:p>
        </w:tc>
        <w:tc>
          <w:tcPr>
            <w:tcW w:w="1461"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double" w:sz="4" w:space="0" w:color="auto"/>
              <w:left w:val="single" w:sz="6" w:space="0" w:color="auto"/>
              <w:bottom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34" w:type="dxa"/>
            <w:tcBorders>
              <w:top w:val="double" w:sz="4" w:space="0" w:color="auto"/>
              <w:left w:val="single" w:sz="6" w:space="0" w:color="auto"/>
              <w:bottom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377936" w:rsidTr="00453E80">
        <w:trPr>
          <w:trHeight w:val="299"/>
          <w:jc w:val="center"/>
        </w:trPr>
        <w:tc>
          <w:tcPr>
            <w:tcW w:w="1460" w:type="dxa"/>
            <w:tcBorders>
              <w:top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Pr>
                <w:rFonts w:cs="Arial"/>
                <w:color w:val="000000"/>
                <w:szCs w:val="18"/>
              </w:rPr>
              <w:t>Zinc</w:t>
            </w:r>
            <w:r w:rsidRPr="00377936">
              <w:rPr>
                <w:rFonts w:cs="Arial"/>
                <w:color w:val="000000"/>
                <w:szCs w:val="18"/>
              </w:rPr>
              <w:t xml:space="preserve"> </w:t>
            </w:r>
          </w:p>
          <w:p w:rsidR="00485094" w:rsidRPr="00377936" w:rsidRDefault="00485094" w:rsidP="00453E80">
            <w:pPr>
              <w:pStyle w:val="TableText"/>
              <w:jc w:val="center"/>
              <w:rPr>
                <w:rFonts w:cs="Arial"/>
                <w:color w:val="000000"/>
                <w:szCs w:val="18"/>
              </w:rPr>
            </w:pPr>
            <w:r w:rsidRPr="00377936">
              <w:rPr>
                <w:rFonts w:cs="Arial"/>
                <w:color w:val="000000"/>
                <w:szCs w:val="18"/>
              </w:rPr>
              <w:t>Corrected</w:t>
            </w:r>
          </w:p>
        </w:tc>
        <w:tc>
          <w:tcPr>
            <w:tcW w:w="1461"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93.9</w:t>
            </w:r>
          </w:p>
        </w:tc>
        <w:tc>
          <w:tcPr>
            <w:tcW w:w="1460"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3.35</w:t>
            </w:r>
          </w:p>
        </w:tc>
        <w:tc>
          <w:tcPr>
            <w:tcW w:w="1461"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0.002</w:t>
            </w:r>
          </w:p>
        </w:tc>
        <w:tc>
          <w:tcPr>
            <w:tcW w:w="1600" w:type="dxa"/>
            <w:tcBorders>
              <w:top w:val="single" w:sz="6" w:space="0" w:color="auto"/>
              <w:left w:val="single" w:sz="6" w:space="0" w:color="auto"/>
              <w:right w:val="single" w:sz="6" w:space="0" w:color="auto"/>
            </w:tcBorders>
            <w:noWrap/>
            <w:vAlign w:val="center"/>
            <w:hideMark/>
          </w:tcPr>
          <w:p w:rsidR="00485094" w:rsidRPr="00377936" w:rsidRDefault="00485094" w:rsidP="00453E80">
            <w:pPr>
              <w:pStyle w:val="TableText"/>
              <w:jc w:val="center"/>
              <w:rPr>
                <w:rFonts w:cs="Arial"/>
                <w:color w:val="000000"/>
                <w:szCs w:val="18"/>
              </w:rPr>
            </w:pPr>
            <w:r w:rsidRPr="00377936">
              <w:rPr>
                <w:rFonts w:cs="Arial"/>
                <w:color w:val="000000"/>
                <w:szCs w:val="18"/>
              </w:rPr>
              <w:t>2.75</w:t>
            </w:r>
          </w:p>
        </w:tc>
        <w:tc>
          <w:tcPr>
            <w:tcW w:w="1634" w:type="dxa"/>
            <w:tcBorders>
              <w:top w:val="single" w:sz="6" w:space="0" w:color="auto"/>
              <w:left w:val="single" w:sz="6" w:space="0" w:color="auto"/>
            </w:tcBorders>
            <w:noWrap/>
            <w:vAlign w:val="center"/>
            <w:hideMark/>
          </w:tcPr>
          <w:p w:rsidR="00485094" w:rsidRPr="00377936" w:rsidRDefault="00485094" w:rsidP="00453E80">
            <w:pPr>
              <w:pStyle w:val="TableText"/>
              <w:jc w:val="center"/>
              <w:rPr>
                <w:rFonts w:cs="Arial"/>
                <w:color w:val="000000"/>
                <w:szCs w:val="18"/>
              </w:rPr>
            </w:pPr>
            <w:proofErr w:type="spellStart"/>
            <w:r>
              <w:rPr>
                <w:rFonts w:cs="Arial"/>
                <w:color w:val="000000"/>
                <w:szCs w:val="18"/>
              </w:rPr>
              <w:t>na</w:t>
            </w:r>
            <w:proofErr w:type="spellEnd"/>
          </w:p>
        </w:tc>
      </w:tr>
    </w:tbl>
    <w:p w:rsidR="00485094" w:rsidRDefault="00485094" w:rsidP="00692F31">
      <w:pPr>
        <w:pStyle w:val="Bodytext"/>
        <w:spacing w:line="360" w:lineRule="auto"/>
        <w:rPr>
          <w:rFonts w:cs="Arial"/>
          <w:szCs w:val="22"/>
        </w:rPr>
      </w:pPr>
    </w:p>
    <w:p w:rsidR="00485094" w:rsidRDefault="00485094" w:rsidP="00692F31">
      <w:pPr>
        <w:pStyle w:val="Bodytextreduced"/>
      </w:pPr>
      <w:r>
        <w:br w:type="page"/>
      </w:r>
    </w:p>
    <w:p w:rsidR="00485094" w:rsidRPr="000C661D" w:rsidRDefault="00485094" w:rsidP="00692F31">
      <w:pPr>
        <w:pStyle w:val="Caption"/>
        <w:rPr>
          <w:szCs w:val="22"/>
        </w:rPr>
      </w:pPr>
      <w:bookmarkStart w:id="417" w:name="_Toc262464303"/>
      <w:bookmarkStart w:id="418" w:name="_Toc271280155"/>
      <w:r w:rsidRPr="000C661D">
        <w:rPr>
          <w:szCs w:val="22"/>
        </w:rPr>
        <w:lastRenderedPageBreak/>
        <w:t xml:space="preserve">Figure 6.10.  </w:t>
      </w:r>
      <w:r w:rsidRPr="000C661D">
        <w:t>Statewide Summary of Small Lake Sediment Results</w:t>
      </w:r>
      <w:bookmarkEnd w:id="417"/>
      <w:bookmarkEnd w:id="418"/>
    </w:p>
    <w:p w:rsidR="00485094" w:rsidRPr="001B6051" w:rsidRDefault="00485094" w:rsidP="00692F31">
      <w:pPr>
        <w:rPr>
          <w:rFonts w:ascii="Arial" w:hAnsi="Arial" w:cs="Arial"/>
          <w:sz w:val="22"/>
          <w:szCs w:val="22"/>
        </w:rPr>
      </w:pPr>
    </w:p>
    <w:p w:rsidR="00485094" w:rsidRDefault="001717CD" w:rsidP="00692F31">
      <w:pPr>
        <w:pStyle w:val="Bodytextreduced"/>
      </w:pPr>
      <w:r>
        <w:rPr>
          <w:noProof/>
        </w:rPr>
        <w:drawing>
          <wp:anchor distT="0" distB="0" distL="114300" distR="114300" simplePos="0" relativeHeight="251665920" behindDoc="0" locked="0" layoutInCell="1" allowOverlap="1">
            <wp:simplePos x="0" y="0"/>
            <wp:positionH relativeFrom="column">
              <wp:align>center</wp:align>
            </wp:positionH>
            <wp:positionV relativeFrom="paragraph">
              <wp:posOffset>74930</wp:posOffset>
            </wp:positionV>
            <wp:extent cx="5017135" cy="5490210"/>
            <wp:effectExtent l="19050" t="0" r="0" b="0"/>
            <wp:wrapTopAndBottom/>
            <wp:docPr id="1" name="Picture 1" descr="Figure 6.10.  Statewide Summary of Small Lake Sediment Results.  This graphic shows statewide results in pie chart format for the small lake sediment indicators.  The results follow in Table 6.4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0.  Statewide Summary of Small Lake Sediment Results"/>
                    <pic:cNvPicPr>
                      <a:picLocks noChangeAspect="1" noChangeArrowheads="1"/>
                    </pic:cNvPicPr>
                  </pic:nvPicPr>
                  <pic:blipFill>
                    <a:blip r:embed="rId89"/>
                    <a:srcRect t="7692"/>
                    <a:stretch>
                      <a:fillRect/>
                    </a:stretch>
                  </pic:blipFill>
                  <pic:spPr bwMode="auto">
                    <a:xfrm>
                      <a:off x="0" y="0"/>
                      <a:ext cx="5017135" cy="5490210"/>
                    </a:xfrm>
                    <a:prstGeom prst="rect">
                      <a:avLst/>
                    </a:prstGeom>
                    <a:noFill/>
                    <a:ln w="9525">
                      <a:noFill/>
                      <a:miter lim="800000"/>
                      <a:headEnd/>
                      <a:tailEnd/>
                    </a:ln>
                  </pic:spPr>
                </pic:pic>
              </a:graphicData>
            </a:graphic>
          </wp:anchor>
        </w:drawing>
      </w:r>
    </w:p>
    <w:p w:rsidR="00485094" w:rsidRDefault="00485094" w:rsidP="00692F31">
      <w:pPr>
        <w:pStyle w:val="Bodytextreduced"/>
      </w:pPr>
      <w:r>
        <w:br w:type="page"/>
      </w:r>
    </w:p>
    <w:p w:rsidR="00485094" w:rsidRDefault="00485094" w:rsidP="00692F31">
      <w:pPr>
        <w:pStyle w:val="Tableheading"/>
      </w:pPr>
      <w:bookmarkStart w:id="419" w:name="_Toc255482835"/>
      <w:bookmarkStart w:id="420" w:name="_Toc255807493"/>
      <w:bookmarkStart w:id="421" w:name="_Toc262464251"/>
      <w:bookmarkStart w:id="422" w:name="_Toc271889845"/>
      <w:r w:rsidRPr="00FD0860">
        <w:lastRenderedPageBreak/>
        <w:t xml:space="preserve">Table </w:t>
      </w:r>
      <w:r>
        <w:t>6.4b.  Statewide Percentage of Small Lakes Meeting Sediment Contaminant Threshold Values</w:t>
      </w:r>
      <w:bookmarkEnd w:id="419"/>
      <w:bookmarkEnd w:id="420"/>
      <w:bookmarkEnd w:id="421"/>
      <w:bookmarkEnd w:id="422"/>
    </w:p>
    <w:p w:rsidR="00485094" w:rsidRDefault="00485094" w:rsidP="00692F31">
      <w:pPr>
        <w:pStyle w:val="TabledescriptionBF"/>
      </w:pPr>
      <w:r w:rsidRPr="000C661D">
        <w:t>This is a six-column table.  Column 1 lists metal (uncorrected and corrected), Column 2 lists the percent meeting the TEC threshold, Column 3 lists the percent not meeting the TEC threshold, Column 4 lists the percent not meeting the PEC threshold, Column 5 lists the percent of stations greater than the TEC that include naturally occurring metal concentrations, and Column 6 lists the percent of stations greater than the PEC that include naturally occurring metal concentrations.</w:t>
      </w:r>
    </w:p>
    <w:p w:rsidR="003C6692" w:rsidRDefault="00485094">
      <w:pPr>
        <w:pStyle w:val="Bodytextreduced"/>
        <w:rPr>
          <w:bCs/>
          <w:szCs w:val="22"/>
        </w:rPr>
      </w:pPr>
      <w:proofErr w:type="spellStart"/>
      <w:r>
        <w:t>na</w:t>
      </w:r>
      <w:proofErr w:type="spellEnd"/>
      <w:r>
        <w:t xml:space="preserve"> </w:t>
      </w:r>
      <w:r w:rsidR="00F01F27">
        <w:t>= N</w:t>
      </w:r>
      <w:r>
        <w:t>ot applicable</w:t>
      </w:r>
    </w:p>
    <w:tbl>
      <w:tblPr>
        <w:tblW w:w="8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1"/>
        <w:gridCol w:w="1571"/>
        <w:gridCol w:w="1253"/>
        <w:gridCol w:w="1253"/>
        <w:gridCol w:w="1537"/>
        <w:gridCol w:w="1621"/>
      </w:tblGrid>
      <w:tr w:rsidR="00485094" w:rsidRPr="00225579" w:rsidTr="000F2909">
        <w:trPr>
          <w:trHeight w:val="301"/>
          <w:jc w:val="center"/>
        </w:trPr>
        <w:tc>
          <w:tcPr>
            <w:tcW w:w="168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Metal</w:t>
            </w:r>
          </w:p>
        </w:tc>
        <w:tc>
          <w:tcPr>
            <w:tcW w:w="1571" w:type="dxa"/>
            <w:tcBorders>
              <w:bottom w:val="double" w:sz="4" w:space="0" w:color="auto"/>
            </w:tcBorders>
            <w:shd w:val="clear" w:color="auto" w:fill="BDFFFF"/>
            <w:noWrap/>
            <w:vAlign w:val="bottom"/>
            <w:hideMark/>
          </w:tcPr>
          <w:p w:rsidR="00485094" w:rsidRPr="00225579" w:rsidRDefault="00485094" w:rsidP="00453E80">
            <w:pPr>
              <w:pStyle w:val="TableText"/>
              <w:jc w:val="center"/>
              <w:rPr>
                <w:rFonts w:cs="Arial"/>
                <w:b/>
                <w:i/>
                <w:szCs w:val="18"/>
              </w:rPr>
            </w:pPr>
            <w:r w:rsidRPr="00225579">
              <w:rPr>
                <w:rFonts w:cs="Arial"/>
                <w:b/>
                <w:i/>
                <w:szCs w:val="18"/>
              </w:rPr>
              <w:t xml:space="preserve">% Meeting </w:t>
            </w:r>
            <w:r>
              <w:rPr>
                <w:rFonts w:cs="Arial"/>
                <w:b/>
                <w:i/>
                <w:szCs w:val="18"/>
              </w:rPr>
              <w:t xml:space="preserve">TEC </w:t>
            </w:r>
            <w:r w:rsidRPr="00225579">
              <w:rPr>
                <w:rFonts w:cs="Arial"/>
                <w:b/>
                <w:i/>
                <w:szCs w:val="18"/>
              </w:rPr>
              <w:t xml:space="preserve">Threshold </w:t>
            </w:r>
          </w:p>
        </w:tc>
        <w:tc>
          <w:tcPr>
            <w:tcW w:w="1253" w:type="dxa"/>
            <w:tcBorders>
              <w:bottom w:val="double" w:sz="4" w:space="0" w:color="auto"/>
            </w:tcBorders>
            <w:shd w:val="clear" w:color="auto" w:fill="BDFFFF"/>
            <w:vAlign w:val="bottom"/>
          </w:tcPr>
          <w:p w:rsidR="00485094" w:rsidRPr="00225579" w:rsidRDefault="00485094" w:rsidP="00453E80">
            <w:pPr>
              <w:pStyle w:val="TableText"/>
              <w:jc w:val="center"/>
              <w:rPr>
                <w:rFonts w:cs="Arial"/>
                <w:b/>
                <w:i/>
                <w:szCs w:val="18"/>
              </w:rPr>
            </w:pPr>
            <w:r w:rsidRPr="00225579">
              <w:rPr>
                <w:rFonts w:cs="Arial"/>
                <w:b/>
                <w:i/>
                <w:szCs w:val="18"/>
                <w:lang w:val="fr-FR"/>
              </w:rPr>
              <w:t xml:space="preserve">% Not Meeting </w:t>
            </w:r>
            <w:r>
              <w:rPr>
                <w:rFonts w:cs="Arial"/>
                <w:b/>
                <w:i/>
                <w:szCs w:val="18"/>
                <w:lang w:val="fr-FR"/>
              </w:rPr>
              <w:t xml:space="preserve"> TEC </w:t>
            </w:r>
            <w:r w:rsidRPr="00225579">
              <w:rPr>
                <w:rFonts w:cs="Arial"/>
                <w:b/>
                <w:i/>
                <w:szCs w:val="18"/>
                <w:lang w:val="fr-FR"/>
              </w:rPr>
              <w:t>Threshold</w:t>
            </w:r>
          </w:p>
        </w:tc>
        <w:tc>
          <w:tcPr>
            <w:tcW w:w="1253" w:type="dxa"/>
            <w:tcBorders>
              <w:bottom w:val="double" w:sz="4" w:space="0" w:color="auto"/>
            </w:tcBorders>
            <w:shd w:val="clear" w:color="auto" w:fill="BDFFFF"/>
            <w:vAlign w:val="bottom"/>
          </w:tcPr>
          <w:p w:rsidR="00485094" w:rsidRPr="00225579" w:rsidRDefault="00485094" w:rsidP="00453E80">
            <w:pPr>
              <w:pStyle w:val="TableText"/>
              <w:jc w:val="center"/>
              <w:rPr>
                <w:rFonts w:cs="Arial"/>
                <w:b/>
                <w:i/>
                <w:szCs w:val="18"/>
              </w:rPr>
            </w:pPr>
            <w:r w:rsidRPr="00225579">
              <w:rPr>
                <w:rFonts w:cs="Arial"/>
                <w:b/>
                <w:i/>
                <w:szCs w:val="18"/>
              </w:rPr>
              <w:t xml:space="preserve">% Not Meeting </w:t>
            </w:r>
            <w:r>
              <w:rPr>
                <w:rFonts w:cs="Arial"/>
                <w:b/>
                <w:i/>
                <w:szCs w:val="18"/>
              </w:rPr>
              <w:t xml:space="preserve">PEC </w:t>
            </w:r>
            <w:r w:rsidRPr="00225579">
              <w:rPr>
                <w:rFonts w:cs="Arial"/>
                <w:b/>
                <w:i/>
                <w:szCs w:val="18"/>
              </w:rPr>
              <w:t>Threshold</w:t>
            </w:r>
          </w:p>
        </w:tc>
        <w:tc>
          <w:tcPr>
            <w:tcW w:w="1537"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&gt;TEC </w:t>
            </w:r>
            <w:r>
              <w:rPr>
                <w:rFonts w:cs="Arial"/>
                <w:b/>
                <w:i/>
                <w:szCs w:val="18"/>
              </w:rPr>
              <w:t>Due to</w:t>
            </w:r>
            <w:r w:rsidRPr="00225579">
              <w:rPr>
                <w:rFonts w:cs="Arial"/>
                <w:b/>
                <w:i/>
                <w:szCs w:val="18"/>
              </w:rPr>
              <w:t xml:space="preserve"> Natural Metal Concentrations</w:t>
            </w:r>
          </w:p>
        </w:tc>
        <w:tc>
          <w:tcPr>
            <w:tcW w:w="1621" w:type="dxa"/>
            <w:tcBorders>
              <w:bottom w:val="double" w:sz="4" w:space="0" w:color="auto"/>
            </w:tcBorders>
            <w:shd w:val="clear" w:color="auto" w:fill="BDFFFF"/>
            <w:noWrap/>
            <w:vAlign w:val="bottom"/>
            <w:hideMark/>
          </w:tcPr>
          <w:p w:rsidR="00485094" w:rsidRPr="00225579" w:rsidRDefault="00485094" w:rsidP="008D3B73">
            <w:pPr>
              <w:pStyle w:val="TableText"/>
              <w:jc w:val="center"/>
              <w:rPr>
                <w:rFonts w:cs="Arial"/>
                <w:b/>
                <w:i/>
                <w:szCs w:val="18"/>
              </w:rPr>
            </w:pPr>
            <w:r w:rsidRPr="00225579">
              <w:rPr>
                <w:rFonts w:cs="Arial"/>
                <w:b/>
                <w:i/>
                <w:szCs w:val="18"/>
              </w:rPr>
              <w:t xml:space="preserve">% of Stations &gt;PEC </w:t>
            </w:r>
            <w:r>
              <w:rPr>
                <w:rFonts w:cs="Arial"/>
                <w:b/>
                <w:i/>
                <w:szCs w:val="18"/>
              </w:rPr>
              <w:t>Due to</w:t>
            </w:r>
            <w:r w:rsidRPr="00225579">
              <w:rPr>
                <w:rFonts w:cs="Arial"/>
                <w:b/>
                <w:i/>
                <w:szCs w:val="18"/>
              </w:rPr>
              <w:t xml:space="preserve"> Natural Metal Concentrations</w:t>
            </w:r>
          </w:p>
        </w:tc>
      </w:tr>
      <w:tr w:rsidR="00485094" w:rsidRPr="001F3C83" w:rsidTr="00453E80">
        <w:trPr>
          <w:trHeight w:val="301"/>
          <w:jc w:val="center"/>
        </w:trPr>
        <w:tc>
          <w:tcPr>
            <w:tcW w:w="168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Arsenic Uncorrected</w:t>
            </w:r>
          </w:p>
        </w:tc>
        <w:tc>
          <w:tcPr>
            <w:tcW w:w="157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84.5</w:t>
            </w:r>
          </w:p>
        </w:tc>
        <w:tc>
          <w:tcPr>
            <w:tcW w:w="1253" w:type="dxa"/>
            <w:tcBorders>
              <w:top w:val="double" w:sz="4" w:space="0" w:color="auto"/>
              <w:bottom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15</w:t>
            </w:r>
          </w:p>
        </w:tc>
        <w:tc>
          <w:tcPr>
            <w:tcW w:w="1253" w:type="dxa"/>
            <w:tcBorders>
              <w:top w:val="double" w:sz="4" w:space="0" w:color="auto"/>
              <w:bottom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0.50</w:t>
            </w:r>
          </w:p>
        </w:tc>
        <w:tc>
          <w:tcPr>
            <w:tcW w:w="1537"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Arsenic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84.53</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1.03</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13.94</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Cadmium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88.01</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10.68</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1.31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Cadmium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88.01</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0.88</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1.31</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Chromium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63.18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33.99</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2.83</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Chromium 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63.18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3.26</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0.65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32.9</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2.19</w:t>
            </w:r>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Copper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68.19</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23.09</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8.72</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Copper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68.19</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18.3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8.72</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4.79</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Silver 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Silver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98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Nickel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83</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16</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Nickel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11</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Lead </w:t>
            </w:r>
          </w:p>
          <w:p w:rsidR="00485094" w:rsidRPr="001F3C83" w:rsidRDefault="00485094" w:rsidP="00453E80">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53.8</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37.7</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8.5</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Lead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53.8</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28.7</w:t>
            </w:r>
          </w:p>
        </w:tc>
        <w:tc>
          <w:tcPr>
            <w:tcW w:w="1253" w:type="dxa"/>
            <w:tcBorders>
              <w:top w:val="single" w:sz="6" w:space="0" w:color="auto"/>
              <w:left w:val="single" w:sz="6" w:space="0" w:color="auto"/>
              <w:bottom w:val="double" w:sz="4"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8.5</w:t>
            </w:r>
          </w:p>
        </w:tc>
        <w:tc>
          <w:tcPr>
            <w:tcW w:w="1537" w:type="dxa"/>
            <w:tcBorders>
              <w:top w:val="single" w:sz="6" w:space="0" w:color="auto"/>
              <w:left w:val="single" w:sz="6" w:space="0" w:color="auto"/>
              <w:bottom w:val="double" w:sz="4"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8.9</w:t>
            </w:r>
          </w:p>
        </w:tc>
        <w:tc>
          <w:tcPr>
            <w:tcW w:w="1621" w:type="dxa"/>
            <w:tcBorders>
              <w:top w:val="single" w:sz="6" w:space="0" w:color="auto"/>
              <w:left w:val="single" w:sz="6" w:space="0" w:color="auto"/>
              <w:bottom w:val="double" w:sz="4"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Mercury Uncorrected</w:t>
            </w:r>
          </w:p>
        </w:tc>
        <w:tc>
          <w:tcPr>
            <w:tcW w:w="1571"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36</w:t>
            </w:r>
          </w:p>
        </w:tc>
        <w:tc>
          <w:tcPr>
            <w:tcW w:w="1253" w:type="dxa"/>
            <w:tcBorders>
              <w:top w:val="double" w:sz="4" w:space="0" w:color="auto"/>
              <w:left w:val="single" w:sz="6" w:space="0" w:color="auto"/>
              <w:bottom w:val="single" w:sz="6"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w:t>
            </w:r>
          </w:p>
        </w:tc>
        <w:tc>
          <w:tcPr>
            <w:tcW w:w="1537" w:type="dxa"/>
            <w:tcBorders>
              <w:top w:val="double" w:sz="4" w:space="0" w:color="auto"/>
              <w:left w:val="single" w:sz="6" w:space="0" w:color="auto"/>
              <w:bottom w:val="single" w:sz="6"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Mercury Corrected</w:t>
            </w:r>
          </w:p>
        </w:tc>
        <w:tc>
          <w:tcPr>
            <w:tcW w:w="1571"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63</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10.68</w:t>
            </w:r>
          </w:p>
        </w:tc>
        <w:tc>
          <w:tcPr>
            <w:tcW w:w="1253" w:type="dxa"/>
            <w:tcBorders>
              <w:top w:val="single" w:sz="6" w:space="0" w:color="auto"/>
              <w:left w:val="single" w:sz="6" w:space="0" w:color="auto"/>
              <w:bottom w:val="double" w:sz="4" w:space="0" w:color="auto"/>
              <w:right w:val="single" w:sz="6" w:space="0" w:color="auto"/>
            </w:tcBorders>
            <w:shd w:val="clear" w:color="auto" w:fill="FFFFCC"/>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0.62</w:t>
            </w:r>
          </w:p>
        </w:tc>
        <w:tc>
          <w:tcPr>
            <w:tcW w:w="1537" w:type="dxa"/>
            <w:tcBorders>
              <w:top w:val="single" w:sz="6" w:space="0" w:color="auto"/>
              <w:left w:val="single" w:sz="6" w:space="0" w:color="auto"/>
              <w:bottom w:val="double" w:sz="4" w:space="0" w:color="auto"/>
              <w:right w:val="single" w:sz="6"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25.7</w:t>
            </w:r>
          </w:p>
        </w:tc>
        <w:tc>
          <w:tcPr>
            <w:tcW w:w="1621" w:type="dxa"/>
            <w:tcBorders>
              <w:top w:val="single" w:sz="6" w:space="0" w:color="auto"/>
              <w:left w:val="single" w:sz="6" w:space="0" w:color="auto"/>
              <w:bottom w:val="double" w:sz="4" w:space="0" w:color="auto"/>
            </w:tcBorders>
            <w:shd w:val="clear" w:color="auto" w:fill="FFFFCC"/>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double" w:sz="4" w:space="0" w:color="auto"/>
              <w:bottom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Zinc </w:t>
            </w:r>
          </w:p>
          <w:p w:rsidR="00485094" w:rsidRPr="001F3C83" w:rsidRDefault="00485094" w:rsidP="00453E80">
            <w:pPr>
              <w:pStyle w:val="TableText"/>
              <w:jc w:val="center"/>
              <w:rPr>
                <w:rFonts w:cs="Arial"/>
                <w:color w:val="000000"/>
                <w:szCs w:val="18"/>
              </w:rPr>
            </w:pPr>
            <w:r w:rsidRPr="001F3C83">
              <w:rPr>
                <w:rFonts w:cs="Arial"/>
                <w:color w:val="000000"/>
                <w:szCs w:val="18"/>
              </w:rPr>
              <w:t>Uncorrected</w:t>
            </w:r>
          </w:p>
        </w:tc>
        <w:tc>
          <w:tcPr>
            <w:tcW w:w="1571"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74</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19</w:t>
            </w:r>
          </w:p>
        </w:tc>
        <w:tc>
          <w:tcPr>
            <w:tcW w:w="1253" w:type="dxa"/>
            <w:tcBorders>
              <w:top w:val="double" w:sz="4" w:space="0" w:color="auto"/>
              <w:left w:val="single" w:sz="6" w:space="0" w:color="auto"/>
              <w:bottom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7</w:t>
            </w:r>
          </w:p>
        </w:tc>
        <w:tc>
          <w:tcPr>
            <w:tcW w:w="1537" w:type="dxa"/>
            <w:tcBorders>
              <w:top w:val="double" w:sz="4" w:space="0" w:color="auto"/>
              <w:left w:val="single" w:sz="6" w:space="0" w:color="auto"/>
              <w:bottom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c>
          <w:tcPr>
            <w:tcW w:w="1621" w:type="dxa"/>
            <w:tcBorders>
              <w:top w:val="double" w:sz="4" w:space="0" w:color="auto"/>
              <w:left w:val="single" w:sz="6" w:space="0" w:color="auto"/>
              <w:bottom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r w:rsidR="00485094" w:rsidRPr="001F3C83" w:rsidTr="00453E80">
        <w:trPr>
          <w:trHeight w:val="301"/>
          <w:jc w:val="center"/>
        </w:trPr>
        <w:tc>
          <w:tcPr>
            <w:tcW w:w="1681" w:type="dxa"/>
            <w:tcBorders>
              <w:top w:val="single" w:sz="6" w:space="0" w:color="auto"/>
              <w:right w:val="single" w:sz="6" w:space="0" w:color="auto"/>
            </w:tcBorders>
            <w:noWrap/>
            <w:vAlign w:val="center"/>
            <w:hideMark/>
          </w:tcPr>
          <w:p w:rsidR="00485094" w:rsidRDefault="00485094" w:rsidP="00453E80">
            <w:pPr>
              <w:pStyle w:val="TableText"/>
              <w:jc w:val="center"/>
              <w:rPr>
                <w:rFonts w:cs="Arial"/>
                <w:color w:val="000000"/>
                <w:szCs w:val="18"/>
              </w:rPr>
            </w:pPr>
            <w:r w:rsidRPr="001F3C83">
              <w:rPr>
                <w:rFonts w:cs="Arial"/>
                <w:color w:val="000000"/>
                <w:szCs w:val="18"/>
              </w:rPr>
              <w:t xml:space="preserve">Zinc </w:t>
            </w:r>
          </w:p>
          <w:p w:rsidR="00485094" w:rsidRPr="001F3C83" w:rsidRDefault="00485094" w:rsidP="00453E80">
            <w:pPr>
              <w:pStyle w:val="TableText"/>
              <w:jc w:val="center"/>
              <w:rPr>
                <w:rFonts w:cs="Arial"/>
                <w:color w:val="000000"/>
                <w:szCs w:val="18"/>
              </w:rPr>
            </w:pPr>
            <w:r w:rsidRPr="001F3C83">
              <w:rPr>
                <w:rFonts w:cs="Arial"/>
                <w:color w:val="000000"/>
                <w:szCs w:val="18"/>
              </w:rPr>
              <w:t>Corrected</w:t>
            </w:r>
          </w:p>
        </w:tc>
        <w:tc>
          <w:tcPr>
            <w:tcW w:w="1571" w:type="dxa"/>
            <w:tcBorders>
              <w:top w:val="single" w:sz="6" w:space="0" w:color="auto"/>
              <w:left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74.51</w:t>
            </w:r>
          </w:p>
        </w:tc>
        <w:tc>
          <w:tcPr>
            <w:tcW w:w="1253" w:type="dxa"/>
            <w:tcBorders>
              <w:top w:val="single" w:sz="6" w:space="0" w:color="auto"/>
              <w:left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15.69</w:t>
            </w:r>
          </w:p>
        </w:tc>
        <w:tc>
          <w:tcPr>
            <w:tcW w:w="1253" w:type="dxa"/>
            <w:tcBorders>
              <w:top w:val="single" w:sz="6" w:space="0" w:color="auto"/>
              <w:left w:val="single" w:sz="6" w:space="0" w:color="auto"/>
              <w:right w:val="single" w:sz="6" w:space="0" w:color="auto"/>
            </w:tcBorders>
            <w:vAlign w:val="center"/>
          </w:tcPr>
          <w:p w:rsidR="00485094" w:rsidRPr="001F3C83" w:rsidRDefault="00485094" w:rsidP="00453E80">
            <w:pPr>
              <w:pStyle w:val="TableText"/>
              <w:jc w:val="center"/>
              <w:rPr>
                <w:rFonts w:cs="Arial"/>
                <w:color w:val="000000"/>
                <w:szCs w:val="18"/>
              </w:rPr>
            </w:pPr>
            <w:r w:rsidRPr="001F3C83">
              <w:rPr>
                <w:rFonts w:cs="Arial"/>
                <w:color w:val="000000"/>
                <w:szCs w:val="18"/>
              </w:rPr>
              <w:t>6.97</w:t>
            </w:r>
          </w:p>
        </w:tc>
        <w:tc>
          <w:tcPr>
            <w:tcW w:w="1537" w:type="dxa"/>
            <w:tcBorders>
              <w:top w:val="single" w:sz="6" w:space="0" w:color="auto"/>
              <w:left w:val="single" w:sz="6" w:space="0" w:color="auto"/>
              <w:right w:val="single" w:sz="6" w:space="0" w:color="auto"/>
            </w:tcBorders>
            <w:noWrap/>
            <w:vAlign w:val="center"/>
            <w:hideMark/>
          </w:tcPr>
          <w:p w:rsidR="00485094" w:rsidRPr="001F3C83" w:rsidRDefault="00485094" w:rsidP="00453E80">
            <w:pPr>
              <w:pStyle w:val="TableText"/>
              <w:jc w:val="center"/>
              <w:rPr>
                <w:rFonts w:cs="Arial"/>
                <w:color w:val="000000"/>
                <w:szCs w:val="18"/>
              </w:rPr>
            </w:pPr>
            <w:r w:rsidRPr="001F3C83">
              <w:rPr>
                <w:rFonts w:cs="Arial"/>
                <w:color w:val="000000"/>
                <w:szCs w:val="18"/>
              </w:rPr>
              <w:t>2.83</w:t>
            </w:r>
          </w:p>
        </w:tc>
        <w:tc>
          <w:tcPr>
            <w:tcW w:w="1621" w:type="dxa"/>
            <w:tcBorders>
              <w:top w:val="single" w:sz="6" w:space="0" w:color="auto"/>
              <w:left w:val="single" w:sz="6" w:space="0" w:color="auto"/>
            </w:tcBorders>
            <w:noWrap/>
            <w:vAlign w:val="center"/>
            <w:hideMark/>
          </w:tcPr>
          <w:p w:rsidR="00485094" w:rsidRPr="001F3C83" w:rsidRDefault="00485094" w:rsidP="00453E80">
            <w:pPr>
              <w:pStyle w:val="TableText"/>
              <w:jc w:val="center"/>
              <w:rPr>
                <w:rFonts w:cs="Arial"/>
                <w:color w:val="000000"/>
                <w:szCs w:val="18"/>
              </w:rPr>
            </w:pPr>
            <w:proofErr w:type="spellStart"/>
            <w:r>
              <w:rPr>
                <w:rFonts w:cs="Arial"/>
                <w:color w:val="000000"/>
                <w:szCs w:val="18"/>
              </w:rPr>
              <w:t>na</w:t>
            </w:r>
            <w:proofErr w:type="spellEnd"/>
          </w:p>
        </w:tc>
      </w:tr>
    </w:tbl>
    <w:p w:rsidR="00485094" w:rsidRDefault="00485094" w:rsidP="00692F31">
      <w:pPr>
        <w:pStyle w:val="Bodytextreduced"/>
      </w:pPr>
    </w:p>
    <w:p w:rsidR="00485094" w:rsidRDefault="00485094" w:rsidP="00692F31">
      <w:pPr>
        <w:pStyle w:val="Bodytextreduced"/>
      </w:pPr>
    </w:p>
    <w:p w:rsidR="00485094" w:rsidRDefault="00485094" w:rsidP="00692F31">
      <w:pPr>
        <w:pStyle w:val="Bodytextreduced"/>
      </w:pPr>
      <w:r>
        <w:br w:type="page"/>
      </w:r>
    </w:p>
    <w:p w:rsidR="00485094" w:rsidRPr="00F767F2" w:rsidRDefault="00485094" w:rsidP="00692F31">
      <w:pPr>
        <w:pStyle w:val="Heading2"/>
      </w:pPr>
      <w:bookmarkStart w:id="423" w:name="_Toc255822533"/>
      <w:bookmarkStart w:id="424" w:name="_Toc262464151"/>
      <w:bookmarkStart w:id="425" w:name="_Toc271794346"/>
      <w:r w:rsidRPr="00F767F2">
        <w:lastRenderedPageBreak/>
        <w:t>Summary of Status Network Ground Water Results</w:t>
      </w:r>
      <w:bookmarkEnd w:id="423"/>
      <w:bookmarkEnd w:id="424"/>
      <w:bookmarkEnd w:id="425"/>
      <w:r w:rsidRPr="00F767F2">
        <w:t xml:space="preserve"> </w:t>
      </w:r>
    </w:p>
    <w:p w:rsidR="00485094" w:rsidRDefault="00485094" w:rsidP="00692F31">
      <w:pPr>
        <w:pStyle w:val="Bodytext"/>
        <w:rPr>
          <w:szCs w:val="22"/>
        </w:rPr>
      </w:pPr>
      <w:r>
        <w:rPr>
          <w:szCs w:val="22"/>
        </w:rPr>
        <w:t>FDEP’s</w:t>
      </w:r>
      <w:r w:rsidRPr="006C238F">
        <w:rPr>
          <w:szCs w:val="22"/>
        </w:rPr>
        <w:t xml:space="preserve"> </w:t>
      </w:r>
      <w:hyperlink r:id="rId90" w:history="1">
        <w:r w:rsidRPr="00F933EC">
          <w:rPr>
            <w:rStyle w:val="Hyperlink"/>
            <w:szCs w:val="22"/>
          </w:rPr>
          <w:t>Watershed Monitoring Section</w:t>
        </w:r>
      </w:hyperlink>
      <w:r w:rsidRPr="006C238F">
        <w:rPr>
          <w:szCs w:val="22"/>
        </w:rPr>
        <w:t xml:space="preserve"> has monitored ground water quality since 1986 in both confined and unconfined aquifers.  The current Status Network ground</w:t>
      </w:r>
      <w:r>
        <w:rPr>
          <w:szCs w:val="22"/>
        </w:rPr>
        <w:t xml:space="preserve"> </w:t>
      </w:r>
      <w:r w:rsidRPr="006C238F">
        <w:rPr>
          <w:szCs w:val="22"/>
        </w:rPr>
        <w:t xml:space="preserve">water monitoring program uses a probabilistic monitoring design to estimate confined and unconfined aquifer water quality across the state.  This estimate is, by necessity, based on a subsampling of wells representing both the confined and unconfined aquifers.  The wells used in this evaluation include private, public, monitoring, and agricultural irrigation wells.  </w:t>
      </w:r>
      <w:r w:rsidRPr="001F3C83">
        <w:rPr>
          <w:b/>
          <w:i/>
          <w:szCs w:val="22"/>
        </w:rPr>
        <w:t xml:space="preserve">Figures </w:t>
      </w:r>
      <w:r>
        <w:rPr>
          <w:b/>
          <w:i/>
          <w:szCs w:val="22"/>
        </w:rPr>
        <w:t>6.11</w:t>
      </w:r>
      <w:r>
        <w:rPr>
          <w:szCs w:val="22"/>
        </w:rPr>
        <w:t xml:space="preserve"> and </w:t>
      </w:r>
      <w:r>
        <w:rPr>
          <w:b/>
          <w:i/>
          <w:szCs w:val="22"/>
        </w:rPr>
        <w:t>6.13</w:t>
      </w:r>
      <w:r>
        <w:rPr>
          <w:szCs w:val="22"/>
        </w:rPr>
        <w:t xml:space="preserve"> depict the random wells that were sampled for confined and unconfined aquifers, respectively.</w:t>
      </w:r>
    </w:p>
    <w:p w:rsidR="00485094" w:rsidRDefault="00485094" w:rsidP="00692F31">
      <w:pPr>
        <w:pStyle w:val="Bodytext"/>
        <w:rPr>
          <w:szCs w:val="22"/>
        </w:rPr>
      </w:pPr>
    </w:p>
    <w:p w:rsidR="00485094" w:rsidRDefault="00485094" w:rsidP="00692F31">
      <w:pPr>
        <w:pStyle w:val="Bodytext"/>
        <w:rPr>
          <w:szCs w:val="22"/>
        </w:rPr>
      </w:pPr>
      <w:r w:rsidRPr="006C238F">
        <w:rPr>
          <w:szCs w:val="22"/>
        </w:rPr>
        <w:t>The assessment period</w:t>
      </w:r>
      <w:r>
        <w:rPr>
          <w:szCs w:val="22"/>
        </w:rPr>
        <w:t xml:space="preserve"> for Cycle 2</w:t>
      </w:r>
      <w:r w:rsidRPr="006C238F">
        <w:rPr>
          <w:szCs w:val="22"/>
        </w:rPr>
        <w:t xml:space="preserve"> discussed in this report is January 2004 through December 2008.  </w:t>
      </w:r>
      <w:r w:rsidRPr="001F3C83">
        <w:rPr>
          <w:b/>
          <w:i/>
          <w:szCs w:val="22"/>
        </w:rPr>
        <w:t xml:space="preserve">Table </w:t>
      </w:r>
      <w:r>
        <w:rPr>
          <w:b/>
          <w:i/>
          <w:szCs w:val="22"/>
        </w:rPr>
        <w:t>6.5</w:t>
      </w:r>
      <w:r w:rsidRPr="006C238F">
        <w:rPr>
          <w:szCs w:val="22"/>
        </w:rPr>
        <w:t xml:space="preserve"> describes the ground water indicators used in the analysis and lists primary drinking water standards</w:t>
      </w:r>
      <w:r>
        <w:rPr>
          <w:szCs w:val="22"/>
        </w:rPr>
        <w:t xml:space="preserve"> (thresholds)</w:t>
      </w:r>
      <w:r w:rsidRPr="006C238F">
        <w:rPr>
          <w:szCs w:val="22"/>
        </w:rPr>
        <w:t xml:space="preserve">.  Some of the more important analytes include total coliform, nitrate-nitrite, trace metals such as arsenic and lead, and </w:t>
      </w:r>
      <w:r>
        <w:rPr>
          <w:szCs w:val="22"/>
        </w:rPr>
        <w:t>sodium (</w:t>
      </w:r>
      <w:r w:rsidRPr="006C238F">
        <w:rPr>
          <w:szCs w:val="22"/>
        </w:rPr>
        <w:t>salinity</w:t>
      </w:r>
      <w:r>
        <w:rPr>
          <w:szCs w:val="22"/>
        </w:rPr>
        <w:t>)</w:t>
      </w:r>
      <w:r w:rsidRPr="006C238F">
        <w:rPr>
          <w:szCs w:val="22"/>
        </w:rPr>
        <w:t>, all of which are threats to drinking water quality.</w:t>
      </w:r>
    </w:p>
    <w:p w:rsidR="00485094" w:rsidRDefault="00485094" w:rsidP="00692F31">
      <w:pPr>
        <w:pStyle w:val="Bodytext"/>
        <w:rPr>
          <w:szCs w:val="22"/>
        </w:rPr>
      </w:pPr>
    </w:p>
    <w:p w:rsidR="00485094" w:rsidRDefault="00485094" w:rsidP="00692F31">
      <w:pPr>
        <w:pStyle w:val="Tableheading"/>
      </w:pPr>
      <w:bookmarkStart w:id="426" w:name="_Toc255482836"/>
      <w:bookmarkStart w:id="427" w:name="_Toc255807494"/>
      <w:bookmarkStart w:id="428" w:name="_Toc262464252"/>
      <w:bookmarkStart w:id="429" w:name="_Toc271889846"/>
      <w:r>
        <w:t xml:space="preserve">Table 6.5.  </w:t>
      </w:r>
      <w:r w:rsidRPr="00F52EDE">
        <w:t xml:space="preserve">Status Network </w:t>
      </w:r>
      <w:r>
        <w:t>Physical/Other I</w:t>
      </w:r>
      <w:r w:rsidRPr="00F52EDE">
        <w:t>ndicators</w:t>
      </w:r>
      <w:r>
        <w:t>/Index</w:t>
      </w:r>
      <w:r w:rsidRPr="00F52EDE">
        <w:t xml:space="preserve"> </w:t>
      </w:r>
      <w:r>
        <w:t xml:space="preserve">for Potable Water Supply for Ground Water </w:t>
      </w:r>
      <w:r w:rsidRPr="00F52EDE">
        <w:t xml:space="preserve">with </w:t>
      </w:r>
      <w:r>
        <w:t>W</w:t>
      </w:r>
      <w:r w:rsidRPr="00F52EDE">
        <w:t xml:space="preserve">ater </w:t>
      </w:r>
      <w:r>
        <w:t>Q</w:t>
      </w:r>
      <w:r w:rsidRPr="00F52EDE">
        <w:t xml:space="preserve">uality </w:t>
      </w:r>
      <w:r>
        <w:t>C</w:t>
      </w:r>
      <w:r w:rsidRPr="00F52EDE">
        <w:t>riteria</w:t>
      </w:r>
      <w:r>
        <w:t>/Thresholds</w:t>
      </w:r>
      <w:bookmarkEnd w:id="426"/>
      <w:bookmarkEnd w:id="427"/>
      <w:bookmarkEnd w:id="428"/>
      <w:bookmarkEnd w:id="429"/>
    </w:p>
    <w:p w:rsidR="00485094" w:rsidRDefault="00485094" w:rsidP="00692F31">
      <w:pPr>
        <w:pStyle w:val="TabledescriptionBF"/>
      </w:pPr>
      <w:r>
        <w:t>This is a two-</w:t>
      </w:r>
      <w:r w:rsidRPr="001A77D7">
        <w:t>column table</w:t>
      </w:r>
      <w:r>
        <w:t>.  Column 1</w:t>
      </w:r>
      <w:r w:rsidRPr="001A77D7">
        <w:t xml:space="preserve"> </w:t>
      </w:r>
      <w:r>
        <w:t>lists</w:t>
      </w:r>
      <w:r w:rsidRPr="001A77D7">
        <w:t xml:space="preserve"> the indicator and </w:t>
      </w:r>
      <w:r>
        <w:t>Column 2</w:t>
      </w:r>
      <w:r w:rsidRPr="001A77D7">
        <w:t xml:space="preserve"> </w:t>
      </w:r>
      <w:r>
        <w:t>lists</w:t>
      </w:r>
      <w:r w:rsidRPr="001A77D7">
        <w:t xml:space="preserve"> </w:t>
      </w:r>
      <w:r w:rsidR="00F01F27">
        <w:t xml:space="preserve">the </w:t>
      </w:r>
      <w:r w:rsidRPr="001A77D7">
        <w:t>water quality criteria/threshold</w:t>
      </w:r>
      <w:r w:rsidR="00F01F27">
        <w:t xml:space="preserve"> for that indicator</w:t>
      </w:r>
      <w:r w:rsidRPr="001A77D7">
        <w:t>.</w:t>
      </w:r>
    </w:p>
    <w:p w:rsidR="00485094" w:rsidRDefault="00485094" w:rsidP="00692F31">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0"/>
        <w:gridCol w:w="2698"/>
      </w:tblGrid>
      <w:tr w:rsidR="00485094" w:rsidRPr="000F2909" w:rsidTr="000F2909">
        <w:trPr>
          <w:trHeight w:val="288"/>
          <w:jc w:val="center"/>
        </w:trPr>
        <w:tc>
          <w:tcPr>
            <w:tcW w:w="333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xml:space="preserve">Primary Indicator/Index </w:t>
            </w:r>
          </w:p>
          <w:p w:rsidR="00485094" w:rsidRPr="000F2909" w:rsidRDefault="00485094" w:rsidP="00453E80">
            <w:pPr>
              <w:pStyle w:val="TableText"/>
              <w:jc w:val="center"/>
              <w:rPr>
                <w:b/>
                <w:i/>
              </w:rPr>
            </w:pPr>
            <w:r w:rsidRPr="000F2909">
              <w:rPr>
                <w:b/>
                <w:i/>
              </w:rPr>
              <w:t>for Potable Water Supply</w:t>
            </w:r>
          </w:p>
          <w:p w:rsidR="00485094" w:rsidRPr="000F2909" w:rsidRDefault="00485094" w:rsidP="00453E80">
            <w:pPr>
              <w:pStyle w:val="TableText"/>
              <w:jc w:val="center"/>
              <w:rPr>
                <w:b/>
                <w:i/>
              </w:rPr>
            </w:pPr>
            <w:r w:rsidRPr="000F2909">
              <w:rPr>
                <w:b/>
                <w:i/>
              </w:rPr>
              <w:t>(Ground Water)</w:t>
            </w:r>
          </w:p>
        </w:tc>
        <w:tc>
          <w:tcPr>
            <w:tcW w:w="2698"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Criterion/Threshold</w:t>
            </w:r>
          </w:p>
        </w:tc>
      </w:tr>
      <w:tr w:rsidR="00485094" w:rsidTr="00453E80">
        <w:trPr>
          <w:trHeight w:val="288"/>
          <w:jc w:val="center"/>
        </w:trPr>
        <w:tc>
          <w:tcPr>
            <w:tcW w:w="3330" w:type="dxa"/>
            <w:tcBorders>
              <w:top w:val="double" w:sz="4" w:space="0" w:color="auto"/>
            </w:tcBorders>
            <w:shd w:val="clear" w:color="auto" w:fill="FFFFCC"/>
            <w:vAlign w:val="center"/>
          </w:tcPr>
          <w:p w:rsidR="00485094" w:rsidRPr="003B37D3" w:rsidRDefault="00485094" w:rsidP="00453E80">
            <w:pPr>
              <w:pStyle w:val="TableText"/>
              <w:jc w:val="center"/>
            </w:pPr>
            <w:r w:rsidRPr="003B37D3">
              <w:t>Fluoride</w:t>
            </w:r>
          </w:p>
        </w:tc>
        <w:tc>
          <w:tcPr>
            <w:tcW w:w="2698" w:type="dxa"/>
            <w:tcBorders>
              <w:top w:val="double" w:sz="4" w:space="0" w:color="auto"/>
            </w:tcBorders>
            <w:vAlign w:val="center"/>
          </w:tcPr>
          <w:p w:rsidR="00485094" w:rsidRDefault="00485094" w:rsidP="00453E80">
            <w:pPr>
              <w:pStyle w:val="TableText"/>
              <w:jc w:val="center"/>
            </w:pPr>
            <w:r w:rsidRPr="003B37D3">
              <w:t>≤4 mg/L</w:t>
            </w:r>
          </w:p>
        </w:tc>
      </w:tr>
      <w:tr w:rsidR="00485094" w:rsidRPr="001467A4" w:rsidTr="00453E80">
        <w:trPr>
          <w:trHeight w:val="288"/>
          <w:jc w:val="center"/>
        </w:trPr>
        <w:tc>
          <w:tcPr>
            <w:tcW w:w="3330" w:type="dxa"/>
            <w:shd w:val="clear" w:color="auto" w:fill="FFFFCC"/>
            <w:vAlign w:val="center"/>
          </w:tcPr>
          <w:p w:rsidR="00485094" w:rsidRPr="003B37D3" w:rsidRDefault="00485094" w:rsidP="00453E80">
            <w:pPr>
              <w:pStyle w:val="TableText"/>
              <w:jc w:val="center"/>
            </w:pPr>
            <w:r w:rsidRPr="003B37D3">
              <w:t>Arsenic</w:t>
            </w:r>
          </w:p>
        </w:tc>
        <w:tc>
          <w:tcPr>
            <w:tcW w:w="2698" w:type="dxa"/>
            <w:vAlign w:val="center"/>
          </w:tcPr>
          <w:p w:rsidR="00485094" w:rsidRPr="003B37D3" w:rsidRDefault="00485094" w:rsidP="00453E80">
            <w:pPr>
              <w:pStyle w:val="TableText"/>
              <w:jc w:val="center"/>
            </w:pPr>
            <w:r w:rsidRPr="003B37D3">
              <w:t>≤10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Cadmium</w:t>
            </w:r>
          </w:p>
        </w:tc>
        <w:tc>
          <w:tcPr>
            <w:tcW w:w="2698" w:type="dxa"/>
            <w:vAlign w:val="center"/>
          </w:tcPr>
          <w:p w:rsidR="00485094" w:rsidRPr="003B37D3" w:rsidRDefault="00485094" w:rsidP="00453E80">
            <w:pPr>
              <w:pStyle w:val="TableText"/>
              <w:jc w:val="center"/>
            </w:pPr>
            <w:r w:rsidRPr="003B37D3">
              <w:t>≤5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Chromium</w:t>
            </w:r>
          </w:p>
        </w:tc>
        <w:tc>
          <w:tcPr>
            <w:tcW w:w="2698" w:type="dxa"/>
            <w:vAlign w:val="center"/>
          </w:tcPr>
          <w:p w:rsidR="00485094" w:rsidRPr="003B37D3" w:rsidRDefault="00485094" w:rsidP="00453E80">
            <w:pPr>
              <w:pStyle w:val="TableText"/>
              <w:jc w:val="center"/>
            </w:pPr>
            <w:r w:rsidRPr="003B37D3">
              <w:t>≤100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t>Lead</w:t>
            </w:r>
          </w:p>
        </w:tc>
        <w:tc>
          <w:tcPr>
            <w:tcW w:w="2698" w:type="dxa"/>
            <w:vAlign w:val="center"/>
          </w:tcPr>
          <w:p w:rsidR="00485094" w:rsidRPr="003B37D3" w:rsidRDefault="00485094" w:rsidP="00453E80">
            <w:pPr>
              <w:pStyle w:val="TableText"/>
              <w:jc w:val="center"/>
            </w:pPr>
            <w:r w:rsidRPr="003B37D3">
              <w:t>≤15 µg/L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rPr>
                <w:lang w:val="pt-BR"/>
              </w:rPr>
              <w:t>Nitrate-Nitrite</w:t>
            </w:r>
          </w:p>
        </w:tc>
        <w:tc>
          <w:tcPr>
            <w:tcW w:w="2698" w:type="dxa"/>
            <w:vAlign w:val="center"/>
          </w:tcPr>
          <w:p w:rsidR="00485094" w:rsidRPr="003B37D3" w:rsidRDefault="00485094" w:rsidP="00453E80">
            <w:pPr>
              <w:pStyle w:val="TableText"/>
              <w:jc w:val="center"/>
            </w:pPr>
            <w:r w:rsidRPr="003B37D3">
              <w:t>≤10 mg/L</w:t>
            </w:r>
          </w:p>
        </w:tc>
      </w:tr>
      <w:tr w:rsidR="00485094" w:rsidRPr="001467A4" w:rsidTr="00453E80">
        <w:trPr>
          <w:trHeight w:val="288"/>
          <w:jc w:val="center"/>
        </w:trPr>
        <w:tc>
          <w:tcPr>
            <w:tcW w:w="3330" w:type="dxa"/>
            <w:shd w:val="clear" w:color="auto" w:fill="FFFFCC"/>
            <w:vAlign w:val="center"/>
          </w:tcPr>
          <w:p w:rsidR="00485094" w:rsidRDefault="00485094" w:rsidP="00453E80">
            <w:pPr>
              <w:pStyle w:val="TableText"/>
              <w:jc w:val="center"/>
            </w:pPr>
            <w:r w:rsidRPr="003B37D3">
              <w:rPr>
                <w:lang w:val="pt-BR"/>
              </w:rPr>
              <w:t>Sodium</w:t>
            </w:r>
          </w:p>
        </w:tc>
        <w:tc>
          <w:tcPr>
            <w:tcW w:w="2698" w:type="dxa"/>
            <w:vAlign w:val="center"/>
          </w:tcPr>
          <w:p w:rsidR="00485094" w:rsidRPr="003B37D3" w:rsidRDefault="00485094" w:rsidP="00453E80">
            <w:pPr>
              <w:pStyle w:val="TableText"/>
              <w:jc w:val="center"/>
            </w:pPr>
            <w:r w:rsidRPr="003B37D3">
              <w:t>≤160 mg/L</w:t>
            </w:r>
          </w:p>
        </w:tc>
      </w:tr>
      <w:tr w:rsidR="00485094" w:rsidRPr="001467A4" w:rsidTr="00453E80">
        <w:trPr>
          <w:trHeight w:val="288"/>
          <w:jc w:val="center"/>
        </w:trPr>
        <w:tc>
          <w:tcPr>
            <w:tcW w:w="3330" w:type="dxa"/>
            <w:shd w:val="clear" w:color="auto" w:fill="FFFFCC"/>
            <w:vAlign w:val="center"/>
          </w:tcPr>
          <w:p w:rsidR="00485094" w:rsidRPr="003B37D3" w:rsidRDefault="00485094" w:rsidP="00453E80">
            <w:pPr>
              <w:pStyle w:val="TableText"/>
              <w:jc w:val="center"/>
              <w:rPr>
                <w:lang w:val="pt-BR"/>
              </w:rPr>
            </w:pPr>
            <w:r w:rsidRPr="003B37D3">
              <w:rPr>
                <w:lang w:val="pt-BR"/>
              </w:rPr>
              <w:t>Total Coliform Bacteria (#/100mL)</w:t>
            </w:r>
          </w:p>
          <w:p w:rsidR="00485094" w:rsidRPr="003B37D3" w:rsidRDefault="00485094" w:rsidP="00453E80">
            <w:pPr>
              <w:pStyle w:val="TableText"/>
              <w:jc w:val="center"/>
              <w:rPr>
                <w:lang w:val="pt-BR"/>
              </w:rPr>
            </w:pPr>
            <w:r>
              <w:rPr>
                <w:lang w:val="pt-BR"/>
              </w:rPr>
              <w:t xml:space="preserve">Fecal Coliform </w:t>
            </w:r>
            <w:r w:rsidRPr="003B37D3">
              <w:rPr>
                <w:lang w:val="pt-BR"/>
              </w:rPr>
              <w:t>(#/100mL)</w:t>
            </w:r>
          </w:p>
        </w:tc>
        <w:tc>
          <w:tcPr>
            <w:tcW w:w="2698" w:type="dxa"/>
            <w:vAlign w:val="center"/>
          </w:tcPr>
          <w:p w:rsidR="00485094" w:rsidRPr="003B37D3" w:rsidRDefault="00485094" w:rsidP="00453E80">
            <w:pPr>
              <w:pStyle w:val="TableText"/>
              <w:jc w:val="center"/>
            </w:pPr>
            <w:r w:rsidRPr="003B37D3">
              <w:t>≤4</w:t>
            </w:r>
          </w:p>
          <w:p w:rsidR="00485094" w:rsidRPr="003B37D3" w:rsidRDefault="00485094" w:rsidP="00453E80">
            <w:pPr>
              <w:pStyle w:val="TableText"/>
              <w:jc w:val="center"/>
            </w:pPr>
            <w:r w:rsidRPr="003B37D3">
              <w:t>&lt;2</w:t>
            </w:r>
          </w:p>
        </w:tc>
      </w:tr>
    </w:tbl>
    <w:p w:rsidR="00485094" w:rsidRDefault="00485094" w:rsidP="00692F31">
      <w:pPr>
        <w:pStyle w:val="Bodytextreduced"/>
      </w:pPr>
    </w:p>
    <w:p w:rsidR="00485094" w:rsidRDefault="00485094" w:rsidP="00692F31">
      <w:pPr>
        <w:pStyle w:val="Bodytextreduced"/>
      </w:pPr>
    </w:p>
    <w:p w:rsidR="00485094" w:rsidRDefault="00485094" w:rsidP="00692F31">
      <w:pPr>
        <w:rPr>
          <w:rFonts w:ascii="Arial" w:hAnsi="Arial" w:cs="Arial"/>
          <w:sz w:val="22"/>
          <w:szCs w:val="22"/>
        </w:rPr>
      </w:pPr>
      <w:r>
        <w:rPr>
          <w:rFonts w:ascii="Arial" w:hAnsi="Arial" w:cs="Arial"/>
          <w:sz w:val="22"/>
          <w:szCs w:val="22"/>
        </w:rPr>
        <w:t>For each Status Network ground water resource (confined aquifers and unconfined aquifers), there is</w:t>
      </w:r>
      <w:r w:rsidRPr="000D2F61">
        <w:rPr>
          <w:rFonts w:ascii="Arial" w:hAnsi="Arial" w:cs="Arial"/>
          <w:sz w:val="22"/>
          <w:szCs w:val="22"/>
        </w:rPr>
        <w:t xml:space="preserve"> a map showing the sample site locations</w:t>
      </w:r>
      <w:r>
        <w:rPr>
          <w:rFonts w:ascii="Arial" w:hAnsi="Arial" w:cs="Arial"/>
          <w:sz w:val="22"/>
          <w:szCs w:val="22"/>
        </w:rPr>
        <w:t xml:space="preserve"> (</w:t>
      </w:r>
      <w:r w:rsidRPr="000D2F61">
        <w:rPr>
          <w:rFonts w:ascii="Arial" w:hAnsi="Arial" w:cs="Arial"/>
          <w:b/>
          <w:i/>
          <w:sz w:val="22"/>
          <w:szCs w:val="22"/>
        </w:rPr>
        <w:t xml:space="preserve">Figures </w:t>
      </w:r>
      <w:r>
        <w:rPr>
          <w:rFonts w:ascii="Arial" w:hAnsi="Arial" w:cs="Arial"/>
          <w:b/>
          <w:i/>
          <w:sz w:val="22"/>
          <w:szCs w:val="22"/>
        </w:rPr>
        <w:t xml:space="preserve">6.11 </w:t>
      </w:r>
      <w:r w:rsidRPr="00FC4987">
        <w:rPr>
          <w:rFonts w:ascii="Arial" w:hAnsi="Arial" w:cs="Arial"/>
          <w:sz w:val="22"/>
          <w:szCs w:val="22"/>
        </w:rPr>
        <w:t>and</w:t>
      </w:r>
      <w:r>
        <w:rPr>
          <w:rFonts w:ascii="Arial" w:hAnsi="Arial" w:cs="Arial"/>
          <w:b/>
          <w:i/>
          <w:sz w:val="22"/>
          <w:szCs w:val="22"/>
        </w:rPr>
        <w:t xml:space="preserve"> 6.13)</w:t>
      </w:r>
      <w:r w:rsidRPr="000D2F61">
        <w:rPr>
          <w:rFonts w:ascii="Arial" w:hAnsi="Arial" w:cs="Arial"/>
          <w:sz w:val="22"/>
          <w:szCs w:val="22"/>
        </w:rPr>
        <w:t xml:space="preserve">, a figure </w:t>
      </w:r>
      <w:r>
        <w:rPr>
          <w:rFonts w:ascii="Arial" w:hAnsi="Arial" w:cs="Arial"/>
          <w:sz w:val="22"/>
          <w:szCs w:val="22"/>
        </w:rPr>
        <w:t>summarizing</w:t>
      </w:r>
      <w:r w:rsidRPr="000D2F61">
        <w:rPr>
          <w:rFonts w:ascii="Arial" w:hAnsi="Arial" w:cs="Arial"/>
          <w:sz w:val="22"/>
          <w:szCs w:val="22"/>
        </w:rPr>
        <w:t xml:space="preserve"> the statewide results</w:t>
      </w:r>
      <w:r>
        <w:rPr>
          <w:rFonts w:ascii="Arial" w:hAnsi="Arial" w:cs="Arial"/>
          <w:sz w:val="22"/>
          <w:szCs w:val="22"/>
        </w:rPr>
        <w:t xml:space="preserve"> (</w:t>
      </w:r>
      <w:r w:rsidRPr="00FC4987">
        <w:rPr>
          <w:rFonts w:ascii="Arial" w:hAnsi="Arial" w:cs="Arial"/>
          <w:b/>
          <w:i/>
          <w:sz w:val="22"/>
          <w:szCs w:val="22"/>
        </w:rPr>
        <w:t>Figures 6.1</w:t>
      </w:r>
      <w:r>
        <w:rPr>
          <w:rFonts w:ascii="Arial" w:hAnsi="Arial" w:cs="Arial"/>
          <w:b/>
          <w:i/>
          <w:sz w:val="22"/>
          <w:szCs w:val="22"/>
        </w:rPr>
        <w:t>2</w:t>
      </w:r>
      <w:r>
        <w:rPr>
          <w:rFonts w:ascii="Arial" w:hAnsi="Arial" w:cs="Arial"/>
          <w:sz w:val="22"/>
          <w:szCs w:val="22"/>
        </w:rPr>
        <w:t xml:space="preserve"> and </w:t>
      </w:r>
      <w:r w:rsidRPr="00FC4987">
        <w:rPr>
          <w:rFonts w:ascii="Arial" w:hAnsi="Arial" w:cs="Arial"/>
          <w:b/>
          <w:i/>
          <w:sz w:val="22"/>
          <w:szCs w:val="22"/>
        </w:rPr>
        <w:t>6.1</w:t>
      </w:r>
      <w:r>
        <w:rPr>
          <w:rFonts w:ascii="Arial" w:hAnsi="Arial" w:cs="Arial"/>
          <w:b/>
          <w:i/>
          <w:sz w:val="22"/>
          <w:szCs w:val="22"/>
        </w:rPr>
        <w:t>4</w:t>
      </w:r>
      <w:r>
        <w:rPr>
          <w:rFonts w:ascii="Arial" w:hAnsi="Arial" w:cs="Arial"/>
          <w:sz w:val="22"/>
          <w:szCs w:val="22"/>
        </w:rPr>
        <w:t>),</w:t>
      </w:r>
      <w:r w:rsidRPr="000D2F61">
        <w:rPr>
          <w:rFonts w:ascii="Arial" w:hAnsi="Arial" w:cs="Arial"/>
          <w:sz w:val="22"/>
          <w:szCs w:val="22"/>
        </w:rPr>
        <w:t xml:space="preserve"> and a table </w:t>
      </w:r>
      <w:r>
        <w:rPr>
          <w:rFonts w:ascii="Arial" w:hAnsi="Arial" w:cs="Arial"/>
          <w:sz w:val="22"/>
          <w:szCs w:val="22"/>
        </w:rPr>
        <w:t>containing</w:t>
      </w:r>
      <w:r w:rsidRPr="000D2F61">
        <w:rPr>
          <w:rFonts w:ascii="Arial" w:hAnsi="Arial" w:cs="Arial"/>
          <w:sz w:val="22"/>
          <w:szCs w:val="22"/>
        </w:rPr>
        <w:t xml:space="preserve"> the statewide results</w:t>
      </w:r>
      <w:r>
        <w:rPr>
          <w:rFonts w:ascii="Arial" w:hAnsi="Arial" w:cs="Arial"/>
          <w:sz w:val="22"/>
          <w:szCs w:val="22"/>
        </w:rPr>
        <w:t xml:space="preserve"> for each indicator for a particular resource (</w:t>
      </w:r>
      <w:r w:rsidRPr="00FC4987">
        <w:rPr>
          <w:rFonts w:ascii="Arial" w:hAnsi="Arial" w:cs="Arial"/>
          <w:b/>
          <w:i/>
          <w:sz w:val="22"/>
          <w:szCs w:val="22"/>
        </w:rPr>
        <w:t>Table</w:t>
      </w:r>
      <w:r>
        <w:rPr>
          <w:rFonts w:ascii="Arial" w:hAnsi="Arial" w:cs="Arial"/>
          <w:b/>
          <w:i/>
          <w:sz w:val="22"/>
          <w:szCs w:val="22"/>
        </w:rPr>
        <w:t>s</w:t>
      </w:r>
      <w:r w:rsidRPr="00FC4987">
        <w:rPr>
          <w:rFonts w:ascii="Arial" w:hAnsi="Arial" w:cs="Arial"/>
          <w:b/>
          <w:i/>
          <w:sz w:val="22"/>
          <w:szCs w:val="22"/>
        </w:rPr>
        <w:t xml:space="preserve"> 6.</w:t>
      </w:r>
      <w:r>
        <w:rPr>
          <w:rFonts w:ascii="Arial" w:hAnsi="Arial" w:cs="Arial"/>
          <w:b/>
          <w:i/>
          <w:sz w:val="22"/>
          <w:szCs w:val="22"/>
        </w:rPr>
        <w:t>6</w:t>
      </w:r>
      <w:r w:rsidRPr="00FC4987">
        <w:rPr>
          <w:rFonts w:ascii="Arial" w:hAnsi="Arial" w:cs="Arial"/>
          <w:b/>
          <w:i/>
          <w:sz w:val="22"/>
          <w:szCs w:val="22"/>
        </w:rPr>
        <w:t>b</w:t>
      </w:r>
      <w:r>
        <w:rPr>
          <w:rFonts w:ascii="Arial" w:hAnsi="Arial" w:cs="Arial"/>
          <w:sz w:val="22"/>
          <w:szCs w:val="22"/>
        </w:rPr>
        <w:t xml:space="preserve"> and </w:t>
      </w:r>
      <w:r w:rsidRPr="00FC4987">
        <w:rPr>
          <w:rFonts w:ascii="Arial" w:hAnsi="Arial" w:cs="Arial"/>
          <w:b/>
          <w:i/>
          <w:sz w:val="22"/>
          <w:szCs w:val="22"/>
        </w:rPr>
        <w:t>6.</w:t>
      </w:r>
      <w:r>
        <w:rPr>
          <w:rFonts w:ascii="Arial" w:hAnsi="Arial" w:cs="Arial"/>
          <w:b/>
          <w:i/>
          <w:sz w:val="22"/>
          <w:szCs w:val="22"/>
        </w:rPr>
        <w:t>6</w:t>
      </w:r>
      <w:r w:rsidRPr="00FC4987">
        <w:rPr>
          <w:rFonts w:ascii="Arial" w:hAnsi="Arial" w:cs="Arial"/>
          <w:b/>
          <w:i/>
          <w:sz w:val="22"/>
          <w:szCs w:val="22"/>
        </w:rPr>
        <w:t>c</w:t>
      </w:r>
      <w:r>
        <w:rPr>
          <w:rFonts w:ascii="Arial" w:hAnsi="Arial" w:cs="Arial"/>
          <w:sz w:val="22"/>
          <w:szCs w:val="22"/>
        </w:rPr>
        <w:t>), followed by</w:t>
      </w:r>
      <w:r w:rsidRPr="000D2F61">
        <w:rPr>
          <w:rFonts w:ascii="Arial" w:hAnsi="Arial" w:cs="Arial"/>
          <w:sz w:val="22"/>
          <w:szCs w:val="22"/>
        </w:rPr>
        <w:t xml:space="preserve"> a discussion</w:t>
      </w:r>
      <w:r>
        <w:rPr>
          <w:rFonts w:ascii="Arial" w:hAnsi="Arial" w:cs="Arial"/>
          <w:sz w:val="22"/>
          <w:szCs w:val="22"/>
        </w:rPr>
        <w:t xml:space="preserve"> of the highlights</w:t>
      </w:r>
      <w:r w:rsidRPr="000D2F61">
        <w:rPr>
          <w:rFonts w:ascii="Arial" w:hAnsi="Arial" w:cs="Arial"/>
          <w:sz w:val="22"/>
          <w:szCs w:val="22"/>
        </w:rPr>
        <w:t>.</w:t>
      </w:r>
      <w:r>
        <w:rPr>
          <w:rFonts w:ascii="Arial" w:hAnsi="Arial" w:cs="Arial"/>
          <w:sz w:val="22"/>
          <w:szCs w:val="22"/>
        </w:rPr>
        <w:t xml:space="preserve">  </w:t>
      </w:r>
      <w:r w:rsidRPr="00D94E36">
        <w:rPr>
          <w:rFonts w:ascii="Arial" w:hAnsi="Arial" w:cs="Arial"/>
          <w:b/>
          <w:i/>
          <w:sz w:val="22"/>
          <w:szCs w:val="22"/>
        </w:rPr>
        <w:t xml:space="preserve">Table </w:t>
      </w:r>
      <w:r>
        <w:rPr>
          <w:rFonts w:ascii="Arial" w:hAnsi="Arial" w:cs="Arial"/>
          <w:b/>
          <w:i/>
          <w:sz w:val="22"/>
          <w:szCs w:val="22"/>
        </w:rPr>
        <w:t>6.6</w:t>
      </w:r>
      <w:r w:rsidRPr="00D94E36">
        <w:rPr>
          <w:rFonts w:ascii="Arial" w:hAnsi="Arial" w:cs="Arial"/>
          <w:b/>
          <w:i/>
          <w:sz w:val="22"/>
          <w:szCs w:val="22"/>
        </w:rPr>
        <w:t>a</w:t>
      </w:r>
      <w:r w:rsidRPr="001144FE">
        <w:rPr>
          <w:rFonts w:ascii="Arial" w:hAnsi="Arial" w:cs="Arial"/>
        </w:rPr>
        <w:t xml:space="preserve"> </w:t>
      </w:r>
      <w:r w:rsidRPr="00596B06">
        <w:rPr>
          <w:rFonts w:ascii="Arial" w:hAnsi="Arial" w:cs="Arial"/>
          <w:sz w:val="22"/>
          <w:szCs w:val="22"/>
        </w:rPr>
        <w:t xml:space="preserve">contains a legend for the terms used in </w:t>
      </w:r>
      <w:r w:rsidRPr="00F95E78">
        <w:rPr>
          <w:rFonts w:ascii="Arial" w:hAnsi="Arial" w:cs="Arial"/>
          <w:b/>
          <w:i/>
          <w:sz w:val="22"/>
          <w:szCs w:val="22"/>
        </w:rPr>
        <w:t xml:space="preserve">Tables </w:t>
      </w:r>
      <w:r>
        <w:rPr>
          <w:rFonts w:ascii="Arial" w:hAnsi="Arial" w:cs="Arial"/>
          <w:b/>
          <w:i/>
          <w:sz w:val="22"/>
          <w:szCs w:val="22"/>
        </w:rPr>
        <w:t xml:space="preserve">6.6b </w:t>
      </w:r>
      <w:r w:rsidRPr="00FC4987">
        <w:rPr>
          <w:rFonts w:ascii="Arial" w:hAnsi="Arial" w:cs="Arial"/>
          <w:sz w:val="22"/>
          <w:szCs w:val="22"/>
        </w:rPr>
        <w:t>and</w:t>
      </w:r>
      <w:r>
        <w:rPr>
          <w:rFonts w:ascii="Arial" w:hAnsi="Arial" w:cs="Arial"/>
          <w:b/>
          <w:i/>
          <w:sz w:val="22"/>
          <w:szCs w:val="22"/>
        </w:rPr>
        <w:t xml:space="preserve"> 6.6c</w:t>
      </w:r>
      <w:r>
        <w:rPr>
          <w:rFonts w:ascii="Arial" w:hAnsi="Arial" w:cs="Arial"/>
          <w:sz w:val="22"/>
          <w:szCs w:val="22"/>
        </w:rPr>
        <w:t>.</w:t>
      </w:r>
    </w:p>
    <w:p w:rsidR="00485094" w:rsidRDefault="00485094" w:rsidP="00692F31">
      <w:pPr>
        <w:rPr>
          <w:rFonts w:ascii="Arial" w:hAnsi="Arial" w:cs="Arial"/>
          <w:sz w:val="22"/>
          <w:szCs w:val="22"/>
        </w:rPr>
      </w:pPr>
    </w:p>
    <w:p w:rsidR="00485094" w:rsidRPr="000D2F61" w:rsidRDefault="00485094" w:rsidP="00692F31">
      <w:pPr>
        <w:rPr>
          <w:rFonts w:ascii="Arial" w:hAnsi="Arial" w:cs="Arial"/>
          <w:sz w:val="22"/>
          <w:szCs w:val="22"/>
        </w:rPr>
      </w:pPr>
      <w:r>
        <w:rPr>
          <w:rFonts w:ascii="Arial" w:hAnsi="Arial" w:cs="Arial"/>
          <w:sz w:val="22"/>
          <w:szCs w:val="22"/>
        </w:rPr>
        <w:t xml:space="preserve">The rotating basin component of the Status Network design allows for individual basin reports to be completed.  Basin-specific reports are available on the </w:t>
      </w:r>
      <w:hyperlink r:id="rId91" w:history="1">
        <w:r w:rsidRPr="00D94E36">
          <w:rPr>
            <w:rStyle w:val="Hyperlink"/>
            <w:rFonts w:ascii="Arial" w:hAnsi="Arial" w:cs="Arial"/>
            <w:sz w:val="22"/>
            <w:szCs w:val="22"/>
          </w:rPr>
          <w:t xml:space="preserve">FDEP </w:t>
        </w:r>
        <w:r>
          <w:rPr>
            <w:rStyle w:val="Hyperlink"/>
            <w:rFonts w:ascii="Arial" w:hAnsi="Arial" w:cs="Arial"/>
            <w:sz w:val="22"/>
            <w:szCs w:val="22"/>
          </w:rPr>
          <w:t xml:space="preserve">Watershed Monitoring </w:t>
        </w:r>
        <w:r w:rsidRPr="00D94E36">
          <w:rPr>
            <w:rStyle w:val="Hyperlink"/>
            <w:rFonts w:ascii="Arial" w:hAnsi="Arial" w:cs="Arial"/>
            <w:sz w:val="22"/>
            <w:szCs w:val="22"/>
          </w:rPr>
          <w:t>website</w:t>
        </w:r>
      </w:hyperlink>
      <w:r>
        <w:rPr>
          <w:rFonts w:ascii="Arial" w:hAnsi="Arial" w:cs="Arial"/>
          <w:sz w:val="22"/>
          <w:szCs w:val="22"/>
        </w:rPr>
        <w:t xml:space="preserve">.  </w:t>
      </w:r>
      <w:r w:rsidRPr="000D2F61">
        <w:rPr>
          <w:rFonts w:ascii="Arial" w:hAnsi="Arial" w:cs="Arial"/>
          <w:sz w:val="22"/>
          <w:szCs w:val="22"/>
        </w:rPr>
        <w:t xml:space="preserve">Additionally, </w:t>
      </w:r>
      <w:r w:rsidRPr="000D2F61">
        <w:rPr>
          <w:rFonts w:ascii="Arial" w:hAnsi="Arial" w:cs="Arial"/>
          <w:b/>
          <w:sz w:val="22"/>
          <w:szCs w:val="22"/>
        </w:rPr>
        <w:t xml:space="preserve">Appendix </w:t>
      </w:r>
      <w:r>
        <w:rPr>
          <w:rFonts w:ascii="Arial" w:hAnsi="Arial" w:cs="Arial"/>
          <w:b/>
          <w:sz w:val="22"/>
          <w:szCs w:val="22"/>
        </w:rPr>
        <w:t>C</w:t>
      </w:r>
      <w:r w:rsidRPr="000D2F61">
        <w:rPr>
          <w:rFonts w:ascii="Arial" w:hAnsi="Arial" w:cs="Arial"/>
          <w:sz w:val="22"/>
          <w:szCs w:val="22"/>
        </w:rPr>
        <w:t xml:space="preserve"> </w:t>
      </w:r>
      <w:r>
        <w:rPr>
          <w:rFonts w:ascii="Arial" w:hAnsi="Arial" w:cs="Arial"/>
          <w:sz w:val="22"/>
          <w:szCs w:val="22"/>
        </w:rPr>
        <w:t xml:space="preserve">shows </w:t>
      </w:r>
      <w:r w:rsidRPr="000D2F61">
        <w:rPr>
          <w:rFonts w:ascii="Arial" w:hAnsi="Arial" w:cs="Arial"/>
          <w:sz w:val="22"/>
          <w:szCs w:val="22"/>
        </w:rPr>
        <w:t xml:space="preserve">the results for all 29 basins </w:t>
      </w:r>
      <w:r>
        <w:rPr>
          <w:rFonts w:ascii="Arial" w:hAnsi="Arial" w:cs="Arial"/>
          <w:sz w:val="22"/>
          <w:szCs w:val="22"/>
        </w:rPr>
        <w:t>for both</w:t>
      </w:r>
      <w:r w:rsidRPr="000D2F61">
        <w:rPr>
          <w:rFonts w:ascii="Arial" w:hAnsi="Arial" w:cs="Arial"/>
          <w:sz w:val="22"/>
          <w:szCs w:val="22"/>
        </w:rPr>
        <w:t xml:space="preserve"> resource types on maps and in tabular form</w:t>
      </w:r>
      <w:r>
        <w:rPr>
          <w:rFonts w:ascii="Arial" w:hAnsi="Arial" w:cs="Arial"/>
          <w:b/>
          <w:sz w:val="22"/>
          <w:szCs w:val="22"/>
        </w:rPr>
        <w:t xml:space="preserve">, </w:t>
      </w:r>
      <w:r w:rsidRPr="006128BC">
        <w:rPr>
          <w:rFonts w:ascii="Arial" w:hAnsi="Arial" w:cs="Arial"/>
          <w:sz w:val="22"/>
          <w:szCs w:val="22"/>
        </w:rPr>
        <w:t>with an</w:t>
      </w:r>
      <w:r>
        <w:rPr>
          <w:rFonts w:ascii="Arial" w:hAnsi="Arial" w:cs="Arial"/>
          <w:b/>
          <w:sz w:val="22"/>
          <w:szCs w:val="22"/>
        </w:rPr>
        <w:t xml:space="preserve"> </w:t>
      </w:r>
      <w:r w:rsidRPr="000D2F61">
        <w:rPr>
          <w:rFonts w:ascii="Arial" w:hAnsi="Arial" w:cs="Arial"/>
          <w:sz w:val="22"/>
          <w:szCs w:val="22"/>
        </w:rPr>
        <w:t>explan</w:t>
      </w:r>
      <w:r>
        <w:rPr>
          <w:rFonts w:ascii="Arial" w:hAnsi="Arial" w:cs="Arial"/>
          <w:sz w:val="22"/>
          <w:szCs w:val="22"/>
        </w:rPr>
        <w:t>ation of</w:t>
      </w:r>
      <w:r w:rsidRPr="000D2F61">
        <w:rPr>
          <w:rFonts w:ascii="Arial" w:hAnsi="Arial" w:cs="Arial"/>
          <w:sz w:val="22"/>
          <w:szCs w:val="22"/>
        </w:rPr>
        <w:t xml:space="preserve"> </w:t>
      </w:r>
      <w:r>
        <w:rPr>
          <w:rFonts w:ascii="Arial" w:hAnsi="Arial" w:cs="Arial"/>
          <w:sz w:val="22"/>
          <w:szCs w:val="22"/>
        </w:rPr>
        <w:t xml:space="preserve">the </w:t>
      </w:r>
      <w:r w:rsidRPr="000D2F61">
        <w:rPr>
          <w:rFonts w:ascii="Arial" w:hAnsi="Arial" w:cs="Arial"/>
          <w:sz w:val="22"/>
          <w:szCs w:val="22"/>
        </w:rPr>
        <w:t xml:space="preserve">terms used in the assessment and the water quality targets.  </w:t>
      </w:r>
    </w:p>
    <w:p w:rsidR="00485094" w:rsidRDefault="00485094" w:rsidP="00692F31">
      <w:pPr>
        <w:pStyle w:val="Bodytext"/>
        <w:rPr>
          <w:rFonts w:cs="Arial"/>
          <w:szCs w:val="22"/>
        </w:rPr>
      </w:pPr>
    </w:p>
    <w:p w:rsidR="00485094" w:rsidRDefault="00485094" w:rsidP="00692F31">
      <w:r w:rsidRPr="00F30218">
        <w:rPr>
          <w:rFonts w:ascii="Arial" w:hAnsi="Arial" w:cs="Arial"/>
          <w:b/>
          <w:i/>
          <w:sz w:val="22"/>
          <w:szCs w:val="22"/>
        </w:rPr>
        <w:t>Tables 6.</w:t>
      </w:r>
      <w:r>
        <w:rPr>
          <w:rFonts w:ascii="Arial" w:hAnsi="Arial" w:cs="Arial"/>
          <w:b/>
          <w:i/>
          <w:sz w:val="22"/>
          <w:szCs w:val="22"/>
        </w:rPr>
        <w:t>6</w:t>
      </w:r>
      <w:r w:rsidRPr="00F30218">
        <w:rPr>
          <w:rFonts w:ascii="Arial" w:hAnsi="Arial" w:cs="Arial"/>
          <w:b/>
          <w:i/>
          <w:sz w:val="22"/>
          <w:szCs w:val="22"/>
        </w:rPr>
        <w:t>b</w:t>
      </w:r>
      <w:r w:rsidRPr="0019139D">
        <w:rPr>
          <w:rFonts w:ascii="Arial" w:hAnsi="Arial" w:cs="Arial"/>
          <w:sz w:val="22"/>
          <w:szCs w:val="22"/>
        </w:rPr>
        <w:t xml:space="preserve"> and </w:t>
      </w:r>
      <w:r w:rsidRPr="00F30218">
        <w:rPr>
          <w:rFonts w:ascii="Arial" w:hAnsi="Arial" w:cs="Arial"/>
          <w:b/>
          <w:i/>
          <w:sz w:val="22"/>
          <w:szCs w:val="22"/>
        </w:rPr>
        <w:t>6.</w:t>
      </w:r>
      <w:r>
        <w:rPr>
          <w:rFonts w:ascii="Arial" w:hAnsi="Arial" w:cs="Arial"/>
          <w:b/>
          <w:i/>
          <w:sz w:val="22"/>
          <w:szCs w:val="22"/>
        </w:rPr>
        <w:t>6</w:t>
      </w:r>
      <w:r w:rsidRPr="00F30218">
        <w:rPr>
          <w:rFonts w:ascii="Arial" w:hAnsi="Arial" w:cs="Arial"/>
          <w:b/>
          <w:i/>
          <w:sz w:val="22"/>
          <w:szCs w:val="22"/>
        </w:rPr>
        <w:t>c</w:t>
      </w:r>
      <w:r w:rsidRPr="0019139D">
        <w:rPr>
          <w:rFonts w:ascii="Arial" w:hAnsi="Arial" w:cs="Arial"/>
          <w:sz w:val="22"/>
          <w:szCs w:val="22"/>
        </w:rPr>
        <w:t xml:space="preserve"> provide an estimate of the quality of Florida’s confined and unconfined</w:t>
      </w:r>
      <w:r w:rsidRPr="006C238F">
        <w:rPr>
          <w:rFonts w:ascii="Arial" w:hAnsi="Arial" w:cs="Arial"/>
          <w:sz w:val="22"/>
          <w:szCs w:val="22"/>
        </w:rPr>
        <w:t xml:space="preserve"> </w:t>
      </w:r>
      <w:r>
        <w:rPr>
          <w:rFonts w:ascii="Arial" w:hAnsi="Arial" w:cs="Arial"/>
          <w:sz w:val="22"/>
          <w:szCs w:val="22"/>
        </w:rPr>
        <w:t>aquifers</w:t>
      </w:r>
      <w:r w:rsidRPr="006C238F">
        <w:rPr>
          <w:rFonts w:ascii="Arial" w:hAnsi="Arial" w:cs="Arial"/>
          <w:sz w:val="22"/>
          <w:szCs w:val="22"/>
        </w:rPr>
        <w:t xml:space="preserve"> by listing the percentage of samples that meet a potable water </w:t>
      </w:r>
      <w:r>
        <w:rPr>
          <w:rFonts w:ascii="Arial" w:hAnsi="Arial" w:cs="Arial"/>
          <w:sz w:val="22"/>
          <w:szCs w:val="22"/>
        </w:rPr>
        <w:t>threshold</w:t>
      </w:r>
      <w:r w:rsidRPr="006C238F">
        <w:rPr>
          <w:rFonts w:ascii="Arial" w:hAnsi="Arial" w:cs="Arial"/>
          <w:sz w:val="22"/>
          <w:szCs w:val="22"/>
        </w:rPr>
        <w:t xml:space="preserve">.  </w:t>
      </w:r>
      <w:r w:rsidRPr="006C238F">
        <w:rPr>
          <w:rFonts w:ascii="Arial" w:hAnsi="Arial" w:cs="Arial"/>
          <w:color w:val="000000"/>
          <w:sz w:val="22"/>
          <w:szCs w:val="22"/>
        </w:rPr>
        <w:t>Along with the percentage of wells meeting (% meeting) their specific thresholds, the 95% confidence bounds indicate that the percentage that meet</w:t>
      </w:r>
      <w:r>
        <w:rPr>
          <w:rFonts w:ascii="Arial" w:hAnsi="Arial" w:cs="Arial"/>
          <w:color w:val="000000"/>
          <w:sz w:val="22"/>
          <w:szCs w:val="22"/>
        </w:rPr>
        <w:t>s</w:t>
      </w:r>
      <w:r w:rsidRPr="006C238F">
        <w:rPr>
          <w:rFonts w:ascii="Arial" w:hAnsi="Arial" w:cs="Arial"/>
          <w:color w:val="000000"/>
          <w:sz w:val="22"/>
          <w:szCs w:val="22"/>
        </w:rPr>
        <w:t xml:space="preserve"> threshold values accurately depicts the overall statewide well population.</w:t>
      </w:r>
    </w:p>
    <w:p w:rsidR="00485094" w:rsidRDefault="00485094" w:rsidP="00692F31">
      <w:pPr>
        <w:pStyle w:val="Tableheading"/>
      </w:pPr>
      <w:bookmarkStart w:id="430" w:name="_Toc255482837"/>
      <w:bookmarkStart w:id="431" w:name="_Toc255807495"/>
      <w:bookmarkStart w:id="432" w:name="_Toc134347529"/>
      <w:bookmarkStart w:id="433" w:name="_Toc262464253"/>
      <w:bookmarkStart w:id="434" w:name="_Toc271889847"/>
      <w:r>
        <w:lastRenderedPageBreak/>
        <w:t>Table 6.6a.  Legend for Terms Used in Tables</w:t>
      </w:r>
      <w:bookmarkEnd w:id="430"/>
      <w:bookmarkEnd w:id="431"/>
      <w:r>
        <w:t xml:space="preserve"> </w:t>
      </w:r>
      <w:bookmarkEnd w:id="432"/>
      <w:r>
        <w:t>6.6b and 6.6c</w:t>
      </w:r>
      <w:bookmarkEnd w:id="433"/>
      <w:bookmarkEnd w:id="434"/>
    </w:p>
    <w:p w:rsidR="00485094" w:rsidRDefault="00485094" w:rsidP="00692F31">
      <w:pPr>
        <w:pStyle w:val="TabledescriptionBF"/>
      </w:pPr>
      <w:r>
        <w:t>This is a two-column table.  Column 1 lists the terms and Column 2 provides an explanation.</w:t>
      </w:r>
    </w:p>
    <w:p w:rsidR="00485094" w:rsidRDefault="00485094" w:rsidP="00692F31">
      <w:pPr>
        <w:pStyle w:val="Bodytextreduced"/>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6"/>
        <w:gridCol w:w="5372"/>
      </w:tblGrid>
      <w:tr w:rsidR="00485094" w:rsidRPr="000F2909" w:rsidTr="000F2909">
        <w:trPr>
          <w:trHeight w:val="377"/>
          <w:tblHeader/>
          <w:jc w:val="center"/>
        </w:trPr>
        <w:tc>
          <w:tcPr>
            <w:tcW w:w="3196" w:type="dxa"/>
            <w:tcBorders>
              <w:bottom w:val="double" w:sz="4" w:space="0" w:color="auto"/>
            </w:tcBorders>
            <w:shd w:val="clear" w:color="auto" w:fill="BDFFFF"/>
            <w:vAlign w:val="center"/>
          </w:tcPr>
          <w:p w:rsidR="00485094" w:rsidRPr="000F2909" w:rsidRDefault="00485094" w:rsidP="00453E80">
            <w:pPr>
              <w:jc w:val="center"/>
              <w:rPr>
                <w:rFonts w:ascii="Arial" w:hAnsi="Arial"/>
                <w:b/>
                <w:i/>
                <w:sz w:val="18"/>
              </w:rPr>
            </w:pPr>
            <w:r w:rsidRPr="000F2909">
              <w:rPr>
                <w:rFonts w:ascii="Arial" w:hAnsi="Arial"/>
                <w:b/>
                <w:i/>
                <w:sz w:val="18"/>
              </w:rPr>
              <w:t>Term</w:t>
            </w:r>
          </w:p>
        </w:tc>
        <w:tc>
          <w:tcPr>
            <w:tcW w:w="5372" w:type="dxa"/>
            <w:tcBorders>
              <w:bottom w:val="double" w:sz="4" w:space="0" w:color="auto"/>
            </w:tcBorders>
            <w:shd w:val="clear" w:color="auto" w:fill="BDFFFF"/>
            <w:vAlign w:val="center"/>
          </w:tcPr>
          <w:p w:rsidR="00485094" w:rsidRPr="000F2909" w:rsidRDefault="00485094" w:rsidP="00453E80">
            <w:pPr>
              <w:jc w:val="center"/>
              <w:rPr>
                <w:rFonts w:ascii="Arial" w:hAnsi="Arial"/>
                <w:b/>
                <w:i/>
                <w:sz w:val="18"/>
              </w:rPr>
            </w:pPr>
            <w:r w:rsidRPr="000F2909">
              <w:rPr>
                <w:rFonts w:ascii="Arial" w:hAnsi="Arial"/>
                <w:b/>
                <w:i/>
                <w:sz w:val="18"/>
              </w:rPr>
              <w:t>Explanation</w:t>
            </w:r>
          </w:p>
        </w:tc>
      </w:tr>
      <w:tr w:rsidR="00485094" w:rsidTr="00453E80">
        <w:trPr>
          <w:trHeight w:val="432"/>
          <w:jc w:val="center"/>
        </w:trPr>
        <w:tc>
          <w:tcPr>
            <w:tcW w:w="3196" w:type="dxa"/>
            <w:tcBorders>
              <w:top w:val="double" w:sz="4" w:space="0" w:color="auto"/>
            </w:tcBorders>
            <w:shd w:val="clear" w:color="auto" w:fill="FFFFCC"/>
            <w:vAlign w:val="center"/>
          </w:tcPr>
          <w:p w:rsidR="00485094" w:rsidRPr="00D53BE0" w:rsidRDefault="00485094" w:rsidP="00453E80">
            <w:pPr>
              <w:jc w:val="center"/>
              <w:rPr>
                <w:rFonts w:ascii="Arial" w:hAnsi="Arial"/>
                <w:sz w:val="18"/>
              </w:rPr>
            </w:pPr>
            <w:r w:rsidRPr="00D53BE0">
              <w:rPr>
                <w:rFonts w:ascii="Arial" w:hAnsi="Arial"/>
                <w:sz w:val="18"/>
              </w:rPr>
              <w:t>Analyte</w:t>
            </w:r>
          </w:p>
        </w:tc>
        <w:tc>
          <w:tcPr>
            <w:tcW w:w="5372" w:type="dxa"/>
            <w:tcBorders>
              <w:top w:val="double" w:sz="4" w:space="0" w:color="auto"/>
            </w:tcBorders>
            <w:vAlign w:val="center"/>
          </w:tcPr>
          <w:p w:rsidR="00485094" w:rsidRPr="00D53BE0" w:rsidRDefault="00485094" w:rsidP="00453E80">
            <w:pPr>
              <w:pStyle w:val="TableText"/>
              <w:jc w:val="center"/>
            </w:pPr>
            <w:r w:rsidRPr="00D53BE0">
              <w:t>Indicators chosen to base assessment of the condition of waters of the state.</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Target Population</w:t>
            </w:r>
          </w:p>
        </w:tc>
        <w:tc>
          <w:tcPr>
            <w:tcW w:w="5372" w:type="dxa"/>
            <w:vAlign w:val="center"/>
          </w:tcPr>
          <w:p w:rsidR="00485094" w:rsidRDefault="00485094" w:rsidP="00453E80">
            <w:pPr>
              <w:pStyle w:val="TableText"/>
              <w:ind w:left="530" w:hanging="530"/>
              <w:jc w:val="center"/>
            </w:pPr>
            <w:r>
              <w:t>Number of wells from which inferences are based.  Excludes % of resource that was determined to not fit definition of resource</w:t>
            </w:r>
            <w:r w:rsidR="003D799D">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Sampleable</w:t>
            </w:r>
          </w:p>
        </w:tc>
        <w:tc>
          <w:tcPr>
            <w:tcW w:w="5372" w:type="dxa"/>
            <w:vAlign w:val="center"/>
          </w:tcPr>
          <w:p w:rsidR="00485094" w:rsidRPr="007A5C16" w:rsidRDefault="00485094" w:rsidP="00453E80">
            <w:pPr>
              <w:pStyle w:val="TableText"/>
              <w:jc w:val="center"/>
            </w:pPr>
            <w:r w:rsidRPr="007A5C16">
              <w:t>Estimate of the number of wells that staff are able to sample during index period</w:t>
            </w:r>
            <w:r w:rsidR="003D799D">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Inaccessible</w:t>
            </w:r>
          </w:p>
        </w:tc>
        <w:tc>
          <w:tcPr>
            <w:tcW w:w="5372" w:type="dxa"/>
            <w:vAlign w:val="center"/>
          </w:tcPr>
          <w:p w:rsidR="00485094" w:rsidRPr="005875B8" w:rsidRDefault="00485094" w:rsidP="00453E80">
            <w:pPr>
              <w:jc w:val="center"/>
              <w:rPr>
                <w:rFonts w:ascii="Arial" w:hAnsi="Arial"/>
                <w:sz w:val="18"/>
                <w:szCs w:val="18"/>
              </w:rPr>
            </w:pPr>
            <w:r w:rsidRPr="005875B8">
              <w:rPr>
                <w:rFonts w:ascii="Arial" w:hAnsi="Arial" w:cs="Arial"/>
                <w:sz w:val="18"/>
                <w:szCs w:val="18"/>
              </w:rPr>
              <w:t>Estimate of the number of wells that</w:t>
            </w:r>
            <w:r w:rsidRPr="005875B8">
              <w:rPr>
                <w:rFonts w:ascii="Arial" w:hAnsi="Arial"/>
                <w:sz w:val="18"/>
                <w:szCs w:val="18"/>
              </w:rPr>
              <w:t xml:space="preserve"> </w:t>
            </w:r>
            <w:r>
              <w:rPr>
                <w:rFonts w:ascii="Arial" w:hAnsi="Arial"/>
                <w:sz w:val="18"/>
                <w:szCs w:val="18"/>
              </w:rPr>
              <w:t>are</w:t>
            </w:r>
            <w:r w:rsidRPr="005875B8">
              <w:rPr>
                <w:rFonts w:ascii="Arial" w:hAnsi="Arial"/>
                <w:sz w:val="18"/>
                <w:szCs w:val="18"/>
              </w:rPr>
              <w:t xml:space="preserve"> inaccessible due to safety concerns and owner denials</w:t>
            </w:r>
            <w:r w:rsidR="003D799D">
              <w:rPr>
                <w:rFonts w:ascii="Arial" w:hAnsi="Arial"/>
                <w:sz w:val="18"/>
                <w:szCs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Number of Samples</w:t>
            </w:r>
          </w:p>
        </w:tc>
        <w:tc>
          <w:tcPr>
            <w:tcW w:w="5372" w:type="dxa"/>
            <w:vAlign w:val="center"/>
          </w:tcPr>
          <w:p w:rsidR="00485094" w:rsidRDefault="00485094" w:rsidP="00453E80">
            <w:pPr>
              <w:jc w:val="center"/>
              <w:rPr>
                <w:rFonts w:ascii="Arial" w:hAnsi="Arial"/>
                <w:sz w:val="18"/>
              </w:rPr>
            </w:pPr>
            <w:r>
              <w:rPr>
                <w:rFonts w:ascii="Arial" w:hAnsi="Arial"/>
                <w:sz w:val="18"/>
              </w:rPr>
              <w:t xml:space="preserve">Number of samples used for statistical analysis after qualified data and resource exclusions are eliminated from the data pool. </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Meeting Threshold</w:t>
            </w:r>
          </w:p>
        </w:tc>
        <w:tc>
          <w:tcPr>
            <w:tcW w:w="5372" w:type="dxa"/>
            <w:vAlign w:val="center"/>
          </w:tcPr>
          <w:p w:rsidR="00485094" w:rsidRDefault="00485094" w:rsidP="00453E80">
            <w:pPr>
              <w:jc w:val="center"/>
              <w:rPr>
                <w:rFonts w:ascii="Arial" w:hAnsi="Arial"/>
                <w:sz w:val="18"/>
              </w:rPr>
            </w:pPr>
            <w:r>
              <w:rPr>
                <w:rFonts w:ascii="Arial" w:hAnsi="Arial"/>
                <w:sz w:val="18"/>
              </w:rPr>
              <w:t>% estimate of resource extent  that meets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xml:space="preserve">95% Confidence Bounds </w:t>
            </w:r>
          </w:p>
          <w:p w:rsidR="00485094" w:rsidRDefault="00485094" w:rsidP="00453E80">
            <w:pPr>
              <w:jc w:val="center"/>
              <w:rPr>
                <w:rFonts w:ascii="Arial" w:hAnsi="Arial"/>
                <w:sz w:val="18"/>
              </w:rPr>
            </w:pPr>
            <w:r>
              <w:rPr>
                <w:rFonts w:ascii="Arial" w:hAnsi="Arial"/>
                <w:sz w:val="18"/>
              </w:rPr>
              <w:t>(% Meeting Threshold)</w:t>
            </w:r>
          </w:p>
        </w:tc>
        <w:tc>
          <w:tcPr>
            <w:tcW w:w="5372" w:type="dxa"/>
            <w:vAlign w:val="center"/>
          </w:tcPr>
          <w:p w:rsidR="00485094" w:rsidRDefault="00485094" w:rsidP="00453E80">
            <w:pPr>
              <w:jc w:val="center"/>
              <w:rPr>
                <w:rFonts w:ascii="Arial" w:hAnsi="Arial"/>
                <w:sz w:val="18"/>
              </w:rPr>
            </w:pPr>
            <w:r>
              <w:rPr>
                <w:rFonts w:ascii="Arial" w:hAnsi="Arial"/>
                <w:sz w:val="18"/>
              </w:rPr>
              <w:t>Upper and lower bounds for 95% confidence of % meeting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 Not Meeting Threshold</w:t>
            </w:r>
          </w:p>
        </w:tc>
        <w:tc>
          <w:tcPr>
            <w:tcW w:w="5372" w:type="dxa"/>
            <w:vAlign w:val="center"/>
          </w:tcPr>
          <w:p w:rsidR="00485094" w:rsidRDefault="00485094" w:rsidP="00453E80">
            <w:pPr>
              <w:jc w:val="center"/>
              <w:rPr>
                <w:rFonts w:ascii="Arial" w:hAnsi="Arial"/>
                <w:sz w:val="18"/>
              </w:rPr>
            </w:pPr>
            <w:r>
              <w:rPr>
                <w:rFonts w:ascii="Arial" w:hAnsi="Arial"/>
                <w:sz w:val="18"/>
              </w:rPr>
              <w:t>% of estimate of extent of resource that does not meet a specific indicator’s criterion/threshold value</w:t>
            </w:r>
            <w:r w:rsidR="003D799D">
              <w:rPr>
                <w:rFonts w:ascii="Arial" w:hAnsi="Arial"/>
                <w:sz w:val="18"/>
              </w:rPr>
              <w:t>.</w:t>
            </w:r>
          </w:p>
        </w:tc>
      </w:tr>
      <w:tr w:rsidR="00485094" w:rsidTr="00453E80">
        <w:trPr>
          <w:trHeight w:val="432"/>
          <w:jc w:val="center"/>
        </w:trPr>
        <w:tc>
          <w:tcPr>
            <w:tcW w:w="3196" w:type="dxa"/>
            <w:shd w:val="clear" w:color="auto" w:fill="FFFFCC"/>
            <w:vAlign w:val="center"/>
          </w:tcPr>
          <w:p w:rsidR="00485094" w:rsidRDefault="00485094" w:rsidP="00453E80">
            <w:pPr>
              <w:jc w:val="center"/>
              <w:rPr>
                <w:rFonts w:ascii="Arial" w:hAnsi="Arial"/>
                <w:sz w:val="18"/>
              </w:rPr>
            </w:pPr>
            <w:r>
              <w:rPr>
                <w:rFonts w:ascii="Arial" w:hAnsi="Arial"/>
                <w:sz w:val="18"/>
              </w:rPr>
              <w:t>Assessment Period</w:t>
            </w:r>
          </w:p>
        </w:tc>
        <w:tc>
          <w:tcPr>
            <w:tcW w:w="5372" w:type="dxa"/>
            <w:vAlign w:val="center"/>
          </w:tcPr>
          <w:p w:rsidR="00485094" w:rsidRDefault="00485094" w:rsidP="00453E80">
            <w:pPr>
              <w:jc w:val="center"/>
              <w:rPr>
                <w:rFonts w:ascii="Arial" w:hAnsi="Arial"/>
                <w:sz w:val="18"/>
              </w:rPr>
            </w:pPr>
            <w:r>
              <w:rPr>
                <w:rFonts w:ascii="Arial" w:hAnsi="Arial"/>
                <w:sz w:val="18"/>
              </w:rPr>
              <w:t>Duration of probabilistic survey’s sampling event</w:t>
            </w:r>
            <w:r w:rsidR="003D799D">
              <w:rPr>
                <w:rFonts w:ascii="Arial" w:hAnsi="Arial"/>
                <w:sz w:val="18"/>
              </w:rPr>
              <w:t>.</w:t>
            </w:r>
          </w:p>
        </w:tc>
      </w:tr>
    </w:tbl>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r>
        <w:rPr>
          <w:rFonts w:ascii="Arial" w:hAnsi="Arial" w:cs="Arial"/>
          <w:b/>
          <w:i/>
          <w:sz w:val="20"/>
          <w:szCs w:val="20"/>
        </w:rPr>
        <w:br w:type="page"/>
      </w:r>
    </w:p>
    <w:p w:rsidR="00485094" w:rsidRPr="00491133" w:rsidRDefault="00485094" w:rsidP="00692F31">
      <w:pPr>
        <w:pStyle w:val="Caption"/>
        <w:rPr>
          <w:bCs/>
        </w:rPr>
      </w:pPr>
      <w:bookmarkStart w:id="435" w:name="_Toc262464304"/>
      <w:bookmarkStart w:id="436" w:name="_Toc271280156"/>
      <w:r w:rsidRPr="00491133">
        <w:lastRenderedPageBreak/>
        <w:t xml:space="preserve">Figure </w:t>
      </w:r>
      <w:r>
        <w:t>6.11.  Statewide Confined Aquifer Well Locations by Basin</w:t>
      </w:r>
      <w:bookmarkEnd w:id="435"/>
      <w:bookmarkEnd w:id="436"/>
    </w:p>
    <w:p w:rsidR="00485094" w:rsidRDefault="00485094" w:rsidP="00692F31">
      <w:pPr>
        <w:pStyle w:val="Bodytext"/>
        <w:rPr>
          <w:szCs w:val="22"/>
        </w:rPr>
      </w:pPr>
    </w:p>
    <w:p w:rsidR="00485094" w:rsidRDefault="001717CD" w:rsidP="00692F31">
      <w:pPr>
        <w:jc w:val="center"/>
        <w:rPr>
          <w:rFonts w:ascii="Arial" w:hAnsi="Arial" w:cs="Arial"/>
          <w:sz w:val="22"/>
          <w:szCs w:val="22"/>
        </w:rPr>
      </w:pPr>
      <w:r>
        <w:rPr>
          <w:rFonts w:ascii="Arial" w:hAnsi="Arial" w:cs="Arial"/>
          <w:noProof/>
          <w:sz w:val="22"/>
          <w:szCs w:val="22"/>
        </w:rPr>
        <w:drawing>
          <wp:inline distT="0" distB="0" distL="0" distR="0">
            <wp:extent cx="5115560" cy="5891530"/>
            <wp:effectExtent l="19050" t="0" r="8890" b="0"/>
            <wp:docPr id="7" name="Picture 1" descr="Figure 6.11.  Statewide Confined Aquifer Well Locations by Basin.  This is a map of the state of Florida divided into the 29 basins showing the locations where 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11.  Statewide Confined Aquifer Well Locations by Basin"/>
                    <pic:cNvPicPr>
                      <a:picLocks noChangeAspect="1" noChangeArrowheads="1"/>
                    </pic:cNvPicPr>
                  </pic:nvPicPr>
                  <pic:blipFill>
                    <a:blip r:embed="rId92"/>
                    <a:srcRect/>
                    <a:stretch>
                      <a:fillRect/>
                    </a:stretch>
                  </pic:blipFill>
                  <pic:spPr bwMode="auto">
                    <a:xfrm>
                      <a:off x="0" y="0"/>
                      <a:ext cx="5115560" cy="589153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r>
        <w:rPr>
          <w:rFonts w:ascii="Arial" w:hAnsi="Arial" w:cs="Arial"/>
          <w:b/>
          <w:i/>
          <w:sz w:val="20"/>
          <w:szCs w:val="20"/>
        </w:rPr>
        <w:br w:type="page"/>
      </w:r>
    </w:p>
    <w:p w:rsidR="00485094" w:rsidRDefault="00485094" w:rsidP="00692F31">
      <w:pPr>
        <w:pStyle w:val="Caption"/>
      </w:pPr>
      <w:bookmarkStart w:id="437" w:name="_Toc262464305"/>
      <w:bookmarkStart w:id="438" w:name="_Toc271280157"/>
      <w:r w:rsidRPr="00491133">
        <w:lastRenderedPageBreak/>
        <w:t xml:space="preserve">Figure </w:t>
      </w:r>
      <w:r>
        <w:t>6.12.  Statewide Summary of Confined Aquifer Results</w:t>
      </w:r>
      <w:bookmarkEnd w:id="437"/>
      <w:bookmarkEnd w:id="438"/>
    </w:p>
    <w:p w:rsidR="00485094" w:rsidRDefault="00485094" w:rsidP="00692F31">
      <w:pPr>
        <w:autoSpaceDE w:val="0"/>
        <w:autoSpaceDN w:val="0"/>
        <w:adjustRightInd w:val="0"/>
        <w:rPr>
          <w:rFonts w:ascii="Arial" w:hAnsi="Arial" w:cs="Arial"/>
          <w:b/>
          <w:i/>
          <w:sz w:val="20"/>
          <w:szCs w:val="20"/>
        </w:rPr>
      </w:pPr>
    </w:p>
    <w:p w:rsidR="00485094" w:rsidRDefault="001717CD" w:rsidP="00692F31">
      <w:pPr>
        <w:autoSpaceDE w:val="0"/>
        <w:autoSpaceDN w:val="0"/>
        <w:adjustRightInd w:val="0"/>
        <w:jc w:val="center"/>
        <w:rPr>
          <w:rFonts w:ascii="Arial" w:hAnsi="Arial" w:cs="Arial"/>
          <w:b/>
          <w:i/>
          <w:sz w:val="20"/>
          <w:szCs w:val="20"/>
        </w:rPr>
      </w:pPr>
      <w:r>
        <w:rPr>
          <w:rFonts w:ascii="Arial" w:hAnsi="Arial" w:cs="Arial"/>
          <w:b/>
          <w:i/>
          <w:noProof/>
          <w:sz w:val="20"/>
          <w:szCs w:val="20"/>
        </w:rPr>
        <w:drawing>
          <wp:inline distT="0" distB="0" distL="0" distR="0">
            <wp:extent cx="5365750" cy="5943600"/>
            <wp:effectExtent l="19050" t="0" r="6350" b="0"/>
            <wp:docPr id="8" name="Picture 3" descr="Figure 6.12.  Statewide Summary of Confined Aquifer Results.  This graphic shows statewide results in pie chart format for the confined aquifer indicators.  The results follow in Table 6.6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12.  Statewide Summary of Confined Aquifer Results."/>
                    <pic:cNvPicPr>
                      <a:picLocks noChangeAspect="1" noChangeArrowheads="1"/>
                    </pic:cNvPicPr>
                  </pic:nvPicPr>
                  <pic:blipFill>
                    <a:blip r:embed="rId93"/>
                    <a:srcRect/>
                    <a:stretch>
                      <a:fillRect/>
                    </a:stretch>
                  </pic:blipFill>
                  <pic:spPr bwMode="auto">
                    <a:xfrm>
                      <a:off x="0" y="0"/>
                      <a:ext cx="5365750" cy="5943600"/>
                    </a:xfrm>
                    <a:prstGeom prst="rect">
                      <a:avLst/>
                    </a:prstGeom>
                    <a:noFill/>
                    <a:ln w="9525">
                      <a:noFill/>
                      <a:miter lim="800000"/>
                      <a:headEnd/>
                      <a:tailEnd/>
                    </a:ln>
                  </pic:spPr>
                </pic:pic>
              </a:graphicData>
            </a:graphic>
          </wp:inline>
        </w:drawing>
      </w:r>
    </w:p>
    <w:p w:rsidR="00485094" w:rsidRDefault="00485094" w:rsidP="00692F31">
      <w:pPr>
        <w:autoSpaceDE w:val="0"/>
        <w:autoSpaceDN w:val="0"/>
        <w:adjustRightInd w:val="0"/>
        <w:rPr>
          <w:rFonts w:ascii="Arial" w:hAnsi="Arial" w:cs="Arial"/>
          <w:b/>
          <w:i/>
          <w:sz w:val="20"/>
          <w:szCs w:val="20"/>
        </w:rPr>
      </w:pPr>
    </w:p>
    <w:p w:rsidR="00485094" w:rsidRDefault="00485094" w:rsidP="00692F31">
      <w:pPr>
        <w:autoSpaceDE w:val="0"/>
        <w:autoSpaceDN w:val="0"/>
        <w:adjustRightInd w:val="0"/>
        <w:rPr>
          <w:rFonts w:ascii="Arial" w:hAnsi="Arial" w:cs="Arial"/>
          <w:b/>
          <w:i/>
          <w:sz w:val="20"/>
          <w:szCs w:val="20"/>
        </w:rPr>
      </w:pPr>
    </w:p>
    <w:p w:rsidR="00485094" w:rsidRDefault="00485094" w:rsidP="00692F31">
      <w:pPr>
        <w:pStyle w:val="Tableheading"/>
        <w:sectPr w:rsidR="00485094" w:rsidSect="003B37D3">
          <w:pgSz w:w="12240" w:h="15840"/>
          <w:pgMar w:top="1440" w:right="1440" w:bottom="1440" w:left="1440" w:header="720" w:footer="720" w:gutter="0"/>
          <w:cols w:space="720"/>
          <w:docGrid w:linePitch="360"/>
        </w:sectPr>
      </w:pPr>
    </w:p>
    <w:p w:rsidR="00485094" w:rsidRPr="00834414" w:rsidRDefault="00485094" w:rsidP="00692F31">
      <w:pPr>
        <w:pStyle w:val="Bodytextreduced"/>
      </w:pPr>
    </w:p>
    <w:p w:rsidR="00485094" w:rsidRDefault="00485094" w:rsidP="00692F31">
      <w:pPr>
        <w:pStyle w:val="Tableheading"/>
      </w:pPr>
      <w:bookmarkStart w:id="439" w:name="_Toc255482838"/>
      <w:bookmarkStart w:id="440" w:name="_Toc255807496"/>
      <w:bookmarkStart w:id="441" w:name="_Toc262464254"/>
      <w:bookmarkStart w:id="442" w:name="_Toc271889848"/>
      <w:r w:rsidRPr="00FD0860">
        <w:t xml:space="preserve">Table </w:t>
      </w:r>
      <w:r>
        <w:t>6.6b.  Statewide Percentage of Confined Aquifers Meeting Threshold Values</w:t>
      </w:r>
      <w:r w:rsidRPr="00FD0860">
        <w:t xml:space="preserve"> </w:t>
      </w:r>
      <w:r>
        <w:t xml:space="preserve">for Indicators </w:t>
      </w:r>
      <w:r w:rsidRPr="00FD0860">
        <w:t xml:space="preserve">Calculated Using </w:t>
      </w:r>
      <w:r>
        <w:t>Probabilistic Monitoring Design</w:t>
      </w:r>
      <w:bookmarkEnd w:id="439"/>
      <w:bookmarkEnd w:id="440"/>
      <w:bookmarkEnd w:id="441"/>
      <w:bookmarkEnd w:id="442"/>
    </w:p>
    <w:p w:rsidR="00485094" w:rsidRDefault="00485094" w:rsidP="00692F31">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Number of wells in list frame </w:t>
      </w:r>
    </w:p>
    <w:p w:rsidR="00485094" w:rsidRDefault="00485094" w:rsidP="00692F31">
      <w:pPr>
        <w:pStyle w:val="TabledescriptionBF"/>
      </w:pPr>
      <w:r>
        <w:t>This is a nine-column table.  Column 1 lists the analyte, Column 2 lists the target population, Column 3 lists the sampleable number of wells, Column 4 lists the inaccessible wells, Column 5 lists the number of samples, Column 6 lists the percent meeting the threshold, Column 7 lists the 95% confidence bounds, Column 8 lists the percent not meeting the threshold, and Column 9 lists the assessment period.</w:t>
      </w:r>
    </w:p>
    <w:p w:rsidR="00485094" w:rsidRPr="006C238F" w:rsidRDefault="00485094" w:rsidP="00692F31">
      <w:pPr>
        <w:pStyle w:val="Tableheading"/>
      </w:pPr>
    </w:p>
    <w:p w:rsidR="00485094" w:rsidRPr="006C1FA8" w:rsidRDefault="00485094" w:rsidP="00692F31">
      <w:pPr>
        <w:pStyle w:val="Bodytextreduced"/>
      </w:pPr>
      <w:r w:rsidRPr="006C1FA8">
        <w:rPr>
          <w:vertAlign w:val="superscript"/>
        </w:rPr>
        <w:t xml:space="preserve">1 </w:t>
      </w:r>
      <w:r w:rsidRPr="006C1FA8">
        <w:t>Wells in list frame</w:t>
      </w:r>
    </w:p>
    <w:p w:rsidR="00485094" w:rsidRPr="006C1FA8" w:rsidRDefault="00485094" w:rsidP="00692F31">
      <w:pPr>
        <w:pStyle w:val="Bodytextreduced"/>
      </w:pPr>
      <w:r w:rsidRPr="006C1FA8">
        <w:rPr>
          <w:vertAlign w:val="superscript"/>
        </w:rPr>
        <w:t xml:space="preserve">2 </w:t>
      </w:r>
      <w:r w:rsidRPr="006C1FA8">
        <w:t>Estimated number of wells</w:t>
      </w:r>
    </w:p>
    <w:tbl>
      <w:tblPr>
        <w:tblW w:w="1327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049"/>
        <w:gridCol w:w="1350"/>
        <w:gridCol w:w="1510"/>
        <w:gridCol w:w="1478"/>
        <w:gridCol w:w="1293"/>
        <w:gridCol w:w="1339"/>
        <w:gridCol w:w="1720"/>
        <w:gridCol w:w="1109"/>
        <w:gridCol w:w="1429"/>
      </w:tblGrid>
      <w:tr w:rsidR="00485094" w:rsidRPr="006C238F" w:rsidTr="000F2909">
        <w:trPr>
          <w:trHeight w:val="851"/>
          <w:tblHeader/>
          <w:jc w:val="center"/>
        </w:trPr>
        <w:tc>
          <w:tcPr>
            <w:tcW w:w="204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Analyte</w:t>
            </w:r>
          </w:p>
        </w:tc>
        <w:tc>
          <w:tcPr>
            <w:tcW w:w="135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Target Population</w:t>
            </w:r>
            <w:r w:rsidRPr="006C238F">
              <w:rPr>
                <w:b/>
                <w:i/>
                <w:sz w:val="20"/>
                <w:vertAlign w:val="superscript"/>
              </w:rPr>
              <w:t>1</w:t>
            </w:r>
          </w:p>
        </w:tc>
        <w:tc>
          <w:tcPr>
            <w:tcW w:w="151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Sampleabl</w:t>
            </w:r>
            <w:r>
              <w:rPr>
                <w:b/>
                <w:i/>
                <w:sz w:val="20"/>
              </w:rPr>
              <w:t>e</w:t>
            </w:r>
            <w:r w:rsidRPr="006C238F">
              <w:rPr>
                <w:b/>
                <w:i/>
                <w:sz w:val="20"/>
                <w:vertAlign w:val="superscript"/>
              </w:rPr>
              <w:t>2</w:t>
            </w:r>
          </w:p>
        </w:tc>
        <w:tc>
          <w:tcPr>
            <w:tcW w:w="1478"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Inaccessible</w:t>
            </w:r>
            <w:r w:rsidRPr="006C238F">
              <w:rPr>
                <w:b/>
                <w:i/>
                <w:sz w:val="20"/>
                <w:vertAlign w:val="superscript"/>
              </w:rPr>
              <w:t>2</w:t>
            </w:r>
          </w:p>
        </w:tc>
        <w:tc>
          <w:tcPr>
            <w:tcW w:w="1293"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Number of Samples</w:t>
            </w:r>
          </w:p>
        </w:tc>
        <w:tc>
          <w:tcPr>
            <w:tcW w:w="133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 Meeting</w:t>
            </w:r>
          </w:p>
        </w:tc>
        <w:tc>
          <w:tcPr>
            <w:tcW w:w="1720"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95%</w:t>
            </w:r>
          </w:p>
          <w:p w:rsidR="00485094" w:rsidRPr="006C238F" w:rsidRDefault="00485094" w:rsidP="00453E80">
            <w:pPr>
              <w:pStyle w:val="TableText"/>
              <w:jc w:val="center"/>
              <w:rPr>
                <w:b/>
                <w:i/>
                <w:sz w:val="20"/>
              </w:rPr>
            </w:pPr>
            <w:r w:rsidRPr="006C238F">
              <w:rPr>
                <w:b/>
                <w:i/>
                <w:sz w:val="20"/>
              </w:rPr>
              <w:t>Confidence Bounds</w:t>
            </w:r>
          </w:p>
          <w:p w:rsidR="00485094" w:rsidRPr="006C238F" w:rsidRDefault="00485094" w:rsidP="00453E80">
            <w:pPr>
              <w:pStyle w:val="TableText"/>
              <w:jc w:val="center"/>
              <w:rPr>
                <w:b/>
                <w:i/>
                <w:sz w:val="20"/>
              </w:rPr>
            </w:pPr>
            <w:r w:rsidRPr="006C238F">
              <w:rPr>
                <w:b/>
                <w:i/>
                <w:sz w:val="20"/>
              </w:rPr>
              <w:t>(% Meeting)</w:t>
            </w:r>
          </w:p>
        </w:tc>
        <w:tc>
          <w:tcPr>
            <w:tcW w:w="110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 Not Meeting</w:t>
            </w:r>
          </w:p>
        </w:tc>
        <w:tc>
          <w:tcPr>
            <w:tcW w:w="1429" w:type="dxa"/>
            <w:tcBorders>
              <w:bottom w:val="double" w:sz="4" w:space="0" w:color="auto"/>
            </w:tcBorders>
            <w:shd w:val="clear" w:color="auto" w:fill="BDFFFF"/>
            <w:vAlign w:val="bottom"/>
          </w:tcPr>
          <w:p w:rsidR="00485094" w:rsidRPr="006C238F" w:rsidRDefault="00485094" w:rsidP="00453E80">
            <w:pPr>
              <w:pStyle w:val="TableText"/>
              <w:jc w:val="center"/>
              <w:rPr>
                <w:b/>
                <w:i/>
                <w:sz w:val="20"/>
              </w:rPr>
            </w:pPr>
            <w:r w:rsidRPr="006C238F">
              <w:rPr>
                <w:b/>
                <w:i/>
                <w:sz w:val="20"/>
              </w:rPr>
              <w:t>Assessment Period</w:t>
            </w:r>
          </w:p>
        </w:tc>
      </w:tr>
      <w:tr w:rsidR="00485094" w:rsidRPr="006C238F" w:rsidTr="00453E80">
        <w:trPr>
          <w:cantSplit/>
          <w:trHeight w:val="288"/>
          <w:jc w:val="center"/>
        </w:trPr>
        <w:tc>
          <w:tcPr>
            <w:tcW w:w="204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Arsenic</w:t>
            </w:r>
          </w:p>
        </w:tc>
        <w:tc>
          <w:tcPr>
            <w:tcW w:w="135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608</w:t>
            </w:r>
          </w:p>
        </w:tc>
        <w:tc>
          <w:tcPr>
            <w:tcW w:w="133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98.5</w:t>
            </w:r>
          </w:p>
        </w:tc>
        <w:tc>
          <w:tcPr>
            <w:tcW w:w="1720"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96.9-100.0</w:t>
            </w:r>
          </w:p>
        </w:tc>
        <w:tc>
          <w:tcPr>
            <w:tcW w:w="110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1.5</w:t>
            </w:r>
          </w:p>
        </w:tc>
        <w:tc>
          <w:tcPr>
            <w:tcW w:w="1429" w:type="dxa"/>
            <w:tcBorders>
              <w:top w:val="double" w:sz="4" w:space="0" w:color="auto"/>
            </w:tcBorders>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Cadmium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628</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100.0</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100.0</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0.0</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Chromium</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628</w:t>
            </w:r>
          </w:p>
        </w:tc>
        <w:tc>
          <w:tcPr>
            <w:tcW w:w="1339" w:type="dxa"/>
            <w:vAlign w:val="center"/>
          </w:tcPr>
          <w:p w:rsidR="00485094" w:rsidRPr="006C238F" w:rsidRDefault="00485094" w:rsidP="00453E80">
            <w:pPr>
              <w:pStyle w:val="TableText"/>
              <w:jc w:val="center"/>
              <w:rPr>
                <w:sz w:val="20"/>
              </w:rPr>
            </w:pPr>
            <w:r w:rsidRPr="006C238F">
              <w:rPr>
                <w:sz w:val="20"/>
              </w:rPr>
              <w:t>100.0</w:t>
            </w:r>
          </w:p>
        </w:tc>
        <w:tc>
          <w:tcPr>
            <w:tcW w:w="1720" w:type="dxa"/>
            <w:vAlign w:val="center"/>
          </w:tcPr>
          <w:p w:rsidR="00485094" w:rsidRPr="006C238F" w:rsidRDefault="00485094" w:rsidP="00453E80">
            <w:pPr>
              <w:pStyle w:val="TableText"/>
              <w:jc w:val="center"/>
              <w:rPr>
                <w:sz w:val="20"/>
              </w:rPr>
            </w:pPr>
            <w:r w:rsidRPr="006C238F">
              <w:rPr>
                <w:sz w:val="20"/>
              </w:rPr>
              <w:t>100.0</w:t>
            </w:r>
          </w:p>
        </w:tc>
        <w:tc>
          <w:tcPr>
            <w:tcW w:w="1109" w:type="dxa"/>
            <w:vAlign w:val="center"/>
          </w:tcPr>
          <w:p w:rsidR="00485094" w:rsidRPr="006C238F" w:rsidRDefault="00485094" w:rsidP="00453E80">
            <w:pPr>
              <w:pStyle w:val="TableText"/>
              <w:jc w:val="center"/>
              <w:rPr>
                <w:sz w:val="20"/>
              </w:rPr>
            </w:pPr>
            <w:r w:rsidRPr="006C238F">
              <w:rPr>
                <w:sz w:val="20"/>
              </w:rPr>
              <w:t>0.0</w:t>
            </w:r>
          </w:p>
        </w:tc>
        <w:tc>
          <w:tcPr>
            <w:tcW w:w="1429" w:type="dxa"/>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Lead</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615</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99.4</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99.0-99.8</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0.6</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FF"/>
            <w:vAlign w:val="center"/>
          </w:tcPr>
          <w:p w:rsidR="00485094" w:rsidRPr="006C238F" w:rsidRDefault="00485094" w:rsidP="00453E80">
            <w:pPr>
              <w:pStyle w:val="TableText"/>
              <w:jc w:val="center"/>
              <w:rPr>
                <w:sz w:val="20"/>
              </w:rPr>
            </w:pPr>
            <w:r w:rsidRPr="006C238F">
              <w:rPr>
                <w:sz w:val="20"/>
              </w:rPr>
              <w:t>Nitrate-Nitrite</w:t>
            </w:r>
          </w:p>
        </w:tc>
        <w:tc>
          <w:tcPr>
            <w:tcW w:w="1350" w:type="dxa"/>
            <w:shd w:val="clear" w:color="auto" w:fill="FFFFFF"/>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FF"/>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FF"/>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FF"/>
            <w:vAlign w:val="center"/>
          </w:tcPr>
          <w:p w:rsidR="00485094" w:rsidRPr="006C238F" w:rsidRDefault="00485094" w:rsidP="00453E80">
            <w:pPr>
              <w:pStyle w:val="TableText"/>
              <w:jc w:val="center"/>
              <w:rPr>
                <w:sz w:val="20"/>
              </w:rPr>
            </w:pPr>
            <w:r w:rsidRPr="006C238F">
              <w:rPr>
                <w:sz w:val="20"/>
              </w:rPr>
              <w:t>609</w:t>
            </w:r>
          </w:p>
        </w:tc>
        <w:tc>
          <w:tcPr>
            <w:tcW w:w="1339" w:type="dxa"/>
            <w:shd w:val="clear" w:color="auto" w:fill="FFFFFF"/>
            <w:vAlign w:val="center"/>
          </w:tcPr>
          <w:p w:rsidR="00485094" w:rsidRPr="006C238F" w:rsidRDefault="00485094" w:rsidP="00453E80">
            <w:pPr>
              <w:pStyle w:val="TableText"/>
              <w:jc w:val="center"/>
              <w:rPr>
                <w:sz w:val="20"/>
              </w:rPr>
            </w:pPr>
            <w:r w:rsidRPr="006C238F">
              <w:rPr>
                <w:sz w:val="20"/>
              </w:rPr>
              <w:t>100.0</w:t>
            </w:r>
          </w:p>
        </w:tc>
        <w:tc>
          <w:tcPr>
            <w:tcW w:w="1720" w:type="dxa"/>
            <w:shd w:val="clear" w:color="auto" w:fill="FFFFFF"/>
            <w:vAlign w:val="center"/>
          </w:tcPr>
          <w:p w:rsidR="00485094" w:rsidRPr="006C238F" w:rsidRDefault="00485094" w:rsidP="00453E80">
            <w:pPr>
              <w:pStyle w:val="TableText"/>
              <w:jc w:val="center"/>
              <w:rPr>
                <w:sz w:val="20"/>
              </w:rPr>
            </w:pPr>
            <w:r w:rsidRPr="006C238F">
              <w:rPr>
                <w:sz w:val="20"/>
              </w:rPr>
              <w:t>100.0</w:t>
            </w:r>
          </w:p>
        </w:tc>
        <w:tc>
          <w:tcPr>
            <w:tcW w:w="1109" w:type="dxa"/>
            <w:shd w:val="clear" w:color="auto" w:fill="FFFFFF"/>
            <w:vAlign w:val="center"/>
          </w:tcPr>
          <w:p w:rsidR="00485094" w:rsidRPr="006C238F" w:rsidRDefault="00485094" w:rsidP="00453E80">
            <w:pPr>
              <w:pStyle w:val="TableText"/>
              <w:jc w:val="center"/>
              <w:rPr>
                <w:sz w:val="20"/>
              </w:rPr>
            </w:pPr>
            <w:r w:rsidRPr="006C238F">
              <w:rPr>
                <w:sz w:val="20"/>
              </w:rPr>
              <w:t>0.0</w:t>
            </w:r>
          </w:p>
        </w:tc>
        <w:tc>
          <w:tcPr>
            <w:tcW w:w="1429" w:type="dxa"/>
            <w:shd w:val="clear" w:color="auto" w:fill="FFFFFF"/>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Sodium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628</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94.9</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93.7-96.2</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5.1</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Fluoride</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627</w:t>
            </w:r>
          </w:p>
        </w:tc>
        <w:tc>
          <w:tcPr>
            <w:tcW w:w="1339" w:type="dxa"/>
            <w:vAlign w:val="center"/>
          </w:tcPr>
          <w:p w:rsidR="00485094" w:rsidRPr="006C238F" w:rsidRDefault="00485094" w:rsidP="00453E80">
            <w:pPr>
              <w:pStyle w:val="TableText"/>
              <w:jc w:val="center"/>
              <w:rPr>
                <w:sz w:val="20"/>
              </w:rPr>
            </w:pPr>
            <w:r w:rsidRPr="006C238F">
              <w:rPr>
                <w:sz w:val="20"/>
              </w:rPr>
              <w:t>100.0</w:t>
            </w:r>
          </w:p>
        </w:tc>
        <w:tc>
          <w:tcPr>
            <w:tcW w:w="1720" w:type="dxa"/>
            <w:vAlign w:val="center"/>
          </w:tcPr>
          <w:p w:rsidR="00485094" w:rsidRPr="006C238F" w:rsidRDefault="00485094" w:rsidP="00453E80">
            <w:pPr>
              <w:pStyle w:val="TableText"/>
              <w:jc w:val="center"/>
              <w:rPr>
                <w:sz w:val="20"/>
              </w:rPr>
            </w:pPr>
            <w:r w:rsidRPr="006C238F">
              <w:rPr>
                <w:sz w:val="20"/>
              </w:rPr>
              <w:t>99.9-100.0</w:t>
            </w:r>
          </w:p>
        </w:tc>
        <w:tc>
          <w:tcPr>
            <w:tcW w:w="1109" w:type="dxa"/>
            <w:vAlign w:val="center"/>
          </w:tcPr>
          <w:p w:rsidR="00485094" w:rsidRPr="006C238F" w:rsidRDefault="00485094" w:rsidP="00453E80">
            <w:pPr>
              <w:pStyle w:val="TableText"/>
              <w:jc w:val="center"/>
              <w:rPr>
                <w:sz w:val="20"/>
              </w:rPr>
            </w:pPr>
            <w:r w:rsidRPr="006C238F">
              <w:rPr>
                <w:sz w:val="20"/>
              </w:rPr>
              <w:t>0.0</w:t>
            </w:r>
          </w:p>
        </w:tc>
        <w:tc>
          <w:tcPr>
            <w:tcW w:w="1429" w:type="dxa"/>
            <w:vAlign w:val="center"/>
          </w:tcPr>
          <w:p w:rsidR="00485094" w:rsidRPr="006C238F" w:rsidRDefault="00485094" w:rsidP="00453E80">
            <w:pPr>
              <w:pStyle w:val="TableText"/>
              <w:jc w:val="center"/>
              <w:rPr>
                <w:sz w:val="20"/>
              </w:rPr>
            </w:pPr>
            <w:r w:rsidRPr="006C238F">
              <w:rPr>
                <w:sz w:val="20"/>
              </w:rPr>
              <w:t>2004-08</w:t>
            </w:r>
          </w:p>
        </w:tc>
      </w:tr>
      <w:tr w:rsidR="00485094" w:rsidRPr="006C238F" w:rsidTr="00453E80">
        <w:trPr>
          <w:cantSplit/>
          <w:trHeight w:val="288"/>
          <w:jc w:val="center"/>
        </w:trPr>
        <w:tc>
          <w:tcPr>
            <w:tcW w:w="2049" w:type="dxa"/>
            <w:shd w:val="clear" w:color="auto" w:fill="FFFFCC"/>
            <w:vAlign w:val="center"/>
          </w:tcPr>
          <w:p w:rsidR="00485094" w:rsidRPr="006C238F" w:rsidRDefault="00485094" w:rsidP="00453E80">
            <w:pPr>
              <w:pStyle w:val="TableText"/>
              <w:jc w:val="center"/>
              <w:rPr>
                <w:sz w:val="20"/>
              </w:rPr>
            </w:pPr>
            <w:r w:rsidRPr="006C238F">
              <w:rPr>
                <w:sz w:val="20"/>
              </w:rPr>
              <w:t>Fecal Coliform</w:t>
            </w:r>
          </w:p>
        </w:tc>
        <w:tc>
          <w:tcPr>
            <w:tcW w:w="1350" w:type="dxa"/>
            <w:shd w:val="clear" w:color="auto" w:fill="FFFFCC"/>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shd w:val="clear" w:color="auto" w:fill="FFFFCC"/>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shd w:val="clear" w:color="auto" w:fill="FFFFCC"/>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shd w:val="clear" w:color="auto" w:fill="FFFFCC"/>
            <w:vAlign w:val="center"/>
          </w:tcPr>
          <w:p w:rsidR="00485094" w:rsidRPr="006C238F" w:rsidRDefault="00485094" w:rsidP="00453E80">
            <w:pPr>
              <w:pStyle w:val="TableText"/>
              <w:jc w:val="center"/>
              <w:rPr>
                <w:sz w:val="20"/>
              </w:rPr>
            </w:pPr>
            <w:r w:rsidRPr="006C238F">
              <w:rPr>
                <w:sz w:val="20"/>
              </w:rPr>
              <w:t>622</w:t>
            </w:r>
          </w:p>
        </w:tc>
        <w:tc>
          <w:tcPr>
            <w:tcW w:w="1339" w:type="dxa"/>
            <w:shd w:val="clear" w:color="auto" w:fill="FFFFCC"/>
            <w:vAlign w:val="center"/>
          </w:tcPr>
          <w:p w:rsidR="00485094" w:rsidRPr="006C238F" w:rsidRDefault="00485094" w:rsidP="00453E80">
            <w:pPr>
              <w:pStyle w:val="TableText"/>
              <w:jc w:val="center"/>
              <w:rPr>
                <w:sz w:val="20"/>
              </w:rPr>
            </w:pPr>
            <w:r w:rsidRPr="006C238F">
              <w:rPr>
                <w:sz w:val="20"/>
              </w:rPr>
              <w:t>98.7</w:t>
            </w:r>
          </w:p>
        </w:tc>
        <w:tc>
          <w:tcPr>
            <w:tcW w:w="1720" w:type="dxa"/>
            <w:shd w:val="clear" w:color="auto" w:fill="FFFFCC"/>
            <w:vAlign w:val="center"/>
          </w:tcPr>
          <w:p w:rsidR="00485094" w:rsidRPr="006C238F" w:rsidRDefault="00485094" w:rsidP="00453E80">
            <w:pPr>
              <w:pStyle w:val="TableText"/>
              <w:jc w:val="center"/>
              <w:rPr>
                <w:sz w:val="20"/>
              </w:rPr>
            </w:pPr>
            <w:r w:rsidRPr="006C238F">
              <w:rPr>
                <w:sz w:val="20"/>
              </w:rPr>
              <w:t>97.5-99.8</w:t>
            </w:r>
          </w:p>
        </w:tc>
        <w:tc>
          <w:tcPr>
            <w:tcW w:w="1109" w:type="dxa"/>
            <w:shd w:val="clear" w:color="auto" w:fill="FFFFCC"/>
            <w:vAlign w:val="center"/>
          </w:tcPr>
          <w:p w:rsidR="00485094" w:rsidRPr="006C238F" w:rsidRDefault="00485094" w:rsidP="00453E80">
            <w:pPr>
              <w:pStyle w:val="TableText"/>
              <w:jc w:val="center"/>
              <w:rPr>
                <w:sz w:val="20"/>
              </w:rPr>
            </w:pPr>
            <w:r w:rsidRPr="006C238F">
              <w:rPr>
                <w:sz w:val="20"/>
              </w:rPr>
              <w:t>1.3</w:t>
            </w:r>
          </w:p>
        </w:tc>
        <w:tc>
          <w:tcPr>
            <w:tcW w:w="1429" w:type="dxa"/>
            <w:shd w:val="clear" w:color="auto" w:fill="FFFFCC"/>
            <w:vAlign w:val="center"/>
          </w:tcPr>
          <w:p w:rsidR="00485094" w:rsidRPr="006C238F" w:rsidRDefault="00485094" w:rsidP="00453E80">
            <w:pPr>
              <w:pStyle w:val="TableText"/>
              <w:jc w:val="center"/>
              <w:rPr>
                <w:sz w:val="20"/>
              </w:rPr>
            </w:pPr>
            <w:r w:rsidRPr="006C238F">
              <w:rPr>
                <w:sz w:val="20"/>
              </w:rPr>
              <w:t>2004-2008</w:t>
            </w:r>
          </w:p>
        </w:tc>
      </w:tr>
      <w:tr w:rsidR="00485094" w:rsidRPr="006C238F" w:rsidTr="00453E80">
        <w:trPr>
          <w:cantSplit/>
          <w:trHeight w:val="288"/>
          <w:jc w:val="center"/>
        </w:trPr>
        <w:tc>
          <w:tcPr>
            <w:tcW w:w="2049" w:type="dxa"/>
            <w:vAlign w:val="center"/>
          </w:tcPr>
          <w:p w:rsidR="00485094" w:rsidRPr="006C238F" w:rsidRDefault="00485094" w:rsidP="00453E80">
            <w:pPr>
              <w:pStyle w:val="TableText"/>
              <w:jc w:val="center"/>
              <w:rPr>
                <w:sz w:val="20"/>
              </w:rPr>
            </w:pPr>
            <w:r w:rsidRPr="006C238F">
              <w:rPr>
                <w:sz w:val="20"/>
              </w:rPr>
              <w:t>Total Coliform</w:t>
            </w:r>
          </w:p>
        </w:tc>
        <w:tc>
          <w:tcPr>
            <w:tcW w:w="1350" w:type="dxa"/>
            <w:vAlign w:val="center"/>
          </w:tcPr>
          <w:p w:rsidR="00485094" w:rsidRPr="006C238F" w:rsidRDefault="00485094" w:rsidP="00453E80">
            <w:pPr>
              <w:pStyle w:val="TableText"/>
              <w:jc w:val="center"/>
              <w:rPr>
                <w:sz w:val="20"/>
              </w:rPr>
            </w:pPr>
            <w:r w:rsidRPr="006C238F">
              <w:rPr>
                <w:sz w:val="20"/>
              </w:rPr>
              <w:t>6</w:t>
            </w:r>
            <w:r>
              <w:rPr>
                <w:sz w:val="20"/>
              </w:rPr>
              <w:t>,</w:t>
            </w:r>
            <w:r w:rsidRPr="006C238F">
              <w:rPr>
                <w:sz w:val="20"/>
              </w:rPr>
              <w:t>355</w:t>
            </w:r>
          </w:p>
        </w:tc>
        <w:tc>
          <w:tcPr>
            <w:tcW w:w="1510" w:type="dxa"/>
            <w:vAlign w:val="center"/>
          </w:tcPr>
          <w:p w:rsidR="00485094" w:rsidRPr="006C238F" w:rsidRDefault="00485094" w:rsidP="00453E80">
            <w:pPr>
              <w:pStyle w:val="TableText"/>
              <w:jc w:val="center"/>
              <w:rPr>
                <w:sz w:val="20"/>
              </w:rPr>
            </w:pPr>
            <w:r w:rsidRPr="006C238F">
              <w:rPr>
                <w:sz w:val="20"/>
              </w:rPr>
              <w:t>3</w:t>
            </w:r>
            <w:r>
              <w:rPr>
                <w:sz w:val="20"/>
              </w:rPr>
              <w:t>,</w:t>
            </w:r>
            <w:r w:rsidRPr="006C238F">
              <w:rPr>
                <w:sz w:val="20"/>
              </w:rPr>
              <w:t>439</w:t>
            </w:r>
          </w:p>
        </w:tc>
        <w:tc>
          <w:tcPr>
            <w:tcW w:w="1478" w:type="dxa"/>
            <w:vAlign w:val="center"/>
          </w:tcPr>
          <w:p w:rsidR="00485094" w:rsidRPr="006C238F" w:rsidRDefault="00485094" w:rsidP="00453E80">
            <w:pPr>
              <w:pStyle w:val="TableText"/>
              <w:jc w:val="center"/>
              <w:rPr>
                <w:sz w:val="20"/>
              </w:rPr>
            </w:pPr>
            <w:r w:rsidRPr="006C238F">
              <w:rPr>
                <w:sz w:val="20"/>
              </w:rPr>
              <w:t>2</w:t>
            </w:r>
            <w:r>
              <w:rPr>
                <w:sz w:val="20"/>
              </w:rPr>
              <w:t>,</w:t>
            </w:r>
            <w:r w:rsidRPr="006C238F">
              <w:rPr>
                <w:sz w:val="20"/>
              </w:rPr>
              <w:t>916</w:t>
            </w:r>
          </w:p>
        </w:tc>
        <w:tc>
          <w:tcPr>
            <w:tcW w:w="1293" w:type="dxa"/>
            <w:vAlign w:val="center"/>
          </w:tcPr>
          <w:p w:rsidR="00485094" w:rsidRPr="006C238F" w:rsidRDefault="00485094" w:rsidP="00453E80">
            <w:pPr>
              <w:pStyle w:val="TableText"/>
              <w:jc w:val="center"/>
              <w:rPr>
                <w:sz w:val="20"/>
              </w:rPr>
            </w:pPr>
            <w:r w:rsidRPr="006C238F">
              <w:rPr>
                <w:sz w:val="20"/>
              </w:rPr>
              <w:t>606</w:t>
            </w:r>
          </w:p>
        </w:tc>
        <w:tc>
          <w:tcPr>
            <w:tcW w:w="1339" w:type="dxa"/>
            <w:vAlign w:val="center"/>
          </w:tcPr>
          <w:p w:rsidR="00485094" w:rsidRPr="006C238F" w:rsidRDefault="00485094" w:rsidP="00453E80">
            <w:pPr>
              <w:pStyle w:val="TableText"/>
              <w:jc w:val="center"/>
              <w:rPr>
                <w:sz w:val="20"/>
              </w:rPr>
            </w:pPr>
            <w:r w:rsidRPr="006C238F">
              <w:rPr>
                <w:sz w:val="20"/>
              </w:rPr>
              <w:t>90.0</w:t>
            </w:r>
          </w:p>
        </w:tc>
        <w:tc>
          <w:tcPr>
            <w:tcW w:w="1720" w:type="dxa"/>
            <w:vAlign w:val="center"/>
          </w:tcPr>
          <w:p w:rsidR="00485094" w:rsidRPr="006C238F" w:rsidRDefault="00485094" w:rsidP="00453E80">
            <w:pPr>
              <w:pStyle w:val="TableText"/>
              <w:jc w:val="center"/>
              <w:rPr>
                <w:sz w:val="20"/>
              </w:rPr>
            </w:pPr>
            <w:r w:rsidRPr="006C238F">
              <w:rPr>
                <w:sz w:val="20"/>
              </w:rPr>
              <w:t>85.6-94.4</w:t>
            </w:r>
          </w:p>
        </w:tc>
        <w:tc>
          <w:tcPr>
            <w:tcW w:w="1109" w:type="dxa"/>
            <w:vAlign w:val="center"/>
          </w:tcPr>
          <w:p w:rsidR="00485094" w:rsidRPr="006C238F" w:rsidRDefault="00485094" w:rsidP="00453E80">
            <w:pPr>
              <w:pStyle w:val="TableText"/>
              <w:jc w:val="center"/>
              <w:rPr>
                <w:sz w:val="20"/>
              </w:rPr>
            </w:pPr>
            <w:r w:rsidRPr="006C238F">
              <w:rPr>
                <w:sz w:val="20"/>
              </w:rPr>
              <w:t>10.0</w:t>
            </w:r>
          </w:p>
        </w:tc>
        <w:tc>
          <w:tcPr>
            <w:tcW w:w="1429" w:type="dxa"/>
            <w:vAlign w:val="center"/>
          </w:tcPr>
          <w:p w:rsidR="00485094" w:rsidRPr="006C238F" w:rsidRDefault="00485094" w:rsidP="00453E80">
            <w:pPr>
              <w:pStyle w:val="TableText"/>
              <w:jc w:val="center"/>
              <w:rPr>
                <w:sz w:val="20"/>
              </w:rPr>
            </w:pPr>
            <w:r w:rsidRPr="006C238F">
              <w:rPr>
                <w:sz w:val="20"/>
              </w:rPr>
              <w:t>2004-08</w:t>
            </w:r>
          </w:p>
        </w:tc>
      </w:tr>
    </w:tbl>
    <w:p w:rsidR="00485094" w:rsidRDefault="00485094" w:rsidP="00692F31">
      <w:pPr>
        <w:pStyle w:val="Bodytext"/>
      </w:pPr>
    </w:p>
    <w:p w:rsidR="00485094" w:rsidRPr="00F30218" w:rsidRDefault="00485094" w:rsidP="00692F31">
      <w:pPr>
        <w:pStyle w:val="Bodytext"/>
        <w:rPr>
          <w:b/>
        </w:rPr>
      </w:pPr>
      <w:r w:rsidRPr="00F30218">
        <w:rPr>
          <w:b/>
        </w:rPr>
        <w:t>Highlights:  Confined Aquifers</w:t>
      </w:r>
    </w:p>
    <w:p w:rsidR="00485094" w:rsidRDefault="00485094" w:rsidP="00692F31">
      <w:pPr>
        <w:pStyle w:val="ListBullet"/>
      </w:pPr>
      <w:r>
        <w:t xml:space="preserve">No confined aquifer wells in the Lake Worth Lagoon–Palm Beach Coast and Florida Keys Basins fit the definition of the target population.  </w:t>
      </w:r>
    </w:p>
    <w:p w:rsidR="00485094" w:rsidRDefault="00485094" w:rsidP="00692F31">
      <w:pPr>
        <w:pStyle w:val="ListBullet"/>
      </w:pPr>
      <w:r>
        <w:t>Statewide, t</w:t>
      </w:r>
      <w:r w:rsidRPr="006C238F">
        <w:t>otal coliform, fecal coliform, sodium, arsenic</w:t>
      </w:r>
      <w:r>
        <w:t>,</w:t>
      </w:r>
      <w:r w:rsidRPr="006C238F">
        <w:t xml:space="preserve"> and lead do not fully meet their target threshold</w:t>
      </w:r>
      <w:r>
        <w:t>s</w:t>
      </w:r>
      <w:r w:rsidRPr="006C238F">
        <w:t xml:space="preserve">.  </w:t>
      </w:r>
    </w:p>
    <w:p w:rsidR="00485094" w:rsidRPr="006C238F" w:rsidRDefault="00485094" w:rsidP="00692F31">
      <w:pPr>
        <w:pStyle w:val="ListBullet"/>
      </w:pPr>
      <w:r w:rsidRPr="006C238F">
        <w:t xml:space="preserve">10% of the state’s sampled wells exceeded the potable water </w:t>
      </w:r>
      <w:r>
        <w:t>threshold</w:t>
      </w:r>
      <w:r w:rsidRPr="006C238F">
        <w:t xml:space="preserve"> for total coliform</w:t>
      </w:r>
      <w:r>
        <w:t xml:space="preserve"> (</w:t>
      </w:r>
      <w:r>
        <w:rPr>
          <w:rFonts w:cs="Arial"/>
        </w:rPr>
        <w:t>≤</w:t>
      </w:r>
      <w:r>
        <w:t xml:space="preserve">4 </w:t>
      </w:r>
      <w:r w:rsidRPr="003B37D3">
        <w:rPr>
          <w:rFonts w:cs="Arial"/>
        </w:rPr>
        <w:t>colonies/100mL</w:t>
      </w:r>
      <w:r>
        <w:rPr>
          <w:rFonts w:cs="Arial"/>
        </w:rPr>
        <w:t>)</w:t>
      </w:r>
      <w:r w:rsidRPr="006C238F">
        <w:t>.</w:t>
      </w:r>
      <w:r>
        <w:t xml:space="preserve">  </w:t>
      </w:r>
      <w:r w:rsidRPr="006C238F">
        <w:t>Of the 29 basins (</w:t>
      </w:r>
      <w:r w:rsidRPr="006C1FA8">
        <w:rPr>
          <w:b/>
          <w:sz w:val="20"/>
        </w:rPr>
        <w:t xml:space="preserve">Appendix </w:t>
      </w:r>
      <w:r>
        <w:rPr>
          <w:b/>
          <w:sz w:val="20"/>
        </w:rPr>
        <w:t>C</w:t>
      </w:r>
      <w:r w:rsidRPr="006C238F">
        <w:t>), Caloosahatchee and Tampa Bay Tributar</w:t>
      </w:r>
      <w:r>
        <w:t>ies</w:t>
      </w:r>
      <w:r w:rsidRPr="006C238F">
        <w:t xml:space="preserve"> had the highest exceedance rates, </w:t>
      </w:r>
      <w:r>
        <w:t xml:space="preserve">at </w:t>
      </w:r>
      <w:r w:rsidRPr="006C238F">
        <w:t>53.3% and 30.4%, respectively, for total coliform.  In addition, 1.3% of the state’s wells exceeded the threshold for fecal coliform</w:t>
      </w:r>
      <w:r>
        <w:t xml:space="preserve"> (</w:t>
      </w:r>
      <w:r>
        <w:rPr>
          <w:rFonts w:cs="Arial"/>
        </w:rPr>
        <w:t>&lt;2</w:t>
      </w:r>
      <w:r>
        <w:t xml:space="preserve"> </w:t>
      </w:r>
      <w:r w:rsidRPr="003B37D3">
        <w:rPr>
          <w:rFonts w:cs="Arial"/>
        </w:rPr>
        <w:t>colonies/100mL</w:t>
      </w:r>
      <w:r>
        <w:rPr>
          <w:rFonts w:cs="Arial"/>
        </w:rPr>
        <w:t>)</w:t>
      </w:r>
      <w:r w:rsidRPr="006C238F">
        <w:t xml:space="preserve">.  Wells in the Middle St. Johns and Tampa Bay </w:t>
      </w:r>
      <w:r>
        <w:t>B</w:t>
      </w:r>
      <w:r w:rsidRPr="006C238F">
        <w:t xml:space="preserve">asins had the highest exceedance levels of fecal coliform at </w:t>
      </w:r>
      <w:r>
        <w:t>10.3% and 7.1%, respectively.  The d</w:t>
      </w:r>
      <w:r w:rsidRPr="006C238F">
        <w:t xml:space="preserve">etection of coliform in a confined well may be an indicator of aquifer contamination or may indicate problems with well construction or maintenance.  </w:t>
      </w:r>
    </w:p>
    <w:p w:rsidR="00485094" w:rsidRPr="006C238F" w:rsidRDefault="00485094" w:rsidP="00692F31">
      <w:pPr>
        <w:pStyle w:val="ListBullet"/>
      </w:pPr>
      <w:r w:rsidRPr="006C238F">
        <w:lastRenderedPageBreak/>
        <w:t>Statewide, 5% of the sampled wells exceeded the ground</w:t>
      </w:r>
      <w:r>
        <w:t xml:space="preserve"> </w:t>
      </w:r>
      <w:r w:rsidRPr="006C238F">
        <w:t xml:space="preserve">water </w:t>
      </w:r>
      <w:r>
        <w:t>threshold</w:t>
      </w:r>
      <w:r w:rsidRPr="006C238F">
        <w:t xml:space="preserve"> for so</w:t>
      </w:r>
      <w:r>
        <w:t>dium (</w:t>
      </w:r>
      <w:r>
        <w:rPr>
          <w:rFonts w:cs="Arial"/>
        </w:rPr>
        <w:t>≤</w:t>
      </w:r>
      <w:r>
        <w:t>160 mg/L), an ion used to track salt</w:t>
      </w:r>
      <w:r w:rsidRPr="006C238F">
        <w:t xml:space="preserve">water encroachment.  The highest percentages of confined aquifer wells that exceeded sodium </w:t>
      </w:r>
      <w:r>
        <w:t>threshold</w:t>
      </w:r>
      <w:r w:rsidRPr="006C238F">
        <w:t>s were in the St Lucie</w:t>
      </w:r>
      <w:r>
        <w:t>–</w:t>
      </w:r>
      <w:r w:rsidRPr="006C238F">
        <w:t>Loxahatchee (66.7%) and Charlotte Harbor (50.0%)</w:t>
      </w:r>
      <w:r>
        <w:t xml:space="preserve"> B</w:t>
      </w:r>
      <w:r w:rsidRPr="006C238F">
        <w:t xml:space="preserve">asins.  Some of these aquifers may be naturally elevated in sodium; other aquifers are susceptible to </w:t>
      </w:r>
      <w:r>
        <w:t xml:space="preserve">the </w:t>
      </w:r>
      <w:r w:rsidRPr="006C238F">
        <w:t>upconing of mineralized ground water from deeper aquifers or to s</w:t>
      </w:r>
      <w:r>
        <w:t>alt</w:t>
      </w:r>
      <w:r w:rsidRPr="006C238F">
        <w:t xml:space="preserve">water intrusion resulting from overpumping. </w:t>
      </w:r>
    </w:p>
    <w:p w:rsidR="00485094" w:rsidRDefault="00485094" w:rsidP="00692F31">
      <w:pPr>
        <w:pStyle w:val="ListBullet"/>
      </w:pPr>
      <w:r w:rsidRPr="006C238F">
        <w:t>Overall, 1.5% of sampled wells exce</w:t>
      </w:r>
      <w:r>
        <w:t>eded the state threshold</w:t>
      </w:r>
      <w:r w:rsidRPr="006C238F">
        <w:t xml:space="preserve"> for arsenic</w:t>
      </w:r>
      <w:r>
        <w:t xml:space="preserve"> (</w:t>
      </w:r>
      <w:r>
        <w:rPr>
          <w:rFonts w:cs="Arial"/>
        </w:rPr>
        <w:t>≤</w:t>
      </w:r>
      <w:r>
        <w:t xml:space="preserve">10 </w:t>
      </w:r>
      <w:r>
        <w:rPr>
          <w:rFonts w:cs="Arial"/>
        </w:rPr>
        <w:t>µ</w:t>
      </w:r>
      <w:r>
        <w:t>g/L)</w:t>
      </w:r>
      <w:r w:rsidRPr="006C238F">
        <w:t xml:space="preserve">, and 0.6% exceeded the state </w:t>
      </w:r>
      <w:r>
        <w:t>threshold</w:t>
      </w:r>
      <w:r w:rsidRPr="006C238F">
        <w:t xml:space="preserve"> for lead, both of which are monitored to protect human health.  The Springs Coast has the highest number of arsenic exceedances at 13.3%.  As a result, this basin and the adjacent Tampa Bay Tributaries </w:t>
      </w:r>
      <w:r>
        <w:t>B</w:t>
      </w:r>
      <w:r w:rsidRPr="006C238F">
        <w:t xml:space="preserve">asin are the focus of a current investigation and modeling effort to determine naturally occurring versus anthropogenically elevated arsenic concentrations.  Recent studies (Arthur, Dabous, </w:t>
      </w:r>
      <w:r>
        <w:t>and</w:t>
      </w:r>
      <w:r w:rsidRPr="006C238F">
        <w:t xml:space="preserve"> Cowart, 2002; Jones </w:t>
      </w:r>
      <w:r>
        <w:t>and</w:t>
      </w:r>
      <w:r w:rsidRPr="006C238F">
        <w:t xml:space="preserve"> Pichler, 2007) have indicated that arsenic may be released by exposing arsenic-bearing aquifer rock to air or water, thus contributing to elevated arsenic.  The Everglades</w:t>
      </w:r>
      <w:r>
        <w:t>–</w:t>
      </w:r>
      <w:r w:rsidRPr="006C238F">
        <w:t xml:space="preserve">West Coast </w:t>
      </w:r>
      <w:r>
        <w:t>B</w:t>
      </w:r>
      <w:r w:rsidRPr="006C238F">
        <w:t>asin had the highest exceedance rate for lead (25.5%), potentially attributable to well casing material or lead weights lost during water</w:t>
      </w:r>
      <w:r>
        <w:t>-</w:t>
      </w:r>
      <w:r w:rsidRPr="006C238F">
        <w:t xml:space="preserve">level determinations. </w:t>
      </w:r>
    </w:p>
    <w:p w:rsidR="00485094" w:rsidRPr="006C238F" w:rsidRDefault="00485094" w:rsidP="00692F31">
      <w:pPr>
        <w:pStyle w:val="Bodytext"/>
      </w:pPr>
    </w:p>
    <w:p w:rsidR="00485094" w:rsidRDefault="00485094" w:rsidP="00692F31">
      <w:pPr>
        <w:rPr>
          <w:rFonts w:ascii="Arial" w:hAnsi="Arial" w:cs="Arial"/>
          <w:b/>
          <w:u w:val="single"/>
        </w:rPr>
        <w:sectPr w:rsidR="00485094" w:rsidSect="003B37D3">
          <w:pgSz w:w="15840" w:h="12240" w:orient="landscape"/>
          <w:pgMar w:top="1440" w:right="1440" w:bottom="1440" w:left="1440" w:header="720" w:footer="720" w:gutter="0"/>
          <w:cols w:space="720"/>
          <w:docGrid w:linePitch="360"/>
        </w:sectPr>
      </w:pPr>
    </w:p>
    <w:p w:rsidR="00485094" w:rsidRPr="00491133" w:rsidRDefault="00485094" w:rsidP="00692F31">
      <w:pPr>
        <w:pStyle w:val="Caption"/>
        <w:rPr>
          <w:bCs/>
        </w:rPr>
      </w:pPr>
      <w:bookmarkStart w:id="443" w:name="_Toc262464306"/>
      <w:bookmarkStart w:id="444" w:name="_Toc271280158"/>
      <w:r w:rsidRPr="00491133">
        <w:lastRenderedPageBreak/>
        <w:t xml:space="preserve">Figure </w:t>
      </w:r>
      <w:r>
        <w:t>6.13.  Statewide Unconfined Aquifer Well Locations by Basin</w:t>
      </w:r>
      <w:bookmarkEnd w:id="443"/>
      <w:bookmarkEnd w:id="444"/>
    </w:p>
    <w:p w:rsidR="00485094" w:rsidRDefault="00485094" w:rsidP="00692F31">
      <w:pPr>
        <w:pStyle w:val="Bodytext"/>
        <w:rPr>
          <w:szCs w:val="22"/>
        </w:rPr>
      </w:pPr>
    </w:p>
    <w:p w:rsidR="00485094" w:rsidRDefault="001717CD" w:rsidP="00692F31">
      <w:pPr>
        <w:jc w:val="center"/>
        <w:rPr>
          <w:rFonts w:ascii="Arial" w:hAnsi="Arial" w:cs="Arial"/>
          <w:sz w:val="22"/>
          <w:szCs w:val="22"/>
        </w:rPr>
      </w:pPr>
      <w:r>
        <w:rPr>
          <w:rFonts w:ascii="Arial" w:hAnsi="Arial" w:cs="Arial"/>
          <w:noProof/>
          <w:sz w:val="22"/>
          <w:szCs w:val="22"/>
        </w:rPr>
        <w:drawing>
          <wp:inline distT="0" distB="0" distL="0" distR="0">
            <wp:extent cx="5115560" cy="5891530"/>
            <wp:effectExtent l="19050" t="0" r="8890" b="0"/>
            <wp:docPr id="9" name="Picture 4" descr="Figure 6.13.  Statewide Unconfined Aquifer Well Locations by Basin.  This is a map of the state of Florida divided into the 29 basins showing the locations where unconfined aquifer well samples were coll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13.  Statewide Unconfined Aquifer Well Locations by Basin"/>
                    <pic:cNvPicPr>
                      <a:picLocks noChangeAspect="1" noChangeArrowheads="1"/>
                    </pic:cNvPicPr>
                  </pic:nvPicPr>
                  <pic:blipFill>
                    <a:blip r:embed="rId94"/>
                    <a:srcRect/>
                    <a:stretch>
                      <a:fillRect/>
                    </a:stretch>
                  </pic:blipFill>
                  <pic:spPr bwMode="auto">
                    <a:xfrm>
                      <a:off x="0" y="0"/>
                      <a:ext cx="5115560" cy="589153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445" w:name="_Toc262464307"/>
      <w:bookmarkStart w:id="446" w:name="_Toc271280159"/>
      <w:r w:rsidRPr="00D4559E">
        <w:lastRenderedPageBreak/>
        <w:t xml:space="preserve">Figure </w:t>
      </w:r>
      <w:r>
        <w:t xml:space="preserve">6.14.  </w:t>
      </w:r>
      <w:r w:rsidRPr="00D4559E">
        <w:t>Statewide Summary of Unconfined Aquifer Results</w:t>
      </w:r>
      <w:bookmarkEnd w:id="445"/>
      <w:bookmarkEnd w:id="446"/>
    </w:p>
    <w:p w:rsidR="00485094" w:rsidRPr="006C1FA8" w:rsidRDefault="00485094" w:rsidP="00692F31">
      <w:pPr>
        <w:rPr>
          <w:rFonts w:ascii="Arial" w:hAnsi="Arial" w:cs="Arial"/>
          <w:i/>
          <w:sz w:val="20"/>
          <w:szCs w:val="20"/>
        </w:rPr>
      </w:pPr>
    </w:p>
    <w:p w:rsidR="00485094" w:rsidRDefault="001717CD" w:rsidP="00692F31">
      <w:pPr>
        <w:jc w:val="center"/>
        <w:rPr>
          <w:rFonts w:ascii="Arial" w:hAnsi="Arial" w:cs="Arial"/>
          <w:b/>
          <w:u w:val="single"/>
        </w:rPr>
        <w:sectPr w:rsidR="00485094" w:rsidSect="003B37D3">
          <w:type w:val="continuous"/>
          <w:pgSz w:w="12240" w:h="15840"/>
          <w:pgMar w:top="1440" w:right="1440" w:bottom="1440" w:left="1440" w:header="720" w:footer="720" w:gutter="0"/>
          <w:cols w:space="720"/>
          <w:docGrid w:linePitch="360"/>
        </w:sectPr>
      </w:pPr>
      <w:r>
        <w:rPr>
          <w:noProof/>
        </w:rPr>
        <w:drawing>
          <wp:inline distT="0" distB="0" distL="0" distR="0">
            <wp:extent cx="5426075" cy="5943600"/>
            <wp:effectExtent l="19050" t="0" r="3175" b="0"/>
            <wp:docPr id="10" name="Picture 7" descr="Figure 6.14.  Statewide Summary of Unconfined Aquifer Results.  This graphic shows statewide results in pie chart format for the unconfined aquifer indicators.  The results follow in Table 6.6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14.  Statewide Summary of Unconfined Aquifer Results"/>
                    <pic:cNvPicPr>
                      <a:picLocks noChangeAspect="1" noChangeArrowheads="1"/>
                    </pic:cNvPicPr>
                  </pic:nvPicPr>
                  <pic:blipFill>
                    <a:blip r:embed="rId95"/>
                    <a:srcRect/>
                    <a:stretch>
                      <a:fillRect/>
                    </a:stretch>
                  </pic:blipFill>
                  <pic:spPr bwMode="auto">
                    <a:xfrm>
                      <a:off x="0" y="0"/>
                      <a:ext cx="5426075" cy="5943600"/>
                    </a:xfrm>
                    <a:prstGeom prst="rect">
                      <a:avLst/>
                    </a:prstGeom>
                    <a:noFill/>
                    <a:ln w="9525">
                      <a:noFill/>
                      <a:miter lim="800000"/>
                      <a:headEnd/>
                      <a:tailEnd/>
                    </a:ln>
                  </pic:spPr>
                </pic:pic>
              </a:graphicData>
            </a:graphic>
          </wp:inline>
        </w:drawing>
      </w:r>
    </w:p>
    <w:p w:rsidR="00485094" w:rsidRPr="00111A18" w:rsidRDefault="00485094" w:rsidP="00692F31">
      <w:pPr>
        <w:pStyle w:val="TableText"/>
        <w:ind w:left="360"/>
        <w:rPr>
          <w:sz w:val="16"/>
          <w:szCs w:val="16"/>
        </w:rPr>
      </w:pPr>
      <w:bookmarkStart w:id="447" w:name="_Toc255482839"/>
    </w:p>
    <w:p w:rsidR="00485094" w:rsidRPr="006C1FA8" w:rsidRDefault="00485094" w:rsidP="00692F31">
      <w:pPr>
        <w:pStyle w:val="Tableheading"/>
      </w:pPr>
      <w:bookmarkStart w:id="448" w:name="_Toc255807497"/>
      <w:bookmarkStart w:id="449" w:name="_Toc262464255"/>
      <w:bookmarkStart w:id="450" w:name="_Toc271889849"/>
      <w:r w:rsidRPr="006C1FA8">
        <w:t xml:space="preserve">Table </w:t>
      </w:r>
      <w:r>
        <w:t>6.6</w:t>
      </w:r>
      <w:r w:rsidRPr="006C1FA8">
        <w:t>c.  Statewide Percentage of Unconfined Aquifers Meeting Threshold Values for Indicators Calculated Using Probabilistic Monitoring Design</w:t>
      </w:r>
      <w:bookmarkEnd w:id="447"/>
      <w:bookmarkEnd w:id="448"/>
      <w:bookmarkEnd w:id="449"/>
      <w:bookmarkEnd w:id="450"/>
    </w:p>
    <w:p w:rsidR="00485094" w:rsidRDefault="00485094" w:rsidP="00692F31">
      <w:pPr>
        <w:ind w:firstLine="720"/>
        <w:rPr>
          <w:rFonts w:ascii="Arial" w:hAnsi="Arial" w:cs="Arial"/>
          <w:b/>
          <w:sz w:val="18"/>
          <w:szCs w:val="18"/>
        </w:rPr>
      </w:pPr>
      <w:r>
        <w:rPr>
          <w:rFonts w:ascii="Arial" w:hAnsi="Arial" w:cs="Arial"/>
          <w:b/>
          <w:sz w:val="18"/>
          <w:szCs w:val="18"/>
        </w:rPr>
        <w:t>Status Network</w:t>
      </w:r>
      <w:r>
        <w:rPr>
          <w:rFonts w:ascii="Arial" w:hAnsi="Arial" w:cs="Arial"/>
          <w:b/>
          <w:sz w:val="18"/>
          <w:szCs w:val="18"/>
        </w:rPr>
        <w:tab/>
      </w:r>
      <w:r>
        <w:rPr>
          <w:rFonts w:ascii="Arial" w:hAnsi="Arial" w:cs="Arial"/>
          <w:b/>
          <w:sz w:val="18"/>
          <w:szCs w:val="18"/>
        </w:rPr>
        <w:tab/>
      </w:r>
      <w:r w:rsidRPr="00FA73B4">
        <w:rPr>
          <w:rFonts w:ascii="Arial" w:hAnsi="Arial" w:cs="Arial"/>
          <w:b/>
          <w:sz w:val="18"/>
          <w:szCs w:val="18"/>
        </w:rPr>
        <w:t xml:space="preserve">Designated Use: </w:t>
      </w:r>
      <w:r>
        <w:rPr>
          <w:rFonts w:ascii="Arial" w:hAnsi="Arial" w:cs="Arial"/>
          <w:b/>
          <w:sz w:val="18"/>
          <w:szCs w:val="18"/>
        </w:rPr>
        <w:t xml:space="preserve"> Primary Drinking Water Standards </w:t>
      </w:r>
      <w:r>
        <w:rPr>
          <w:rFonts w:ascii="Arial" w:hAnsi="Arial" w:cs="Arial"/>
          <w:b/>
          <w:sz w:val="18"/>
          <w:szCs w:val="18"/>
        </w:rPr>
        <w:tab/>
      </w:r>
      <w:r>
        <w:rPr>
          <w:rFonts w:ascii="Arial" w:hAnsi="Arial" w:cs="Arial"/>
          <w:b/>
          <w:sz w:val="18"/>
          <w:szCs w:val="18"/>
        </w:rPr>
        <w:tab/>
        <w:t xml:space="preserve">Units:  Number of wells in list frame </w:t>
      </w:r>
    </w:p>
    <w:p w:rsidR="00485094" w:rsidRDefault="00485094" w:rsidP="00692F31">
      <w:pPr>
        <w:pStyle w:val="TabledescriptionBF"/>
      </w:pPr>
      <w:r>
        <w:t>This is a nine-column table.  Column 1 lists the analyte, Column 2 lists the target population, Column 3 lists the sampleable number of wells, Column 4 lists the inaccessible wells, Column 5 lists the number of samples, Column 6 lists the percent meeting the threshold, Column 7 lists the 95% confidence bounds, Column 8 lists the percent not meeting the threshold, and Column 9 lists the assessment period.</w:t>
      </w:r>
    </w:p>
    <w:p w:rsidR="00485094" w:rsidRPr="006C238F" w:rsidRDefault="00485094" w:rsidP="00692F31">
      <w:pPr>
        <w:pStyle w:val="Tableheading"/>
      </w:pPr>
    </w:p>
    <w:p w:rsidR="00485094" w:rsidRPr="006C1FA8" w:rsidRDefault="00485094" w:rsidP="00692F31">
      <w:pPr>
        <w:pStyle w:val="Bodytextreduced"/>
      </w:pPr>
      <w:r w:rsidRPr="006C1FA8">
        <w:rPr>
          <w:vertAlign w:val="superscript"/>
        </w:rPr>
        <w:t xml:space="preserve">1 </w:t>
      </w:r>
      <w:r w:rsidRPr="006C1FA8">
        <w:t>Wells in list frame</w:t>
      </w:r>
    </w:p>
    <w:p w:rsidR="00485094" w:rsidRPr="006C1FA8" w:rsidRDefault="00485094" w:rsidP="00692F31">
      <w:pPr>
        <w:pStyle w:val="Bodytextreduced"/>
        <w:rPr>
          <w:highlight w:val="yellow"/>
        </w:rPr>
      </w:pPr>
      <w:r w:rsidRPr="006C1FA8">
        <w:rPr>
          <w:vertAlign w:val="superscript"/>
        </w:rPr>
        <w:t>2</w:t>
      </w:r>
      <w:r w:rsidRPr="006C1FA8">
        <w:t xml:space="preserve"> Estimated number of wells</w:t>
      </w:r>
    </w:p>
    <w:tbl>
      <w:tblPr>
        <w:tblW w:w="1289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947"/>
        <w:gridCol w:w="1350"/>
        <w:gridCol w:w="1440"/>
        <w:gridCol w:w="1485"/>
        <w:gridCol w:w="1260"/>
        <w:gridCol w:w="1530"/>
        <w:gridCol w:w="1451"/>
        <w:gridCol w:w="1024"/>
        <w:gridCol w:w="1406"/>
      </w:tblGrid>
      <w:tr w:rsidR="00485094" w:rsidRPr="000F2909" w:rsidTr="000F2909">
        <w:trPr>
          <w:tblHeader/>
          <w:jc w:val="center"/>
        </w:trPr>
        <w:tc>
          <w:tcPr>
            <w:tcW w:w="1947" w:type="dxa"/>
            <w:tcBorders>
              <w:top w:val="single" w:sz="4" w:space="0" w:color="auto"/>
              <w:left w:val="single" w:sz="6"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35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Target Population</w:t>
            </w:r>
            <w:r w:rsidRPr="000F2909">
              <w:rPr>
                <w:b/>
                <w:i/>
                <w:vertAlign w:val="superscript"/>
              </w:rPr>
              <w:t>1</w:t>
            </w:r>
          </w:p>
        </w:tc>
        <w:tc>
          <w:tcPr>
            <w:tcW w:w="144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Sampleable</w:t>
            </w:r>
            <w:r w:rsidRPr="000F2909">
              <w:rPr>
                <w:b/>
                <w:i/>
                <w:vertAlign w:val="superscript"/>
              </w:rPr>
              <w:t>2</w:t>
            </w:r>
          </w:p>
        </w:tc>
        <w:tc>
          <w:tcPr>
            <w:tcW w:w="1485"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Inaccessible</w:t>
            </w:r>
            <w:r w:rsidRPr="000F2909">
              <w:rPr>
                <w:b/>
                <w:i/>
                <w:vertAlign w:val="superscript"/>
              </w:rPr>
              <w:t>2</w:t>
            </w:r>
          </w:p>
        </w:tc>
        <w:tc>
          <w:tcPr>
            <w:tcW w:w="126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Number of Samples</w:t>
            </w:r>
          </w:p>
        </w:tc>
        <w:tc>
          <w:tcPr>
            <w:tcW w:w="153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Meeting</w:t>
            </w:r>
          </w:p>
        </w:tc>
        <w:tc>
          <w:tcPr>
            <w:tcW w:w="1451"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95%</w:t>
            </w:r>
          </w:p>
          <w:p w:rsidR="00485094" w:rsidRPr="000F2909" w:rsidRDefault="00485094" w:rsidP="00453E80">
            <w:pPr>
              <w:pStyle w:val="TableText"/>
              <w:jc w:val="center"/>
              <w:rPr>
                <w:b/>
                <w:i/>
              </w:rPr>
            </w:pPr>
            <w:r w:rsidRPr="000F2909">
              <w:rPr>
                <w:b/>
                <w:i/>
              </w:rPr>
              <w:t>Confidence Bounds</w:t>
            </w:r>
          </w:p>
          <w:p w:rsidR="00485094" w:rsidRPr="000F2909" w:rsidRDefault="00485094" w:rsidP="00453E80">
            <w:pPr>
              <w:pStyle w:val="TableText"/>
              <w:jc w:val="center"/>
              <w:rPr>
                <w:b/>
                <w:i/>
              </w:rPr>
            </w:pPr>
            <w:r w:rsidRPr="000F2909">
              <w:rPr>
                <w:b/>
                <w:i/>
              </w:rPr>
              <w:t>(% Meeting)</w:t>
            </w:r>
          </w:p>
        </w:tc>
        <w:tc>
          <w:tcPr>
            <w:tcW w:w="1024"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 Not Meeting</w:t>
            </w:r>
          </w:p>
        </w:tc>
        <w:tc>
          <w:tcPr>
            <w:tcW w:w="1406" w:type="dxa"/>
            <w:tcBorders>
              <w:top w:val="single" w:sz="4" w:space="0" w:color="auto"/>
              <w:bottom w:val="double" w:sz="4" w:space="0" w:color="auto"/>
              <w:right w:val="single" w:sz="6" w:space="0" w:color="auto"/>
            </w:tcBorders>
            <w:shd w:val="clear" w:color="auto" w:fill="BDFFFF"/>
            <w:vAlign w:val="bottom"/>
          </w:tcPr>
          <w:p w:rsidR="00485094" w:rsidRPr="000F2909" w:rsidRDefault="00485094" w:rsidP="00453E80">
            <w:pPr>
              <w:pStyle w:val="TableText"/>
              <w:jc w:val="center"/>
              <w:rPr>
                <w:b/>
                <w:i/>
              </w:rPr>
            </w:pPr>
            <w:r w:rsidRPr="000F2909">
              <w:rPr>
                <w:b/>
                <w:i/>
              </w:rPr>
              <w:t>Assessment Period</w:t>
            </w:r>
          </w:p>
        </w:tc>
      </w:tr>
      <w:tr w:rsidR="00485094" w:rsidRPr="006C1FA8" w:rsidTr="00453E80">
        <w:trPr>
          <w:cantSplit/>
          <w:trHeight w:val="288"/>
          <w:jc w:val="center"/>
        </w:trPr>
        <w:tc>
          <w:tcPr>
            <w:tcW w:w="1947" w:type="dxa"/>
            <w:tcBorders>
              <w:top w:val="double" w:sz="4" w:space="0" w:color="auto"/>
              <w:left w:val="single" w:sz="6" w:space="0" w:color="auto"/>
            </w:tcBorders>
            <w:vAlign w:val="center"/>
          </w:tcPr>
          <w:p w:rsidR="00485094" w:rsidRPr="006C1FA8" w:rsidRDefault="00485094" w:rsidP="00453E80">
            <w:pPr>
              <w:pStyle w:val="TableText"/>
              <w:jc w:val="center"/>
              <w:rPr>
                <w:szCs w:val="24"/>
              </w:rPr>
            </w:pPr>
            <w:r w:rsidRPr="006C1FA8">
              <w:rPr>
                <w:szCs w:val="24"/>
              </w:rPr>
              <w:t>Arsenic</w:t>
            </w:r>
          </w:p>
        </w:tc>
        <w:tc>
          <w:tcPr>
            <w:tcW w:w="135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8,203</w:t>
            </w:r>
          </w:p>
        </w:tc>
        <w:tc>
          <w:tcPr>
            <w:tcW w:w="144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3,698</w:t>
            </w:r>
          </w:p>
        </w:tc>
        <w:tc>
          <w:tcPr>
            <w:tcW w:w="1485"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4,505</w:t>
            </w:r>
          </w:p>
        </w:tc>
        <w:tc>
          <w:tcPr>
            <w:tcW w:w="1260" w:type="dxa"/>
            <w:tcBorders>
              <w:top w:val="double" w:sz="4" w:space="0" w:color="auto"/>
            </w:tcBorders>
            <w:vAlign w:val="center"/>
          </w:tcPr>
          <w:p w:rsidR="00485094" w:rsidRPr="006C1FA8" w:rsidRDefault="00485094" w:rsidP="00453E80">
            <w:pPr>
              <w:pStyle w:val="TableText"/>
              <w:jc w:val="center"/>
              <w:rPr>
                <w:szCs w:val="24"/>
              </w:rPr>
            </w:pPr>
            <w:r>
              <w:rPr>
                <w:szCs w:val="24"/>
              </w:rPr>
              <w:t>821</w:t>
            </w:r>
          </w:p>
        </w:tc>
        <w:tc>
          <w:tcPr>
            <w:tcW w:w="1530"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96.9</w:t>
            </w:r>
          </w:p>
        </w:tc>
        <w:tc>
          <w:tcPr>
            <w:tcW w:w="1451"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95.9-97.9</w:t>
            </w:r>
          </w:p>
        </w:tc>
        <w:tc>
          <w:tcPr>
            <w:tcW w:w="1024" w:type="dxa"/>
            <w:tcBorders>
              <w:top w:val="double" w:sz="4" w:space="0" w:color="auto"/>
            </w:tcBorders>
            <w:vAlign w:val="center"/>
          </w:tcPr>
          <w:p w:rsidR="00485094" w:rsidRPr="006C1FA8" w:rsidRDefault="00485094" w:rsidP="00453E80">
            <w:pPr>
              <w:pStyle w:val="TableText"/>
              <w:jc w:val="center"/>
              <w:rPr>
                <w:szCs w:val="24"/>
              </w:rPr>
            </w:pPr>
            <w:r w:rsidRPr="006C1FA8">
              <w:rPr>
                <w:szCs w:val="24"/>
              </w:rPr>
              <w:t>3.1</w:t>
            </w:r>
          </w:p>
        </w:tc>
        <w:tc>
          <w:tcPr>
            <w:tcW w:w="1406" w:type="dxa"/>
            <w:tcBorders>
              <w:top w:val="double" w:sz="4" w:space="0" w:color="auto"/>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Cadmium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808</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99.9</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99.7-100.0</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0.1</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sidRPr="006C1FA8">
              <w:rPr>
                <w:szCs w:val="24"/>
              </w:rPr>
              <w:t>Chromium</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sidRPr="006C1FA8">
              <w:rPr>
                <w:szCs w:val="24"/>
              </w:rPr>
              <w:t>78</w:t>
            </w:r>
            <w:r>
              <w:rPr>
                <w:szCs w:val="24"/>
              </w:rPr>
              <w:t>3</w:t>
            </w:r>
          </w:p>
        </w:tc>
        <w:tc>
          <w:tcPr>
            <w:tcW w:w="1530" w:type="dxa"/>
            <w:vAlign w:val="center"/>
          </w:tcPr>
          <w:p w:rsidR="00485094" w:rsidRPr="006C1FA8" w:rsidRDefault="00485094" w:rsidP="00453E80">
            <w:pPr>
              <w:pStyle w:val="TableText"/>
              <w:jc w:val="center"/>
              <w:rPr>
                <w:szCs w:val="24"/>
              </w:rPr>
            </w:pPr>
            <w:r w:rsidRPr="006C1FA8">
              <w:rPr>
                <w:szCs w:val="24"/>
              </w:rPr>
              <w:t>100.0</w:t>
            </w:r>
          </w:p>
        </w:tc>
        <w:tc>
          <w:tcPr>
            <w:tcW w:w="1451" w:type="dxa"/>
            <w:vAlign w:val="center"/>
          </w:tcPr>
          <w:p w:rsidR="00485094" w:rsidRPr="006C1FA8" w:rsidRDefault="00485094" w:rsidP="00453E80">
            <w:pPr>
              <w:pStyle w:val="TableText"/>
              <w:jc w:val="center"/>
              <w:rPr>
                <w:szCs w:val="24"/>
              </w:rPr>
            </w:pPr>
            <w:r w:rsidRPr="006C1FA8">
              <w:rPr>
                <w:szCs w:val="24"/>
              </w:rPr>
              <w:t>99.9-100.0</w:t>
            </w:r>
          </w:p>
        </w:tc>
        <w:tc>
          <w:tcPr>
            <w:tcW w:w="1024" w:type="dxa"/>
            <w:vAlign w:val="center"/>
          </w:tcPr>
          <w:p w:rsidR="00485094" w:rsidRPr="006C1FA8" w:rsidRDefault="00485094" w:rsidP="00453E80">
            <w:pPr>
              <w:pStyle w:val="TableText"/>
              <w:jc w:val="center"/>
              <w:rPr>
                <w:szCs w:val="24"/>
              </w:rPr>
            </w:pPr>
            <w:r w:rsidRPr="006C1FA8">
              <w:rPr>
                <w:szCs w:val="24"/>
              </w:rPr>
              <w:t>0.0</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Lead</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822</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97.5</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96.3-98.7</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2.5</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FF"/>
            <w:vAlign w:val="center"/>
          </w:tcPr>
          <w:p w:rsidR="00485094" w:rsidRPr="006C1FA8" w:rsidRDefault="00485094" w:rsidP="00453E80">
            <w:pPr>
              <w:pStyle w:val="TableText"/>
              <w:jc w:val="center"/>
              <w:rPr>
                <w:szCs w:val="24"/>
              </w:rPr>
            </w:pPr>
            <w:r w:rsidRPr="006C1FA8">
              <w:rPr>
                <w:szCs w:val="24"/>
              </w:rPr>
              <w:t>Nitrate-Nitrite</w:t>
            </w:r>
          </w:p>
        </w:tc>
        <w:tc>
          <w:tcPr>
            <w:tcW w:w="1350" w:type="dxa"/>
            <w:shd w:val="clear" w:color="auto" w:fill="FFFFFF"/>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FF"/>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FF"/>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FF"/>
            <w:vAlign w:val="center"/>
          </w:tcPr>
          <w:p w:rsidR="00485094" w:rsidRPr="006C1FA8" w:rsidRDefault="00485094" w:rsidP="00453E80">
            <w:pPr>
              <w:pStyle w:val="TableText"/>
              <w:jc w:val="center"/>
              <w:rPr>
                <w:szCs w:val="24"/>
              </w:rPr>
            </w:pPr>
            <w:r w:rsidRPr="006C1FA8">
              <w:rPr>
                <w:szCs w:val="24"/>
              </w:rPr>
              <w:t>7</w:t>
            </w:r>
            <w:r>
              <w:rPr>
                <w:szCs w:val="24"/>
              </w:rPr>
              <w:t>86</w:t>
            </w:r>
          </w:p>
        </w:tc>
        <w:tc>
          <w:tcPr>
            <w:tcW w:w="1530" w:type="dxa"/>
            <w:shd w:val="clear" w:color="auto" w:fill="FFFFFF"/>
            <w:vAlign w:val="center"/>
          </w:tcPr>
          <w:p w:rsidR="00485094" w:rsidRPr="006C1FA8" w:rsidRDefault="00485094" w:rsidP="00453E80">
            <w:pPr>
              <w:pStyle w:val="TableText"/>
              <w:jc w:val="center"/>
              <w:rPr>
                <w:szCs w:val="24"/>
              </w:rPr>
            </w:pPr>
            <w:r w:rsidRPr="006C1FA8">
              <w:rPr>
                <w:szCs w:val="24"/>
              </w:rPr>
              <w:t>97.7</w:t>
            </w:r>
          </w:p>
        </w:tc>
        <w:tc>
          <w:tcPr>
            <w:tcW w:w="1451" w:type="dxa"/>
            <w:shd w:val="clear" w:color="auto" w:fill="FFFFFF"/>
            <w:vAlign w:val="center"/>
          </w:tcPr>
          <w:p w:rsidR="00485094" w:rsidRPr="006C1FA8" w:rsidRDefault="00485094" w:rsidP="00453E80">
            <w:pPr>
              <w:pStyle w:val="TableText"/>
              <w:jc w:val="center"/>
              <w:rPr>
                <w:szCs w:val="24"/>
              </w:rPr>
            </w:pPr>
            <w:r w:rsidRPr="006C1FA8">
              <w:rPr>
                <w:szCs w:val="24"/>
              </w:rPr>
              <w:t>96.8-98.7</w:t>
            </w:r>
          </w:p>
        </w:tc>
        <w:tc>
          <w:tcPr>
            <w:tcW w:w="1024" w:type="dxa"/>
            <w:shd w:val="clear" w:color="auto" w:fill="FFFFFF"/>
            <w:vAlign w:val="center"/>
          </w:tcPr>
          <w:p w:rsidR="00485094" w:rsidRPr="006C1FA8" w:rsidRDefault="00485094" w:rsidP="00453E80">
            <w:pPr>
              <w:pStyle w:val="TableText"/>
              <w:jc w:val="center"/>
              <w:rPr>
                <w:szCs w:val="24"/>
              </w:rPr>
            </w:pPr>
            <w:r w:rsidRPr="006C1FA8">
              <w:rPr>
                <w:szCs w:val="24"/>
              </w:rPr>
              <w:t>2.3</w:t>
            </w:r>
          </w:p>
        </w:tc>
        <w:tc>
          <w:tcPr>
            <w:tcW w:w="1406" w:type="dxa"/>
            <w:tcBorders>
              <w:right w:val="single" w:sz="6" w:space="0" w:color="auto"/>
            </w:tcBorders>
            <w:shd w:val="clear" w:color="auto" w:fill="FFFFFF"/>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Sodium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766</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95.7</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84.5-96.9</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4.3</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sidRPr="006C1FA8">
              <w:rPr>
                <w:szCs w:val="24"/>
              </w:rPr>
              <w:t>Fluoride</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Pr>
                <w:szCs w:val="24"/>
              </w:rPr>
              <w:t>822</w:t>
            </w:r>
          </w:p>
        </w:tc>
        <w:tc>
          <w:tcPr>
            <w:tcW w:w="1530" w:type="dxa"/>
            <w:vAlign w:val="center"/>
          </w:tcPr>
          <w:p w:rsidR="00485094" w:rsidRPr="006C1FA8" w:rsidRDefault="00485094" w:rsidP="00453E80">
            <w:pPr>
              <w:pStyle w:val="TableText"/>
              <w:jc w:val="center"/>
              <w:rPr>
                <w:szCs w:val="24"/>
              </w:rPr>
            </w:pPr>
            <w:r w:rsidRPr="006C1FA8">
              <w:rPr>
                <w:szCs w:val="24"/>
              </w:rPr>
              <w:t>99.3</w:t>
            </w:r>
          </w:p>
        </w:tc>
        <w:tc>
          <w:tcPr>
            <w:tcW w:w="1451" w:type="dxa"/>
            <w:vAlign w:val="center"/>
          </w:tcPr>
          <w:p w:rsidR="00485094" w:rsidRPr="006C1FA8" w:rsidRDefault="00485094" w:rsidP="00453E80">
            <w:pPr>
              <w:pStyle w:val="TableText"/>
              <w:jc w:val="center"/>
              <w:rPr>
                <w:szCs w:val="24"/>
              </w:rPr>
            </w:pPr>
            <w:r>
              <w:rPr>
                <w:szCs w:val="24"/>
              </w:rPr>
              <w:t>94.5</w:t>
            </w:r>
            <w:r w:rsidRPr="006C1FA8">
              <w:rPr>
                <w:szCs w:val="24"/>
              </w:rPr>
              <w:t>-100.0</w:t>
            </w:r>
          </w:p>
        </w:tc>
        <w:tc>
          <w:tcPr>
            <w:tcW w:w="1024" w:type="dxa"/>
            <w:vAlign w:val="center"/>
          </w:tcPr>
          <w:p w:rsidR="00485094" w:rsidRPr="006C1FA8" w:rsidRDefault="00485094" w:rsidP="00453E80">
            <w:pPr>
              <w:pStyle w:val="TableText"/>
              <w:jc w:val="center"/>
              <w:rPr>
                <w:szCs w:val="24"/>
              </w:rPr>
            </w:pPr>
            <w:r w:rsidRPr="006C1FA8">
              <w:rPr>
                <w:szCs w:val="24"/>
              </w:rPr>
              <w:t>0.7</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shd w:val="clear" w:color="auto" w:fill="FFFFCC"/>
            <w:vAlign w:val="center"/>
          </w:tcPr>
          <w:p w:rsidR="00485094" w:rsidRPr="006C1FA8" w:rsidRDefault="00485094" w:rsidP="00453E80">
            <w:pPr>
              <w:pStyle w:val="TableText"/>
              <w:jc w:val="center"/>
              <w:rPr>
                <w:szCs w:val="24"/>
              </w:rPr>
            </w:pPr>
            <w:r>
              <w:rPr>
                <w:szCs w:val="24"/>
              </w:rPr>
              <w:t>Fecal Coliform</w:t>
            </w:r>
          </w:p>
        </w:tc>
        <w:tc>
          <w:tcPr>
            <w:tcW w:w="1350" w:type="dxa"/>
            <w:shd w:val="clear" w:color="auto" w:fill="FFFFCC"/>
            <w:vAlign w:val="center"/>
          </w:tcPr>
          <w:p w:rsidR="00485094" w:rsidRPr="006C1FA8" w:rsidRDefault="00485094" w:rsidP="00453E80">
            <w:pPr>
              <w:pStyle w:val="TableText"/>
              <w:jc w:val="center"/>
              <w:rPr>
                <w:szCs w:val="24"/>
              </w:rPr>
            </w:pPr>
            <w:r w:rsidRPr="006C1FA8">
              <w:rPr>
                <w:szCs w:val="24"/>
              </w:rPr>
              <w:t>8,203</w:t>
            </w:r>
          </w:p>
        </w:tc>
        <w:tc>
          <w:tcPr>
            <w:tcW w:w="1440" w:type="dxa"/>
            <w:shd w:val="clear" w:color="auto" w:fill="FFFFCC"/>
            <w:vAlign w:val="center"/>
          </w:tcPr>
          <w:p w:rsidR="00485094" w:rsidRPr="006C1FA8" w:rsidRDefault="00485094" w:rsidP="00453E80">
            <w:pPr>
              <w:pStyle w:val="TableText"/>
              <w:jc w:val="center"/>
              <w:rPr>
                <w:szCs w:val="24"/>
              </w:rPr>
            </w:pPr>
            <w:r w:rsidRPr="006C1FA8">
              <w:rPr>
                <w:szCs w:val="24"/>
              </w:rPr>
              <w:t>3,698</w:t>
            </w:r>
          </w:p>
        </w:tc>
        <w:tc>
          <w:tcPr>
            <w:tcW w:w="1485" w:type="dxa"/>
            <w:shd w:val="clear" w:color="auto" w:fill="FFFFCC"/>
            <w:vAlign w:val="center"/>
          </w:tcPr>
          <w:p w:rsidR="00485094" w:rsidRPr="006C1FA8" w:rsidRDefault="00485094" w:rsidP="00453E80">
            <w:pPr>
              <w:pStyle w:val="TableText"/>
              <w:jc w:val="center"/>
              <w:rPr>
                <w:szCs w:val="24"/>
              </w:rPr>
            </w:pPr>
            <w:r w:rsidRPr="006C1FA8">
              <w:rPr>
                <w:szCs w:val="24"/>
              </w:rPr>
              <w:t>4,505</w:t>
            </w:r>
          </w:p>
        </w:tc>
        <w:tc>
          <w:tcPr>
            <w:tcW w:w="1260" w:type="dxa"/>
            <w:shd w:val="clear" w:color="auto" w:fill="FFFFCC"/>
            <w:vAlign w:val="center"/>
          </w:tcPr>
          <w:p w:rsidR="00485094" w:rsidRPr="006C1FA8" w:rsidRDefault="00485094" w:rsidP="00453E80">
            <w:pPr>
              <w:pStyle w:val="TableText"/>
              <w:jc w:val="center"/>
              <w:rPr>
                <w:szCs w:val="24"/>
              </w:rPr>
            </w:pPr>
            <w:r>
              <w:rPr>
                <w:szCs w:val="24"/>
              </w:rPr>
              <w:t>813</w:t>
            </w:r>
          </w:p>
        </w:tc>
        <w:tc>
          <w:tcPr>
            <w:tcW w:w="1530" w:type="dxa"/>
            <w:shd w:val="clear" w:color="auto" w:fill="FFFFCC"/>
            <w:vAlign w:val="center"/>
          </w:tcPr>
          <w:p w:rsidR="00485094" w:rsidRPr="006C1FA8" w:rsidRDefault="00485094" w:rsidP="00453E80">
            <w:pPr>
              <w:pStyle w:val="TableText"/>
              <w:jc w:val="center"/>
              <w:rPr>
                <w:szCs w:val="24"/>
              </w:rPr>
            </w:pPr>
            <w:r w:rsidRPr="006C1FA8">
              <w:rPr>
                <w:szCs w:val="24"/>
              </w:rPr>
              <w:t>96.</w:t>
            </w:r>
            <w:r>
              <w:rPr>
                <w:szCs w:val="24"/>
              </w:rPr>
              <w:t>2</w:t>
            </w:r>
          </w:p>
        </w:tc>
        <w:tc>
          <w:tcPr>
            <w:tcW w:w="1451" w:type="dxa"/>
            <w:shd w:val="clear" w:color="auto" w:fill="FFFFCC"/>
            <w:vAlign w:val="center"/>
          </w:tcPr>
          <w:p w:rsidR="00485094" w:rsidRPr="006C1FA8" w:rsidRDefault="00485094" w:rsidP="00453E80">
            <w:pPr>
              <w:pStyle w:val="TableText"/>
              <w:jc w:val="center"/>
              <w:rPr>
                <w:szCs w:val="24"/>
              </w:rPr>
            </w:pPr>
            <w:r w:rsidRPr="006C1FA8">
              <w:rPr>
                <w:szCs w:val="24"/>
              </w:rPr>
              <w:t>94.</w:t>
            </w:r>
            <w:r>
              <w:rPr>
                <w:szCs w:val="24"/>
              </w:rPr>
              <w:t>2</w:t>
            </w:r>
            <w:r w:rsidRPr="006C1FA8">
              <w:rPr>
                <w:szCs w:val="24"/>
              </w:rPr>
              <w:t>-98.</w:t>
            </w:r>
            <w:r>
              <w:rPr>
                <w:szCs w:val="24"/>
              </w:rPr>
              <w:t>2</w:t>
            </w:r>
          </w:p>
        </w:tc>
        <w:tc>
          <w:tcPr>
            <w:tcW w:w="1024" w:type="dxa"/>
            <w:shd w:val="clear" w:color="auto" w:fill="FFFFCC"/>
            <w:vAlign w:val="center"/>
          </w:tcPr>
          <w:p w:rsidR="00485094" w:rsidRPr="006C1FA8" w:rsidRDefault="00485094" w:rsidP="00453E80">
            <w:pPr>
              <w:pStyle w:val="TableText"/>
              <w:jc w:val="center"/>
              <w:rPr>
                <w:szCs w:val="24"/>
              </w:rPr>
            </w:pPr>
            <w:r w:rsidRPr="006C1FA8">
              <w:rPr>
                <w:szCs w:val="24"/>
              </w:rPr>
              <w:t>3.</w:t>
            </w:r>
            <w:r>
              <w:rPr>
                <w:szCs w:val="24"/>
              </w:rPr>
              <w:t>8</w:t>
            </w:r>
          </w:p>
        </w:tc>
        <w:tc>
          <w:tcPr>
            <w:tcW w:w="1406" w:type="dxa"/>
            <w:tcBorders>
              <w:right w:val="single" w:sz="6" w:space="0" w:color="auto"/>
            </w:tcBorders>
            <w:shd w:val="clear" w:color="auto" w:fill="FFFFCC"/>
            <w:vAlign w:val="center"/>
          </w:tcPr>
          <w:p w:rsidR="00485094" w:rsidRPr="006C1FA8" w:rsidRDefault="00485094" w:rsidP="00453E80">
            <w:pPr>
              <w:pStyle w:val="TableText"/>
              <w:jc w:val="center"/>
              <w:rPr>
                <w:szCs w:val="24"/>
              </w:rPr>
            </w:pPr>
            <w:r w:rsidRPr="006C1FA8">
              <w:rPr>
                <w:szCs w:val="24"/>
              </w:rPr>
              <w:t>2004-08</w:t>
            </w:r>
          </w:p>
        </w:tc>
      </w:tr>
      <w:tr w:rsidR="00485094" w:rsidRPr="006C1FA8" w:rsidTr="00453E80">
        <w:trPr>
          <w:cantSplit/>
          <w:trHeight w:val="288"/>
          <w:jc w:val="center"/>
        </w:trPr>
        <w:tc>
          <w:tcPr>
            <w:tcW w:w="1947" w:type="dxa"/>
            <w:tcBorders>
              <w:left w:val="single" w:sz="6" w:space="0" w:color="auto"/>
            </w:tcBorders>
            <w:vAlign w:val="center"/>
          </w:tcPr>
          <w:p w:rsidR="00485094" w:rsidRPr="006C1FA8" w:rsidRDefault="00485094" w:rsidP="00453E80">
            <w:pPr>
              <w:pStyle w:val="TableText"/>
              <w:jc w:val="center"/>
              <w:rPr>
                <w:szCs w:val="24"/>
              </w:rPr>
            </w:pPr>
            <w:r>
              <w:rPr>
                <w:szCs w:val="24"/>
              </w:rPr>
              <w:t>Total Coliform</w:t>
            </w:r>
          </w:p>
        </w:tc>
        <w:tc>
          <w:tcPr>
            <w:tcW w:w="1350" w:type="dxa"/>
            <w:vAlign w:val="center"/>
          </w:tcPr>
          <w:p w:rsidR="00485094" w:rsidRPr="006C1FA8" w:rsidRDefault="00485094" w:rsidP="00453E80">
            <w:pPr>
              <w:pStyle w:val="TableText"/>
              <w:jc w:val="center"/>
              <w:rPr>
                <w:szCs w:val="24"/>
              </w:rPr>
            </w:pPr>
            <w:r w:rsidRPr="006C1FA8">
              <w:rPr>
                <w:szCs w:val="24"/>
              </w:rPr>
              <w:t>8,203</w:t>
            </w:r>
          </w:p>
        </w:tc>
        <w:tc>
          <w:tcPr>
            <w:tcW w:w="1440" w:type="dxa"/>
            <w:vAlign w:val="center"/>
          </w:tcPr>
          <w:p w:rsidR="00485094" w:rsidRPr="006C1FA8" w:rsidRDefault="00485094" w:rsidP="00453E80">
            <w:pPr>
              <w:pStyle w:val="TableText"/>
              <w:jc w:val="center"/>
              <w:rPr>
                <w:szCs w:val="24"/>
              </w:rPr>
            </w:pPr>
            <w:r w:rsidRPr="006C1FA8">
              <w:rPr>
                <w:szCs w:val="24"/>
              </w:rPr>
              <w:t>3,698</w:t>
            </w:r>
          </w:p>
        </w:tc>
        <w:tc>
          <w:tcPr>
            <w:tcW w:w="1485" w:type="dxa"/>
            <w:vAlign w:val="center"/>
          </w:tcPr>
          <w:p w:rsidR="00485094" w:rsidRPr="006C1FA8" w:rsidRDefault="00485094" w:rsidP="00453E80">
            <w:pPr>
              <w:pStyle w:val="TableText"/>
              <w:jc w:val="center"/>
              <w:rPr>
                <w:szCs w:val="24"/>
              </w:rPr>
            </w:pPr>
            <w:r w:rsidRPr="006C1FA8">
              <w:rPr>
                <w:szCs w:val="24"/>
              </w:rPr>
              <w:t>4,505</w:t>
            </w:r>
          </w:p>
        </w:tc>
        <w:tc>
          <w:tcPr>
            <w:tcW w:w="1260" w:type="dxa"/>
            <w:vAlign w:val="center"/>
          </w:tcPr>
          <w:p w:rsidR="00485094" w:rsidRPr="006C1FA8" w:rsidRDefault="00485094" w:rsidP="00453E80">
            <w:pPr>
              <w:pStyle w:val="TableText"/>
              <w:jc w:val="center"/>
              <w:rPr>
                <w:szCs w:val="24"/>
              </w:rPr>
            </w:pPr>
            <w:r>
              <w:rPr>
                <w:szCs w:val="24"/>
              </w:rPr>
              <w:t>774</w:t>
            </w:r>
          </w:p>
        </w:tc>
        <w:tc>
          <w:tcPr>
            <w:tcW w:w="1530" w:type="dxa"/>
            <w:vAlign w:val="center"/>
          </w:tcPr>
          <w:p w:rsidR="00485094" w:rsidRPr="006C1FA8" w:rsidRDefault="00485094" w:rsidP="00453E80">
            <w:pPr>
              <w:pStyle w:val="TableText"/>
              <w:jc w:val="center"/>
              <w:rPr>
                <w:szCs w:val="24"/>
              </w:rPr>
            </w:pPr>
            <w:r w:rsidRPr="006C1FA8">
              <w:rPr>
                <w:szCs w:val="24"/>
              </w:rPr>
              <w:t>8</w:t>
            </w:r>
            <w:r>
              <w:rPr>
                <w:szCs w:val="24"/>
              </w:rPr>
              <w:t>2</w:t>
            </w:r>
            <w:r w:rsidRPr="006C1FA8">
              <w:rPr>
                <w:szCs w:val="24"/>
              </w:rPr>
              <w:t>.6</w:t>
            </w:r>
          </w:p>
        </w:tc>
        <w:tc>
          <w:tcPr>
            <w:tcW w:w="1451" w:type="dxa"/>
            <w:vAlign w:val="center"/>
          </w:tcPr>
          <w:p w:rsidR="00485094" w:rsidRPr="006C1FA8" w:rsidRDefault="00485094" w:rsidP="00453E80">
            <w:pPr>
              <w:pStyle w:val="TableText"/>
              <w:jc w:val="center"/>
              <w:rPr>
                <w:szCs w:val="24"/>
              </w:rPr>
            </w:pPr>
            <w:r w:rsidRPr="006C1FA8">
              <w:rPr>
                <w:szCs w:val="24"/>
              </w:rPr>
              <w:t>7</w:t>
            </w:r>
            <w:r>
              <w:rPr>
                <w:szCs w:val="24"/>
              </w:rPr>
              <w:t>8.8</w:t>
            </w:r>
            <w:r w:rsidRPr="006C1FA8">
              <w:rPr>
                <w:szCs w:val="24"/>
              </w:rPr>
              <w:t>-8</w:t>
            </w:r>
            <w:r>
              <w:rPr>
                <w:szCs w:val="24"/>
              </w:rPr>
              <w:t>6.5</w:t>
            </w:r>
          </w:p>
        </w:tc>
        <w:tc>
          <w:tcPr>
            <w:tcW w:w="1024" w:type="dxa"/>
            <w:vAlign w:val="center"/>
          </w:tcPr>
          <w:p w:rsidR="00485094" w:rsidRPr="006C1FA8" w:rsidRDefault="00485094" w:rsidP="00453E80">
            <w:pPr>
              <w:pStyle w:val="TableText"/>
              <w:jc w:val="center"/>
              <w:rPr>
                <w:szCs w:val="24"/>
              </w:rPr>
            </w:pPr>
            <w:r w:rsidRPr="006C1FA8">
              <w:rPr>
                <w:szCs w:val="24"/>
              </w:rPr>
              <w:t>1</w:t>
            </w:r>
            <w:r>
              <w:rPr>
                <w:szCs w:val="24"/>
              </w:rPr>
              <w:t>7</w:t>
            </w:r>
            <w:r w:rsidRPr="006C1FA8">
              <w:rPr>
                <w:szCs w:val="24"/>
              </w:rPr>
              <w:t>.4</w:t>
            </w:r>
          </w:p>
        </w:tc>
        <w:tc>
          <w:tcPr>
            <w:tcW w:w="1406" w:type="dxa"/>
            <w:tcBorders>
              <w:right w:val="single" w:sz="6" w:space="0" w:color="auto"/>
            </w:tcBorders>
            <w:vAlign w:val="center"/>
          </w:tcPr>
          <w:p w:rsidR="00485094" w:rsidRPr="006C1FA8" w:rsidRDefault="00485094" w:rsidP="00453E80">
            <w:pPr>
              <w:pStyle w:val="TableText"/>
              <w:jc w:val="center"/>
              <w:rPr>
                <w:szCs w:val="24"/>
              </w:rPr>
            </w:pPr>
            <w:r w:rsidRPr="006C1FA8">
              <w:rPr>
                <w:szCs w:val="24"/>
              </w:rPr>
              <w:t>2004-08</w:t>
            </w:r>
          </w:p>
        </w:tc>
      </w:tr>
    </w:tbl>
    <w:p w:rsidR="00485094" w:rsidRPr="00111A18" w:rsidRDefault="00485094" w:rsidP="00692F31">
      <w:pPr>
        <w:pStyle w:val="TableText"/>
        <w:ind w:left="360"/>
        <w:rPr>
          <w:sz w:val="16"/>
          <w:szCs w:val="16"/>
        </w:rPr>
      </w:pPr>
    </w:p>
    <w:p w:rsidR="00485094" w:rsidRPr="00F30218" w:rsidRDefault="00485094" w:rsidP="00692F31">
      <w:pPr>
        <w:pStyle w:val="Bodytext"/>
        <w:rPr>
          <w:b/>
        </w:rPr>
      </w:pPr>
      <w:r w:rsidRPr="00F30218">
        <w:rPr>
          <w:b/>
        </w:rPr>
        <w:t>Highlights:  Unconfined Aquifers</w:t>
      </w:r>
    </w:p>
    <w:p w:rsidR="00485094" w:rsidRDefault="00485094" w:rsidP="00692F31">
      <w:pPr>
        <w:pStyle w:val="ListBullet"/>
      </w:pPr>
      <w:r>
        <w:t>Unconfined (s</w:t>
      </w:r>
      <w:r w:rsidRPr="00B6382E">
        <w:t>hallow</w:t>
      </w:r>
      <w:r>
        <w:t>)</w:t>
      </w:r>
      <w:r w:rsidRPr="00B6382E">
        <w:t xml:space="preserve"> aquifers are often more susceptible to anthropogenic influences or changing hydrologic conditions.  </w:t>
      </w:r>
      <w:r>
        <w:t>M</w:t>
      </w:r>
      <w:r w:rsidRPr="00B6382E">
        <w:t>ore unconfined aquifer wells exceed</w:t>
      </w:r>
      <w:r>
        <w:t>ed</w:t>
      </w:r>
      <w:r w:rsidRPr="00B6382E">
        <w:t xml:space="preserve"> their target thresholds than d</w:t>
      </w:r>
      <w:r>
        <w:t>id</w:t>
      </w:r>
      <w:r w:rsidRPr="00B6382E">
        <w:t xml:space="preserve"> wells in the confined aquifers.</w:t>
      </w:r>
    </w:p>
    <w:p w:rsidR="00485094" w:rsidRDefault="00485094" w:rsidP="00692F31">
      <w:pPr>
        <w:pStyle w:val="ListBullet"/>
      </w:pPr>
      <w:r>
        <w:t>O</w:t>
      </w:r>
      <w:r w:rsidRPr="00B6382E">
        <w:t>f sampled wells in Florida</w:t>
      </w:r>
      <w:r>
        <w:t>, 19.4%</w:t>
      </w:r>
      <w:r w:rsidRPr="00B6382E">
        <w:t xml:space="preserve"> did not </w:t>
      </w:r>
      <w:r>
        <w:t>meet</w:t>
      </w:r>
      <w:r w:rsidRPr="00B6382E">
        <w:t xml:space="preserve"> the potable water threshold for total coliform</w:t>
      </w:r>
      <w:r>
        <w:t xml:space="preserve"> (</w:t>
      </w:r>
      <w:r>
        <w:rPr>
          <w:rFonts w:cs="Arial"/>
        </w:rPr>
        <w:t>≤</w:t>
      </w:r>
      <w:r>
        <w:t xml:space="preserve">4 </w:t>
      </w:r>
      <w:r w:rsidRPr="003B37D3">
        <w:rPr>
          <w:rFonts w:cs="Arial"/>
        </w:rPr>
        <w:t>colonies/100mL</w:t>
      </w:r>
      <w:r>
        <w:rPr>
          <w:rFonts w:cs="Arial"/>
        </w:rPr>
        <w:t>)</w:t>
      </w:r>
      <w:r w:rsidRPr="00B6382E">
        <w:t>.  Unconfined aquifer wells in the Sarasota Bay</w:t>
      </w:r>
      <w:r>
        <w:t>–</w:t>
      </w:r>
      <w:r w:rsidRPr="00B6382E">
        <w:t>Peace</w:t>
      </w:r>
      <w:r>
        <w:t>–Myakka and Ochlockonee–</w:t>
      </w:r>
      <w:r w:rsidRPr="00B6382E">
        <w:t xml:space="preserve">St. Marks </w:t>
      </w:r>
      <w:r>
        <w:t>B</w:t>
      </w:r>
      <w:r w:rsidRPr="00B6382E">
        <w:t xml:space="preserve">asins had the highest exceedance rates for total coliform, </w:t>
      </w:r>
      <w:r>
        <w:t xml:space="preserve">at </w:t>
      </w:r>
      <w:r w:rsidRPr="00B6382E">
        <w:t xml:space="preserve">52.6% and 52.5%, respectively.  </w:t>
      </w:r>
    </w:p>
    <w:p w:rsidR="00485094" w:rsidRPr="00B6382E" w:rsidRDefault="00485094" w:rsidP="00692F31">
      <w:pPr>
        <w:pStyle w:val="ListBullet"/>
      </w:pPr>
      <w:r>
        <w:t>Statewide, f</w:t>
      </w:r>
      <w:r w:rsidRPr="00B6382E">
        <w:t xml:space="preserve">ecal coliform levels </w:t>
      </w:r>
      <w:r>
        <w:t>(</w:t>
      </w:r>
      <w:r>
        <w:rPr>
          <w:rFonts w:cs="Arial"/>
        </w:rPr>
        <w:t>&lt;2</w:t>
      </w:r>
      <w:r>
        <w:t xml:space="preserve"> </w:t>
      </w:r>
      <w:r w:rsidRPr="003B37D3">
        <w:rPr>
          <w:rFonts w:cs="Arial"/>
        </w:rPr>
        <w:t>colonies/100mL</w:t>
      </w:r>
      <w:r>
        <w:rPr>
          <w:rFonts w:cs="Arial"/>
        </w:rPr>
        <w:t>)</w:t>
      </w:r>
      <w:r w:rsidRPr="00B6382E">
        <w:t xml:space="preserve"> exceeded the potable water threshold in 3.9% of wells</w:t>
      </w:r>
      <w:r>
        <w:t xml:space="preserve"> sampled.  T</w:t>
      </w:r>
      <w:r w:rsidRPr="00B6382E">
        <w:t>he highest exceedance rates were found in the Sarasota Bay</w:t>
      </w:r>
      <w:r>
        <w:t>–</w:t>
      </w:r>
      <w:r w:rsidRPr="00B6382E">
        <w:t>Peace</w:t>
      </w:r>
      <w:r>
        <w:t>–</w:t>
      </w:r>
      <w:r w:rsidRPr="00B6382E">
        <w:t>Myakka (17.1%) and Southeast Coast</w:t>
      </w:r>
      <w:r>
        <w:t>–</w:t>
      </w:r>
      <w:r w:rsidRPr="00B6382E">
        <w:t xml:space="preserve">Biscayne Bay </w:t>
      </w:r>
      <w:r>
        <w:t>(</w:t>
      </w:r>
      <w:r w:rsidRPr="00B6382E">
        <w:t>13.1%</w:t>
      </w:r>
      <w:r>
        <w:t>) Basins</w:t>
      </w:r>
      <w:r w:rsidRPr="00B6382E">
        <w:t xml:space="preserve">. </w:t>
      </w:r>
      <w:r>
        <w:t xml:space="preserve"> </w:t>
      </w:r>
      <w:r w:rsidRPr="00B6382E">
        <w:t xml:space="preserve">As in confined wells, coliform detection in an unconfined well can indicate problems with well construction or maintenance, and can also indicate contamination from surface water or stormwater runoff.  </w:t>
      </w:r>
    </w:p>
    <w:p w:rsidR="00485094" w:rsidRDefault="00485094" w:rsidP="00992855">
      <w:pPr>
        <w:pStyle w:val="ListBullet"/>
      </w:pPr>
      <w:r>
        <w:t>Statewide</w:t>
      </w:r>
      <w:r w:rsidRPr="00B6382E">
        <w:t>, 4.3% of the wells sampled exceeded the state threshold for sodium</w:t>
      </w:r>
      <w:r>
        <w:t xml:space="preserve"> (</w:t>
      </w:r>
      <w:r w:rsidRPr="00992855">
        <w:rPr>
          <w:rFonts w:cs="Arial"/>
        </w:rPr>
        <w:t>≤160</w:t>
      </w:r>
      <w:r>
        <w:t xml:space="preserve"> mg/</w:t>
      </w:r>
      <w:r w:rsidRPr="00992855">
        <w:rPr>
          <w:rFonts w:cs="Arial"/>
        </w:rPr>
        <w:t>L)</w:t>
      </w:r>
      <w:r w:rsidRPr="00B6382E">
        <w:t>.  Wells in the Springs Coast, Everglades</w:t>
      </w:r>
      <w:r>
        <w:t>–W</w:t>
      </w:r>
      <w:r w:rsidRPr="00B6382E">
        <w:t>est Coast</w:t>
      </w:r>
      <w:r>
        <w:t>,</w:t>
      </w:r>
      <w:r w:rsidRPr="00B6382E">
        <w:t xml:space="preserve"> and Indian River Lagoon </w:t>
      </w:r>
      <w:r>
        <w:t>B</w:t>
      </w:r>
      <w:r w:rsidRPr="00B6382E">
        <w:t xml:space="preserve">asins, all of which are coastal basins, had the highest </w:t>
      </w:r>
      <w:r w:rsidRPr="00B6382E">
        <w:lastRenderedPageBreak/>
        <w:t>exceedance rates for sodium,</w:t>
      </w:r>
      <w:r>
        <w:t xml:space="preserve"> at</w:t>
      </w:r>
      <w:r w:rsidRPr="00B6382E">
        <w:t xml:space="preserve"> 22.2%, 19.8%</w:t>
      </w:r>
      <w:r>
        <w:t>,</w:t>
      </w:r>
      <w:r w:rsidRPr="00B6382E">
        <w:t xml:space="preserve"> and 19.8%</w:t>
      </w:r>
      <w:r>
        <w:t>,</w:t>
      </w:r>
      <w:r w:rsidRPr="00B6382E">
        <w:t xml:space="preserve"> respectively.  In unconfined aquifers, sodium levels above the state threshold can be indicative </w:t>
      </w:r>
      <w:r>
        <w:t>of the</w:t>
      </w:r>
      <w:r w:rsidRPr="00B6382E">
        <w:t xml:space="preserve"> upconing of mineralized ground water from deeper aquifers, or saltwater intrusion resulting from overpumping or drought.</w:t>
      </w:r>
    </w:p>
    <w:p w:rsidR="00485094" w:rsidRDefault="00485094" w:rsidP="00992855">
      <w:pPr>
        <w:pStyle w:val="ListBullet"/>
      </w:pPr>
      <w:r>
        <w:t>S</w:t>
      </w:r>
      <w:r w:rsidRPr="00B6382E">
        <w:t>tate</w:t>
      </w:r>
      <w:r>
        <w:t>wide</w:t>
      </w:r>
      <w:r w:rsidRPr="00B6382E">
        <w:t>, 3.1% of sampled wells in unconfined aquifers exceeded the state threshold for arsenic</w:t>
      </w:r>
      <w:r>
        <w:t xml:space="preserve"> (</w:t>
      </w:r>
      <w:r w:rsidRPr="00992855">
        <w:rPr>
          <w:rFonts w:cs="Arial"/>
        </w:rPr>
        <w:t>≤10</w:t>
      </w:r>
      <w:r>
        <w:t xml:space="preserve"> </w:t>
      </w:r>
      <w:r w:rsidRPr="00992855">
        <w:rPr>
          <w:rFonts w:cs="Arial"/>
        </w:rPr>
        <w:t>µ</w:t>
      </w:r>
      <w:r>
        <w:t>g/</w:t>
      </w:r>
      <w:r w:rsidRPr="00992855">
        <w:rPr>
          <w:rFonts w:cs="Arial"/>
        </w:rPr>
        <w:t>L)</w:t>
      </w:r>
      <w:r w:rsidRPr="00B6382E">
        <w:t xml:space="preserve">.  </w:t>
      </w:r>
      <w:r>
        <w:t>W</w:t>
      </w:r>
      <w:r w:rsidRPr="00B6382E">
        <w:t xml:space="preserve">ells in the Tampa Bay Tributaries and Everglades–West Coast </w:t>
      </w:r>
      <w:r>
        <w:t>B</w:t>
      </w:r>
      <w:r w:rsidRPr="00B6382E">
        <w:t xml:space="preserve">asins had the highest exceedance rates, </w:t>
      </w:r>
      <w:r>
        <w:t xml:space="preserve">at </w:t>
      </w:r>
      <w:r w:rsidRPr="00B6382E">
        <w:t>20.4% and 17.2%</w:t>
      </w:r>
      <w:r>
        <w:t>,</w:t>
      </w:r>
      <w:r w:rsidRPr="00B6382E">
        <w:t xml:space="preserve"> respectively.  The source of arsenic in unconfined aquifers may be local geology or pesticides used in groves, golf courses, and cattle-dipping vats.</w:t>
      </w:r>
      <w:r>
        <w:t xml:space="preserve">  </w:t>
      </w:r>
    </w:p>
    <w:p w:rsidR="00485094" w:rsidRDefault="00485094" w:rsidP="00992855">
      <w:pPr>
        <w:pStyle w:val="ListBullet"/>
      </w:pPr>
      <w:r w:rsidRPr="00B6382E">
        <w:t xml:space="preserve">In Florida, 2.5% of the unconfined wells sampled exceeded the state threshold for lead.  </w:t>
      </w:r>
      <w:r>
        <w:t xml:space="preserve">The </w:t>
      </w:r>
      <w:r w:rsidRPr="00B6382E">
        <w:t xml:space="preserve">Lake Worth Lagoon–Palm Beach Coast and Ocklawaha </w:t>
      </w:r>
      <w:r>
        <w:t>B</w:t>
      </w:r>
      <w:r w:rsidRPr="00B6382E">
        <w:t xml:space="preserve">asins had the highest exceedance rates, </w:t>
      </w:r>
      <w:r>
        <w:t xml:space="preserve">at </w:t>
      </w:r>
      <w:r w:rsidRPr="00B6382E">
        <w:t>10.9% and 10.2%</w:t>
      </w:r>
      <w:r>
        <w:t>,</w:t>
      </w:r>
      <w:r w:rsidRPr="00B6382E">
        <w:t xml:space="preserve"> respectively.  Lead levels </w:t>
      </w:r>
      <w:r>
        <w:t>(</w:t>
      </w:r>
      <w:r w:rsidRPr="00992855">
        <w:rPr>
          <w:rFonts w:cs="Arial"/>
        </w:rPr>
        <w:t>≤15</w:t>
      </w:r>
      <w:r>
        <w:t xml:space="preserve"> </w:t>
      </w:r>
      <w:r w:rsidRPr="00992855">
        <w:rPr>
          <w:rFonts w:cs="Arial"/>
        </w:rPr>
        <w:t>µ</w:t>
      </w:r>
      <w:r>
        <w:t>g/</w:t>
      </w:r>
      <w:r w:rsidRPr="00992855">
        <w:rPr>
          <w:rFonts w:cs="Arial"/>
        </w:rPr>
        <w:t xml:space="preserve">L) </w:t>
      </w:r>
      <w:r w:rsidRPr="00B6382E">
        <w:t xml:space="preserve">above the state threshold can be indicative of contamination from land use practices.  Another source of lead may be aging plumbing fixtures associated with wells.  </w:t>
      </w:r>
    </w:p>
    <w:p w:rsidR="00485094" w:rsidRPr="00B6382E" w:rsidRDefault="00485094" w:rsidP="00692F31">
      <w:pPr>
        <w:pStyle w:val="ListBullet"/>
      </w:pPr>
      <w:r w:rsidRPr="00094947">
        <w:t>Statewide</w:t>
      </w:r>
      <w:r>
        <w:t>,</w:t>
      </w:r>
      <w:r w:rsidRPr="00094947">
        <w:t xml:space="preserve"> 0.1% of the wells sampled excee</w:t>
      </w:r>
      <w:r w:rsidRPr="00992855">
        <w:rPr>
          <w:rFonts w:cs="Arial"/>
        </w:rPr>
        <w:t>ded</w:t>
      </w:r>
      <w:r w:rsidRPr="00C81D3C">
        <w:rPr>
          <w:rFonts w:cs="Arial"/>
        </w:rPr>
        <w:t xml:space="preserve"> </w:t>
      </w:r>
      <w:r w:rsidRPr="00992855">
        <w:rPr>
          <w:rFonts w:cs="Arial"/>
        </w:rPr>
        <w:t>t</w:t>
      </w:r>
      <w:r w:rsidRPr="00C81D3C">
        <w:rPr>
          <w:rFonts w:cs="Arial"/>
        </w:rPr>
        <w:t>h</w:t>
      </w:r>
      <w:r w:rsidRPr="00094947">
        <w:t>e</w:t>
      </w:r>
      <w:r w:rsidRPr="00992855">
        <w:rPr>
          <w:rFonts w:cs="Arial"/>
        </w:rPr>
        <w:t xml:space="preserve"> st</w:t>
      </w:r>
      <w:r w:rsidRPr="00C81D3C">
        <w:rPr>
          <w:rFonts w:cs="Arial"/>
        </w:rPr>
        <w:t>a</w:t>
      </w:r>
      <w:r w:rsidRPr="00094947">
        <w:t xml:space="preserve">te threshold for cadmium.  Wells in the St. Lucie–Loxahatchee River and Everglades </w:t>
      </w:r>
      <w:r>
        <w:t>B</w:t>
      </w:r>
      <w:r w:rsidRPr="00094947">
        <w:t>asins had the highest e</w:t>
      </w:r>
      <w:r>
        <w:t>xceedance rates, both at 2.2%.</w:t>
      </w:r>
    </w:p>
    <w:p w:rsidR="00485094" w:rsidRDefault="00485094" w:rsidP="00692F31">
      <w:pPr>
        <w:pStyle w:val="ListBullet"/>
      </w:pPr>
      <w:r w:rsidRPr="00B6382E">
        <w:t xml:space="preserve">The state threshold for nitrate-nitrite </w:t>
      </w:r>
      <w:r>
        <w:t>(</w:t>
      </w:r>
      <w:r>
        <w:rPr>
          <w:rFonts w:cs="Arial"/>
        </w:rPr>
        <w:t>≤10</w:t>
      </w:r>
      <w:r>
        <w:t xml:space="preserve"> </w:t>
      </w:r>
      <w:r>
        <w:rPr>
          <w:rFonts w:cs="Arial"/>
        </w:rPr>
        <w:t>m</w:t>
      </w:r>
      <w:r>
        <w:t>g/</w:t>
      </w:r>
      <w:r>
        <w:rPr>
          <w:rFonts w:cs="Arial"/>
        </w:rPr>
        <w:t xml:space="preserve">L) </w:t>
      </w:r>
      <w:r w:rsidRPr="00B6382E">
        <w:t xml:space="preserve">was exceeded in 2.3% of Florida wells sampled.  The Kissimmee River and Middle St. Johns </w:t>
      </w:r>
      <w:r>
        <w:t>B</w:t>
      </w:r>
      <w:r w:rsidRPr="00B6382E">
        <w:t>asins had the highest exceedance rates,</w:t>
      </w:r>
      <w:r>
        <w:t xml:space="preserve"> at</w:t>
      </w:r>
      <w:r w:rsidRPr="00B6382E">
        <w:t xml:space="preserve"> 34.8% and 11.7%, respectively.  Elevated nitrate detections reflect the presence of nutrient sources such as fertilizers, animal waste, or domestic wastewater.  </w:t>
      </w:r>
    </w:p>
    <w:p w:rsidR="00485094" w:rsidRPr="00B6382E" w:rsidRDefault="00485094" w:rsidP="00692F31">
      <w:pPr>
        <w:pStyle w:val="ListBullet"/>
      </w:pPr>
      <w:r w:rsidRPr="00B6382E">
        <w:t>Statewide, 0.7% of the wells sampled exceeded the state threshold for fluoride</w:t>
      </w:r>
      <w:r>
        <w:t xml:space="preserve"> (</w:t>
      </w:r>
      <w:r>
        <w:rPr>
          <w:rFonts w:cs="Arial"/>
        </w:rPr>
        <w:t>≤4</w:t>
      </w:r>
      <w:r>
        <w:t xml:space="preserve"> mg/</w:t>
      </w:r>
      <w:r>
        <w:rPr>
          <w:rFonts w:cs="Arial"/>
        </w:rPr>
        <w:t>L)</w:t>
      </w:r>
      <w:r w:rsidRPr="00B6382E">
        <w:t xml:space="preserve">.  The Pensacola </w:t>
      </w:r>
      <w:r>
        <w:t>B</w:t>
      </w:r>
      <w:r w:rsidRPr="00B6382E">
        <w:t>asin had the highest exceedance rate</w:t>
      </w:r>
      <w:r>
        <w:t>, at</w:t>
      </w:r>
      <w:r w:rsidRPr="00B6382E">
        <w:t xml:space="preserve"> 6.4%, which may result from the inf</w:t>
      </w:r>
      <w:r>
        <w:t>luence of nearby marine areas</w:t>
      </w:r>
      <w:r w:rsidRPr="00B6382E">
        <w:t>.</w:t>
      </w:r>
    </w:p>
    <w:p w:rsidR="00485094" w:rsidRDefault="00485094" w:rsidP="00692F31">
      <w:pPr>
        <w:rPr>
          <w:rFonts w:ascii="Arial" w:hAnsi="Arial" w:cs="Arial"/>
        </w:rPr>
      </w:pPr>
    </w:p>
    <w:p w:rsidR="00485094" w:rsidRDefault="00485094" w:rsidP="00692F31">
      <w:pPr>
        <w:rPr>
          <w:rFonts w:ascii="Arial" w:hAnsi="Arial" w:cs="Arial"/>
          <w:b/>
          <w:u w:val="single"/>
        </w:rPr>
        <w:sectPr w:rsidR="00485094" w:rsidSect="00F97DA7">
          <w:headerReference w:type="even" r:id="rId96"/>
          <w:headerReference w:type="first" r:id="rId97"/>
          <w:pgSz w:w="15840" w:h="12240" w:orient="landscape" w:code="1"/>
          <w:pgMar w:top="1440" w:right="1440" w:bottom="1440" w:left="1440" w:header="720" w:footer="720" w:gutter="0"/>
          <w:paperSrc w:first="261"/>
          <w:cols w:space="720"/>
          <w:docGrid w:linePitch="360"/>
        </w:sectPr>
      </w:pPr>
    </w:p>
    <w:p w:rsidR="00485094" w:rsidRDefault="00485094" w:rsidP="00692F31">
      <w:pPr>
        <w:pStyle w:val="Heading2"/>
      </w:pPr>
      <w:bookmarkStart w:id="451" w:name="_Toc255822534"/>
      <w:bookmarkStart w:id="452" w:name="_Toc262464152"/>
      <w:bookmarkStart w:id="453" w:name="_Toc271794347"/>
      <w:r>
        <w:lastRenderedPageBreak/>
        <w:t xml:space="preserve">Summary of Status Network </w:t>
      </w:r>
      <w:r w:rsidRPr="000F2735">
        <w:t>Cycle 1 versus Cycle 2</w:t>
      </w:r>
      <w:r>
        <w:t xml:space="preserve"> Results</w:t>
      </w:r>
      <w:bookmarkEnd w:id="451"/>
      <w:bookmarkEnd w:id="452"/>
      <w:bookmarkEnd w:id="453"/>
    </w:p>
    <w:p w:rsidR="00485094" w:rsidRDefault="00485094" w:rsidP="00692F31">
      <w:pPr>
        <w:pStyle w:val="Bodytext"/>
      </w:pPr>
      <w:r>
        <w:t xml:space="preserve">Between 2000 and 2008, the Status Network monitoring program </w:t>
      </w:r>
      <w:r w:rsidRPr="000F2735">
        <w:t>complete</w:t>
      </w:r>
      <w:r>
        <w:t>d two</w:t>
      </w:r>
      <w:r w:rsidRPr="000F2735">
        <w:t xml:space="preserve"> </w:t>
      </w:r>
      <w:r>
        <w:t>statewide assessments</w:t>
      </w:r>
      <w:r w:rsidRPr="000F2735">
        <w:t xml:space="preserve"> of </w:t>
      </w:r>
      <w:r>
        <w:t xml:space="preserve">surface and ground </w:t>
      </w:r>
      <w:r w:rsidRPr="000F2735">
        <w:t>water resources</w:t>
      </w:r>
      <w:r>
        <w:t>:</w:t>
      </w:r>
      <w:r w:rsidRPr="000F2735">
        <w:t xml:space="preserve"> </w:t>
      </w:r>
      <w:r>
        <w:t xml:space="preserve"> </w:t>
      </w:r>
      <w:r w:rsidRPr="000F2735">
        <w:t>Cycle 1</w:t>
      </w:r>
      <w:r>
        <w:t xml:space="preserve"> (2000–03);</w:t>
      </w:r>
      <w:r w:rsidRPr="000F2735">
        <w:t xml:space="preserve"> and Cycle 2</w:t>
      </w:r>
      <w:r>
        <w:t xml:space="preserve"> (2004–08)</w:t>
      </w:r>
      <w:r w:rsidRPr="000F2735">
        <w:t xml:space="preserve">.  </w:t>
      </w:r>
      <w:r>
        <w:t>This section compares the results for Cycles 1 and 2, where possible.  Some</w:t>
      </w:r>
      <w:r w:rsidRPr="000F2735">
        <w:t xml:space="preserve"> resources could not be compared </w:t>
      </w:r>
      <w:r>
        <w:t>between cycles</w:t>
      </w:r>
      <w:r w:rsidRPr="000F2735">
        <w:t>.  Data from ground</w:t>
      </w:r>
      <w:r>
        <w:t xml:space="preserve"> </w:t>
      </w:r>
      <w:r w:rsidRPr="000F2735">
        <w:t>water resources from Cycle 1 were not analyzed and reported in the same manner</w:t>
      </w:r>
      <w:r>
        <w:t xml:space="preserve"> as in Cycle 2,</w:t>
      </w:r>
      <w:r w:rsidRPr="000F2735">
        <w:t xml:space="preserve"> and therefore could not be compared.  </w:t>
      </w:r>
    </w:p>
    <w:p w:rsidR="00485094" w:rsidRDefault="00485094" w:rsidP="00692F31">
      <w:pPr>
        <w:pStyle w:val="Bodytext"/>
      </w:pPr>
    </w:p>
    <w:p w:rsidR="00485094" w:rsidRDefault="00485094" w:rsidP="00692F31">
      <w:pPr>
        <w:pStyle w:val="Bodytext"/>
      </w:pPr>
      <w:r>
        <w:t>Sampling of r</w:t>
      </w:r>
      <w:r w:rsidRPr="000F2735">
        <w:t>iver and stream resource</w:t>
      </w:r>
      <w:r>
        <w:t>s</w:t>
      </w:r>
      <w:r w:rsidRPr="000F2735">
        <w:t xml:space="preserve"> </w:t>
      </w:r>
      <w:r>
        <w:t>was</w:t>
      </w:r>
      <w:r w:rsidRPr="000F2735">
        <w:t xml:space="preserve"> </w:t>
      </w:r>
      <w:r>
        <w:t>comparable</w:t>
      </w:r>
      <w:r w:rsidRPr="000F2735">
        <w:t xml:space="preserve"> between the two </w:t>
      </w:r>
      <w:r>
        <w:t>cycles of statewide assessment for selected analytes</w:t>
      </w:r>
      <w:r w:rsidRPr="000F2735">
        <w:t xml:space="preserve">.  </w:t>
      </w:r>
      <w:r>
        <w:t>D</w:t>
      </w:r>
      <w:r w:rsidRPr="000F2735">
        <w:t xml:space="preserve">uring Cycle 1, rivers and streams could not be differentiated by </w:t>
      </w:r>
      <w:r>
        <w:t>stream</w:t>
      </w:r>
      <w:r w:rsidRPr="000F2735">
        <w:t xml:space="preserve"> order, </w:t>
      </w:r>
      <w:r>
        <w:t xml:space="preserve">and </w:t>
      </w:r>
      <w:r w:rsidRPr="000F2735">
        <w:t>so resources were combined</w:t>
      </w:r>
      <w:r>
        <w:t xml:space="preserve"> for analysis and reporting in the 2006 305(b) report.</w:t>
      </w:r>
      <w:r w:rsidRPr="000F2735">
        <w:t xml:space="preserve"> </w:t>
      </w:r>
      <w:r>
        <w:t xml:space="preserve"> For purposes of comparison with </w:t>
      </w:r>
      <w:r w:rsidRPr="004A7C9F">
        <w:t>the</w:t>
      </w:r>
      <w:r>
        <w:t xml:space="preserve"> Cycle 1 resource, Cycle 2 rivers and streams were </w:t>
      </w:r>
      <w:r w:rsidRPr="000F2735">
        <w:t>combined</w:t>
      </w:r>
      <w:r>
        <w:t xml:space="preserve"> and analyzed</w:t>
      </w:r>
      <w:r w:rsidRPr="000F2735">
        <w:t xml:space="preserve"> </w:t>
      </w:r>
      <w:r>
        <w:t>as one.</w:t>
      </w:r>
    </w:p>
    <w:p w:rsidR="00485094" w:rsidRDefault="00485094" w:rsidP="00692F31">
      <w:pPr>
        <w:pStyle w:val="Bodytext"/>
      </w:pPr>
    </w:p>
    <w:p w:rsidR="00485094" w:rsidRPr="000F2735" w:rsidRDefault="00485094" w:rsidP="00692F31">
      <w:pPr>
        <w:pStyle w:val="Bodytext"/>
      </w:pPr>
      <w:r w:rsidRPr="009008BE">
        <w:t>The two cycles had very similar results for the listed analytes (</w:t>
      </w:r>
      <w:r w:rsidRPr="00B827B3">
        <w:rPr>
          <w:b/>
          <w:i/>
        </w:rPr>
        <w:t>Table 6.</w:t>
      </w:r>
      <w:r>
        <w:rPr>
          <w:b/>
          <w:i/>
        </w:rPr>
        <w:t>7</w:t>
      </w:r>
      <w:r w:rsidRPr="00B827B3">
        <w:rPr>
          <w:b/>
          <w:i/>
        </w:rPr>
        <w:t>a</w:t>
      </w:r>
      <w:r w:rsidRPr="009008BE">
        <w:t xml:space="preserve">).  </w:t>
      </w:r>
      <w:r>
        <w:t>R</w:t>
      </w:r>
      <w:r w:rsidRPr="009008BE">
        <w:t xml:space="preserve">eductions in the percentage of resources meeting thresholds </w:t>
      </w:r>
      <w:r>
        <w:t xml:space="preserve">in Cycle 2 </w:t>
      </w:r>
      <w:r w:rsidRPr="009008BE">
        <w:t xml:space="preserve">could represent an artifact from the </w:t>
      </w:r>
      <w:r>
        <w:t xml:space="preserve">different </w:t>
      </w:r>
      <w:r w:rsidRPr="009008BE">
        <w:t xml:space="preserve">coverages used to determine resource extent.  In Cycle 1, </w:t>
      </w:r>
      <w:r w:rsidR="003D799D">
        <w:t>t</w:t>
      </w:r>
      <w:r w:rsidRPr="009008BE">
        <w:t xml:space="preserve">he </w:t>
      </w:r>
      <w:hyperlink r:id="rId98" w:history="1">
        <w:r w:rsidRPr="00F933EC">
          <w:rPr>
            <w:rStyle w:val="Hyperlink"/>
            <w:szCs w:val="22"/>
          </w:rPr>
          <w:t>Watershed Monitoring Section</w:t>
        </w:r>
      </w:hyperlink>
      <w:r>
        <w:rPr>
          <w:szCs w:val="22"/>
        </w:rPr>
        <w:t xml:space="preserve"> </w:t>
      </w:r>
      <w:r w:rsidRPr="009008BE">
        <w:t>u</w:t>
      </w:r>
      <w:r>
        <w:t>s</w:t>
      </w:r>
      <w:r w:rsidRPr="009008BE">
        <w:t xml:space="preserve">ed the 100K RF3 coverage; in Cycle 2, </w:t>
      </w:r>
      <w:r>
        <w:t>it</w:t>
      </w:r>
      <w:r w:rsidRPr="009008BE">
        <w:t xml:space="preserve"> adopted the </w:t>
      </w:r>
      <w:r w:rsidR="00F514F9" w:rsidRPr="008B7C73">
        <w:rPr>
          <w:rFonts w:cs="Arial"/>
          <w:szCs w:val="22"/>
        </w:rPr>
        <w:t>National Hydrography Dataset</w:t>
      </w:r>
      <w:r w:rsidR="00F514F9" w:rsidRPr="009008BE">
        <w:t xml:space="preserve"> </w:t>
      </w:r>
      <w:r w:rsidR="00F514F9">
        <w:t>(</w:t>
      </w:r>
      <w:r w:rsidRPr="009008BE">
        <w:t>NHD</w:t>
      </w:r>
      <w:r w:rsidR="00F514F9">
        <w:t>)</w:t>
      </w:r>
      <w:r w:rsidRPr="009008BE">
        <w:t xml:space="preserve"> 100K coverage</w:t>
      </w:r>
      <w:r>
        <w:t xml:space="preserve">. </w:t>
      </w:r>
      <w:r w:rsidRPr="009008BE">
        <w:t xml:space="preserve"> </w:t>
      </w:r>
      <w:r>
        <w:t>F</w:t>
      </w:r>
      <w:r w:rsidRPr="009008BE">
        <w:t>ewer Cycle 2 rivers and streams me</w:t>
      </w:r>
      <w:r>
        <w:t xml:space="preserve">t the </w:t>
      </w:r>
      <w:r w:rsidRPr="009008BE">
        <w:t xml:space="preserve">thresholds for specific </w:t>
      </w:r>
      <w:r>
        <w:t>indicator</w:t>
      </w:r>
      <w:r w:rsidRPr="009008BE">
        <w:t>s</w:t>
      </w:r>
      <w:r>
        <w:t>.</w:t>
      </w:r>
    </w:p>
    <w:p w:rsidR="00485094" w:rsidRDefault="00485094" w:rsidP="00692F31">
      <w:pPr>
        <w:pStyle w:val="Bodytext"/>
      </w:pPr>
    </w:p>
    <w:p w:rsidR="00485094" w:rsidRPr="007E0146" w:rsidRDefault="00485094" w:rsidP="00692F31">
      <w:pPr>
        <w:pStyle w:val="Tableheading"/>
        <w:rPr>
          <w:bCs/>
        </w:rPr>
      </w:pPr>
      <w:bookmarkStart w:id="454" w:name="_Toc255482844"/>
      <w:bookmarkStart w:id="455" w:name="_Toc255807502"/>
      <w:bookmarkStart w:id="456" w:name="_Toc262464256"/>
      <w:bookmarkStart w:id="457" w:name="_Toc271889850"/>
      <w:r w:rsidRPr="00CE759D">
        <w:t xml:space="preserve">Table </w:t>
      </w:r>
      <w:r>
        <w:t>6.7</w:t>
      </w:r>
      <w:r w:rsidRPr="00CE759D">
        <w:t>a.</w:t>
      </w:r>
      <w:r>
        <w:t xml:space="preserve">  </w:t>
      </w:r>
      <w:r w:rsidRPr="00CE759D">
        <w:t>Percentage of Combined Rivers and Streams Resource Meeting Threshold Values for Statewide Assessment for Cycle</w:t>
      </w:r>
      <w:r>
        <w:t>s</w:t>
      </w:r>
      <w:r w:rsidRPr="00CE759D">
        <w:t xml:space="preserve"> 1 and 2</w:t>
      </w:r>
      <w:bookmarkEnd w:id="454"/>
      <w:bookmarkEnd w:id="455"/>
      <w:bookmarkEnd w:id="456"/>
      <w:bookmarkEnd w:id="457"/>
    </w:p>
    <w:p w:rsidR="00485094" w:rsidRPr="00B827B3" w:rsidRDefault="00485094" w:rsidP="00692F31">
      <w:pPr>
        <w:pStyle w:val="TabledescriptionBF"/>
        <w:rPr>
          <w:b/>
        </w:rPr>
      </w:pPr>
      <w:r w:rsidRPr="00B827B3">
        <w:rPr>
          <w:b/>
        </w:rPr>
        <w:t>Status Network</w:t>
      </w:r>
      <w:r w:rsidRPr="00B827B3">
        <w:rPr>
          <w:b/>
        </w:rPr>
        <w:tab/>
      </w:r>
      <w:r w:rsidRPr="00B827B3">
        <w:rPr>
          <w:b/>
        </w:rPr>
        <w:tab/>
        <w:t xml:space="preserve">Designated Use:  Recreation and Aquatic Life </w:t>
      </w:r>
      <w:r w:rsidRPr="00B827B3">
        <w:rPr>
          <w:b/>
        </w:rPr>
        <w:tab/>
      </w:r>
      <w:r w:rsidRPr="00B827B3">
        <w:rPr>
          <w:b/>
        </w:rPr>
        <w:tab/>
        <w:t>Units:  Miles</w:t>
      </w:r>
    </w:p>
    <w:p w:rsidR="00485094" w:rsidRDefault="00485094" w:rsidP="00692F31">
      <w:pPr>
        <w:pStyle w:val="TabledescriptionBF"/>
      </w:pPr>
    </w:p>
    <w:p w:rsidR="00485094" w:rsidRPr="00B827B3" w:rsidRDefault="00485094" w:rsidP="00692F31">
      <w:pPr>
        <w:pStyle w:val="TabledescriptionBF"/>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Pr="00B827B3" w:rsidRDefault="00485094" w:rsidP="00692F31">
      <w:pPr>
        <w:pStyle w:val="TabledescriptionBF"/>
        <w:rPr>
          <w:szCs w:val="22"/>
        </w:rPr>
      </w:pPr>
    </w:p>
    <w:tbl>
      <w:tblPr>
        <w:tblW w:w="867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1E0"/>
      </w:tblPr>
      <w:tblGrid>
        <w:gridCol w:w="1584"/>
        <w:gridCol w:w="1890"/>
        <w:gridCol w:w="1890"/>
        <w:gridCol w:w="1656"/>
        <w:gridCol w:w="1656"/>
      </w:tblGrid>
      <w:tr w:rsidR="00485094" w:rsidRPr="000F2909" w:rsidTr="000F2909">
        <w:trPr>
          <w:trHeight w:val="288"/>
          <w:tblHeader/>
          <w:jc w:val="center"/>
        </w:trPr>
        <w:tc>
          <w:tcPr>
            <w:tcW w:w="1584"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top w:val="single" w:sz="4" w:space="0" w:color="auto"/>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656" w:type="dxa"/>
            <w:tcBorders>
              <w:top w:val="single" w:sz="4" w:space="0" w:color="auto"/>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656" w:type="dxa"/>
            <w:tcBorders>
              <w:top w:val="sing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662D0D" w:rsidTr="008F1C14">
        <w:trPr>
          <w:cantSplit/>
          <w:trHeight w:val="288"/>
          <w:jc w:val="center"/>
        </w:trPr>
        <w:tc>
          <w:tcPr>
            <w:tcW w:w="1584" w:type="dxa"/>
            <w:tcBorders>
              <w:top w:val="double" w:sz="4" w:space="0" w:color="auto"/>
            </w:tcBorders>
            <w:shd w:val="clear" w:color="auto" w:fill="FFFFCC"/>
            <w:vAlign w:val="center"/>
          </w:tcPr>
          <w:p w:rsidR="00485094" w:rsidRPr="00662D0D" w:rsidRDefault="00485094" w:rsidP="00453E80">
            <w:pPr>
              <w:pStyle w:val="TableText"/>
              <w:jc w:val="center"/>
            </w:pPr>
            <w:r w:rsidRPr="00662D0D">
              <w:t>Chlorophyll a</w:t>
            </w:r>
          </w:p>
        </w:tc>
        <w:tc>
          <w:tcPr>
            <w:tcW w:w="1890" w:type="dxa"/>
            <w:tcBorders>
              <w:top w:val="double" w:sz="4" w:space="0" w:color="auto"/>
            </w:tcBorders>
            <w:vAlign w:val="center"/>
          </w:tcPr>
          <w:p w:rsidR="00485094" w:rsidRPr="00662D0D" w:rsidRDefault="00485094" w:rsidP="00453E80">
            <w:pPr>
              <w:pStyle w:val="TableText"/>
              <w:jc w:val="center"/>
            </w:pPr>
            <w:r w:rsidRPr="00662D0D">
              <w:t>32</w:t>
            </w:r>
            <w:r>
              <w:t>,</w:t>
            </w:r>
            <w:r w:rsidRPr="00662D0D">
              <w:t>929</w:t>
            </w:r>
          </w:p>
        </w:tc>
        <w:tc>
          <w:tcPr>
            <w:tcW w:w="1890" w:type="dxa"/>
            <w:tcBorders>
              <w:top w:val="double" w:sz="4" w:space="0" w:color="auto"/>
              <w:right w:val="double" w:sz="4" w:space="0" w:color="auto"/>
            </w:tcBorders>
            <w:vAlign w:val="center"/>
          </w:tcPr>
          <w:p w:rsidR="00485094" w:rsidRPr="00662D0D" w:rsidRDefault="00485094" w:rsidP="00453E80">
            <w:pPr>
              <w:pStyle w:val="TableText"/>
              <w:jc w:val="center"/>
            </w:pPr>
            <w:r w:rsidRPr="00662D0D">
              <w:t>37</w:t>
            </w:r>
            <w:r>
              <w:t>,</w:t>
            </w:r>
            <w:r w:rsidRPr="00662D0D">
              <w:t>733</w:t>
            </w:r>
          </w:p>
        </w:tc>
        <w:tc>
          <w:tcPr>
            <w:tcW w:w="1656" w:type="dxa"/>
            <w:tcBorders>
              <w:top w:val="double" w:sz="4" w:space="0" w:color="auto"/>
              <w:left w:val="double" w:sz="4" w:space="0" w:color="auto"/>
            </w:tcBorders>
            <w:vAlign w:val="center"/>
          </w:tcPr>
          <w:p w:rsidR="00485094" w:rsidRPr="00662D0D" w:rsidRDefault="00485094" w:rsidP="00453E80">
            <w:pPr>
              <w:pStyle w:val="TableText"/>
              <w:jc w:val="center"/>
            </w:pPr>
            <w:r w:rsidRPr="00662D0D">
              <w:t>80.2</w:t>
            </w:r>
          </w:p>
        </w:tc>
        <w:tc>
          <w:tcPr>
            <w:tcW w:w="1656" w:type="dxa"/>
            <w:tcBorders>
              <w:top w:val="double" w:sz="4" w:space="0" w:color="auto"/>
            </w:tcBorders>
            <w:vAlign w:val="center"/>
          </w:tcPr>
          <w:p w:rsidR="00485094" w:rsidRPr="00662D0D" w:rsidRDefault="00485094" w:rsidP="00453E80">
            <w:pPr>
              <w:pStyle w:val="TableText"/>
              <w:jc w:val="center"/>
            </w:pPr>
            <w:r w:rsidRPr="00662D0D">
              <w:t>75.4</w:t>
            </w:r>
          </w:p>
        </w:tc>
      </w:tr>
      <w:tr w:rsidR="00485094" w:rsidRPr="00662D0D" w:rsidTr="008F1C14">
        <w:trPr>
          <w:cantSplit/>
          <w:trHeight w:val="288"/>
          <w:jc w:val="center"/>
        </w:trPr>
        <w:tc>
          <w:tcPr>
            <w:tcW w:w="1584" w:type="dxa"/>
            <w:shd w:val="clear" w:color="auto" w:fill="FFFFCC"/>
            <w:vAlign w:val="center"/>
          </w:tcPr>
          <w:p w:rsidR="00485094" w:rsidRPr="00662D0D" w:rsidRDefault="00485094" w:rsidP="00453E80">
            <w:pPr>
              <w:pStyle w:val="TableText"/>
              <w:jc w:val="center"/>
            </w:pPr>
            <w:r w:rsidRPr="00662D0D">
              <w:t>Fecal Coliform</w:t>
            </w:r>
          </w:p>
        </w:tc>
        <w:tc>
          <w:tcPr>
            <w:tcW w:w="1890" w:type="dxa"/>
            <w:vAlign w:val="center"/>
          </w:tcPr>
          <w:p w:rsidR="00485094" w:rsidRPr="00662D0D" w:rsidRDefault="00485094" w:rsidP="00453E80">
            <w:pPr>
              <w:pStyle w:val="TableText"/>
              <w:jc w:val="center"/>
            </w:pPr>
            <w:r w:rsidRPr="00662D0D">
              <w:t>32</w:t>
            </w:r>
            <w:r>
              <w:t>,</w:t>
            </w:r>
            <w:r w:rsidRPr="00662D0D">
              <w:t>929</w:t>
            </w:r>
          </w:p>
        </w:tc>
        <w:tc>
          <w:tcPr>
            <w:tcW w:w="1890" w:type="dxa"/>
            <w:tcBorders>
              <w:right w:val="double" w:sz="4" w:space="0" w:color="auto"/>
            </w:tcBorders>
            <w:vAlign w:val="center"/>
          </w:tcPr>
          <w:p w:rsidR="00485094" w:rsidRPr="00662D0D" w:rsidRDefault="00485094" w:rsidP="00453E80">
            <w:pPr>
              <w:pStyle w:val="TableText"/>
              <w:jc w:val="center"/>
            </w:pPr>
            <w:r w:rsidRPr="00662D0D">
              <w:t>37</w:t>
            </w:r>
            <w:r>
              <w:t>,</w:t>
            </w:r>
            <w:r w:rsidRPr="00662D0D">
              <w:t>733</w:t>
            </w:r>
          </w:p>
        </w:tc>
        <w:tc>
          <w:tcPr>
            <w:tcW w:w="1656" w:type="dxa"/>
            <w:tcBorders>
              <w:left w:val="double" w:sz="4" w:space="0" w:color="auto"/>
            </w:tcBorders>
            <w:vAlign w:val="center"/>
          </w:tcPr>
          <w:p w:rsidR="00485094" w:rsidRPr="00662D0D" w:rsidRDefault="00485094" w:rsidP="00453E80">
            <w:pPr>
              <w:pStyle w:val="TableText"/>
              <w:jc w:val="center"/>
            </w:pPr>
            <w:r w:rsidRPr="00662D0D">
              <w:t>73.8</w:t>
            </w:r>
          </w:p>
        </w:tc>
        <w:tc>
          <w:tcPr>
            <w:tcW w:w="1656" w:type="dxa"/>
            <w:vAlign w:val="center"/>
          </w:tcPr>
          <w:p w:rsidR="00485094" w:rsidRPr="00662D0D" w:rsidRDefault="00485094" w:rsidP="00453E80">
            <w:pPr>
              <w:pStyle w:val="TableText"/>
              <w:jc w:val="center"/>
            </w:pPr>
            <w:r w:rsidRPr="00662D0D">
              <w:t>72.3</w:t>
            </w:r>
          </w:p>
        </w:tc>
      </w:tr>
      <w:tr w:rsidR="00485094" w:rsidRPr="00662D0D" w:rsidTr="008F1C14">
        <w:trPr>
          <w:cantSplit/>
          <w:trHeight w:val="288"/>
          <w:jc w:val="center"/>
        </w:trPr>
        <w:tc>
          <w:tcPr>
            <w:tcW w:w="1584" w:type="dxa"/>
            <w:shd w:val="clear" w:color="auto" w:fill="FFFFCC"/>
            <w:vAlign w:val="center"/>
          </w:tcPr>
          <w:p w:rsidR="00485094" w:rsidRPr="00662D0D" w:rsidRDefault="00485094" w:rsidP="00453E80">
            <w:pPr>
              <w:pStyle w:val="TableText"/>
              <w:jc w:val="center"/>
            </w:pPr>
            <w:r w:rsidRPr="00662D0D">
              <w:t>DO</w:t>
            </w:r>
          </w:p>
        </w:tc>
        <w:tc>
          <w:tcPr>
            <w:tcW w:w="1890" w:type="dxa"/>
            <w:shd w:val="clear" w:color="auto" w:fill="FFFFFF"/>
            <w:vAlign w:val="center"/>
          </w:tcPr>
          <w:p w:rsidR="00485094" w:rsidRPr="00662D0D" w:rsidRDefault="00485094" w:rsidP="00453E80">
            <w:pPr>
              <w:pStyle w:val="TableText"/>
              <w:jc w:val="center"/>
            </w:pPr>
            <w:r w:rsidRPr="00662D0D">
              <w:t>32</w:t>
            </w:r>
            <w:r>
              <w:t>,</w:t>
            </w:r>
            <w:r w:rsidRPr="00662D0D">
              <w:t>929</w:t>
            </w:r>
          </w:p>
        </w:tc>
        <w:tc>
          <w:tcPr>
            <w:tcW w:w="1890" w:type="dxa"/>
            <w:tcBorders>
              <w:right w:val="double" w:sz="4" w:space="0" w:color="auto"/>
            </w:tcBorders>
            <w:shd w:val="clear" w:color="auto" w:fill="FFFFFF"/>
            <w:vAlign w:val="center"/>
          </w:tcPr>
          <w:p w:rsidR="00485094" w:rsidRPr="00662D0D" w:rsidRDefault="00485094" w:rsidP="00453E80">
            <w:pPr>
              <w:pStyle w:val="TableText"/>
              <w:jc w:val="center"/>
            </w:pPr>
            <w:r w:rsidRPr="00662D0D">
              <w:t>37</w:t>
            </w:r>
            <w:r>
              <w:t>,</w:t>
            </w:r>
            <w:r w:rsidRPr="00662D0D">
              <w:t>733</w:t>
            </w:r>
          </w:p>
        </w:tc>
        <w:tc>
          <w:tcPr>
            <w:tcW w:w="1656" w:type="dxa"/>
            <w:tcBorders>
              <w:left w:val="double" w:sz="4" w:space="0" w:color="auto"/>
            </w:tcBorders>
            <w:shd w:val="clear" w:color="auto" w:fill="FFFFFF"/>
            <w:vAlign w:val="center"/>
          </w:tcPr>
          <w:p w:rsidR="00485094" w:rsidRPr="00662D0D" w:rsidRDefault="00485094" w:rsidP="00453E80">
            <w:pPr>
              <w:pStyle w:val="TableText"/>
              <w:jc w:val="center"/>
            </w:pPr>
            <w:r w:rsidRPr="00662D0D">
              <w:t>50.1</w:t>
            </w:r>
          </w:p>
        </w:tc>
        <w:tc>
          <w:tcPr>
            <w:tcW w:w="1656" w:type="dxa"/>
            <w:shd w:val="clear" w:color="auto" w:fill="FFFFFF"/>
            <w:vAlign w:val="center"/>
          </w:tcPr>
          <w:p w:rsidR="00485094" w:rsidRPr="00662D0D" w:rsidRDefault="00485094" w:rsidP="00453E80">
            <w:pPr>
              <w:pStyle w:val="TableText"/>
              <w:jc w:val="center"/>
            </w:pPr>
            <w:r w:rsidRPr="00662D0D">
              <w:t>46.8</w:t>
            </w:r>
          </w:p>
        </w:tc>
      </w:tr>
    </w:tbl>
    <w:p w:rsidR="00485094" w:rsidRPr="000F2735" w:rsidRDefault="00485094" w:rsidP="00692F31">
      <w:pPr>
        <w:pStyle w:val="Bodytextreduced"/>
      </w:pPr>
    </w:p>
    <w:p w:rsidR="00485094" w:rsidRDefault="00485094" w:rsidP="00692F31">
      <w:pPr>
        <w:pStyle w:val="Bodytextreduced"/>
      </w:pPr>
    </w:p>
    <w:p w:rsidR="00485094" w:rsidRPr="000F2735" w:rsidRDefault="00485094" w:rsidP="00692F31">
      <w:pPr>
        <w:pStyle w:val="Bodytext"/>
      </w:pPr>
      <w:r>
        <w:t>T</w:t>
      </w:r>
      <w:r w:rsidRPr="000F2735">
        <w:t>he lakes resources, both large and small, were redefined from Cycle 1 to Cycle 2</w:t>
      </w:r>
      <w:r>
        <w:t xml:space="preserve">; however, TSI, fecal coliform, and DO results were suitable for comparison and are shown in </w:t>
      </w:r>
      <w:r w:rsidRPr="00CD64C9">
        <w:rPr>
          <w:b/>
          <w:i/>
        </w:rPr>
        <w:t xml:space="preserve">Tables </w:t>
      </w:r>
      <w:r>
        <w:rPr>
          <w:b/>
          <w:i/>
        </w:rPr>
        <w:t xml:space="preserve">6.7b </w:t>
      </w:r>
      <w:r w:rsidRPr="00B827B3">
        <w:t>and</w:t>
      </w:r>
      <w:r>
        <w:rPr>
          <w:b/>
          <w:i/>
        </w:rPr>
        <w:t xml:space="preserve"> 6.7c</w:t>
      </w:r>
      <w:r>
        <w:t xml:space="preserve"> for small and large lakes, respectively</w:t>
      </w:r>
      <w:r w:rsidRPr="000F2735">
        <w:t>.</w:t>
      </w:r>
    </w:p>
    <w:p w:rsidR="00485094" w:rsidRDefault="00485094" w:rsidP="00692F31">
      <w:pPr>
        <w:pStyle w:val="Bodytext"/>
      </w:pPr>
    </w:p>
    <w:p w:rsidR="00485094" w:rsidRDefault="00485094" w:rsidP="00692F31">
      <w:pPr>
        <w:pStyle w:val="Bodytext"/>
      </w:pPr>
      <w:r w:rsidRPr="000F2735">
        <w:t>The results for small lakes were similar</w:t>
      </w:r>
      <w:r>
        <w:t xml:space="preserve"> </w:t>
      </w:r>
      <w:r w:rsidRPr="000F2735">
        <w:t>between Cycle</w:t>
      </w:r>
      <w:r>
        <w:t>s</w:t>
      </w:r>
      <w:r w:rsidRPr="000F2735">
        <w:t xml:space="preserve"> 1 and 2 (</w:t>
      </w:r>
      <w:r w:rsidRPr="00662D0D">
        <w:rPr>
          <w:b/>
          <w:i/>
        </w:rPr>
        <w:t xml:space="preserve">Table </w:t>
      </w:r>
      <w:r>
        <w:rPr>
          <w:b/>
          <w:i/>
        </w:rPr>
        <w:t>6.7</w:t>
      </w:r>
      <w:r w:rsidRPr="00662D0D">
        <w:rPr>
          <w:b/>
          <w:i/>
        </w:rPr>
        <w:t>b</w:t>
      </w:r>
      <w:r w:rsidRPr="000F2735">
        <w:t>)</w:t>
      </w:r>
      <w:r>
        <w:t xml:space="preserve">, although </w:t>
      </w:r>
      <w:r w:rsidRPr="000F2735">
        <w:t xml:space="preserve">half of the target population from Cycle 1 small lakes was excluded in Cycle 2.  Those lakes that were excluded were considered to be artificial, such as borrow pits or man-made lakes on golf courses.  The results for fecal coliform and </w:t>
      </w:r>
      <w:r>
        <w:t>DO</w:t>
      </w:r>
      <w:r w:rsidRPr="000F2735">
        <w:t xml:space="preserve"> were very similar.  </w:t>
      </w:r>
      <w:r>
        <w:t xml:space="preserve">The percentage of small lakes meeting the TSI threshold </w:t>
      </w:r>
      <w:r w:rsidRPr="000F2735">
        <w:t xml:space="preserve">increased by </w:t>
      </w:r>
      <w:r>
        <w:t xml:space="preserve">nearly </w:t>
      </w:r>
      <w:r w:rsidRPr="000F2735">
        <w:t>10% from Cycle 1 to Cycle 2 and may reflect the removal of artificial lakes that should not have been sampled</w:t>
      </w:r>
      <w:r>
        <w:t xml:space="preserve"> for biological indicators</w:t>
      </w:r>
      <w:r w:rsidRPr="000F2735">
        <w:t>.</w:t>
      </w:r>
    </w:p>
    <w:p w:rsidR="00485094" w:rsidRPr="000F2735" w:rsidRDefault="00485094" w:rsidP="00692F31">
      <w:pPr>
        <w:pStyle w:val="Bodytext"/>
      </w:pPr>
      <w:r>
        <w:br w:type="page"/>
      </w:r>
    </w:p>
    <w:p w:rsidR="00485094" w:rsidRPr="000F2735" w:rsidRDefault="00485094" w:rsidP="00692F31">
      <w:pPr>
        <w:pStyle w:val="Tableheading"/>
        <w:rPr>
          <w:bCs/>
          <w:szCs w:val="22"/>
        </w:rPr>
      </w:pPr>
      <w:bookmarkStart w:id="458" w:name="_Toc255482845"/>
      <w:bookmarkStart w:id="459" w:name="_Toc255807503"/>
      <w:bookmarkStart w:id="460" w:name="_Toc262464257"/>
      <w:bookmarkStart w:id="461" w:name="_Toc271889851"/>
      <w:r w:rsidRPr="000F2735">
        <w:rPr>
          <w:szCs w:val="22"/>
        </w:rPr>
        <w:lastRenderedPageBreak/>
        <w:t xml:space="preserve">Table </w:t>
      </w:r>
      <w:r>
        <w:rPr>
          <w:szCs w:val="22"/>
        </w:rPr>
        <w:t>6.7b</w:t>
      </w:r>
      <w:r w:rsidRPr="000F2735">
        <w:rPr>
          <w:szCs w:val="22"/>
        </w:rPr>
        <w:t>.  Percentage of Small Lakes Resource Meeting Threshold Values for Statewide Assessment for Cycle</w:t>
      </w:r>
      <w:r>
        <w:rPr>
          <w:szCs w:val="22"/>
        </w:rPr>
        <w:t>s</w:t>
      </w:r>
      <w:r w:rsidRPr="000F2735">
        <w:rPr>
          <w:szCs w:val="22"/>
        </w:rPr>
        <w:t xml:space="preserve"> 1 and 2</w:t>
      </w:r>
      <w:bookmarkEnd w:id="458"/>
      <w:bookmarkEnd w:id="459"/>
      <w:bookmarkEnd w:id="460"/>
      <w:bookmarkEnd w:id="461"/>
    </w:p>
    <w:p w:rsidR="00485094" w:rsidRDefault="00485094" w:rsidP="00692F31">
      <w:pPr>
        <w:pStyle w:val="TabledescriptionBF"/>
      </w:pPr>
      <w:r w:rsidRPr="000F2E01">
        <w:rPr>
          <w:b/>
        </w:rPr>
        <w:t>Status Network</w:t>
      </w:r>
      <w:r w:rsidRPr="000F2E01">
        <w:rPr>
          <w:b/>
        </w:rPr>
        <w:tab/>
      </w:r>
      <w:r w:rsidRPr="000F2E01">
        <w:rPr>
          <w:b/>
        </w:rPr>
        <w:tab/>
        <w:t>Designated Use:  Recreation and Aquatic Life</w:t>
      </w:r>
      <w:r w:rsidRPr="000F2E01">
        <w:rPr>
          <w:b/>
          <w:vertAlign w:val="superscript"/>
        </w:rPr>
        <w:t xml:space="preserve"> </w:t>
      </w:r>
      <w:r w:rsidRPr="000F2E01">
        <w:rPr>
          <w:b/>
          <w:vertAlign w:val="superscript"/>
        </w:rPr>
        <w:tab/>
      </w:r>
      <w:r w:rsidRPr="000F2E01">
        <w:rPr>
          <w:b/>
        </w:rPr>
        <w:t>Units:  Lakes</w:t>
      </w:r>
    </w:p>
    <w:p w:rsidR="00485094" w:rsidRDefault="00485094" w:rsidP="00692F31">
      <w:pPr>
        <w:pStyle w:val="TabledescriptionBF"/>
      </w:pPr>
    </w:p>
    <w:p w:rsidR="00485094" w:rsidRPr="00B827B3" w:rsidRDefault="00485094" w:rsidP="00692F31">
      <w:pPr>
        <w:pStyle w:val="TabledescriptionBF"/>
        <w:rPr>
          <w:b/>
        </w:rPr>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Pr="000F2735" w:rsidRDefault="00485094" w:rsidP="00692F31">
      <w:pPr>
        <w:pStyle w:val="Bodytextreduced"/>
      </w:pPr>
    </w:p>
    <w:tbl>
      <w:tblPr>
        <w:tblW w:w="862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80"/>
        <w:gridCol w:w="1890"/>
        <w:gridCol w:w="1890"/>
        <w:gridCol w:w="1433"/>
        <w:gridCol w:w="1433"/>
      </w:tblGrid>
      <w:tr w:rsidR="00485094" w:rsidRPr="000F2909" w:rsidTr="000F2909">
        <w:trPr>
          <w:tblHeader/>
          <w:jc w:val="center"/>
        </w:trPr>
        <w:tc>
          <w:tcPr>
            <w:tcW w:w="198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433" w:type="dxa"/>
            <w:tcBorders>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433"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D55B27" w:rsidTr="008F1C14">
        <w:trPr>
          <w:cantSplit/>
          <w:trHeight w:val="288"/>
          <w:jc w:val="center"/>
        </w:trPr>
        <w:tc>
          <w:tcPr>
            <w:tcW w:w="1980" w:type="dxa"/>
            <w:tcBorders>
              <w:top w:val="double" w:sz="4" w:space="0" w:color="auto"/>
            </w:tcBorders>
            <w:shd w:val="clear" w:color="auto" w:fill="FFFFCC"/>
            <w:vAlign w:val="center"/>
          </w:tcPr>
          <w:p w:rsidR="00485094" w:rsidRPr="00D55B27" w:rsidRDefault="00485094" w:rsidP="00453E80">
            <w:pPr>
              <w:pStyle w:val="TableText"/>
              <w:jc w:val="center"/>
            </w:pPr>
            <w:r>
              <w:t>TSI</w:t>
            </w:r>
          </w:p>
        </w:tc>
        <w:tc>
          <w:tcPr>
            <w:tcW w:w="1890" w:type="dxa"/>
            <w:tcBorders>
              <w:top w:val="double" w:sz="4" w:space="0" w:color="auto"/>
            </w:tcBorders>
            <w:vAlign w:val="center"/>
          </w:tcPr>
          <w:p w:rsidR="00485094" w:rsidRPr="00D55B27" w:rsidRDefault="00485094" w:rsidP="00453E80">
            <w:pPr>
              <w:pStyle w:val="TableText"/>
              <w:jc w:val="center"/>
            </w:pPr>
            <w:r w:rsidRPr="00D55B27">
              <w:t>10</w:t>
            </w:r>
            <w:r>
              <w:t>,</w:t>
            </w:r>
            <w:r w:rsidRPr="00D55B27">
              <w:t>630</w:t>
            </w:r>
          </w:p>
        </w:tc>
        <w:tc>
          <w:tcPr>
            <w:tcW w:w="1890" w:type="dxa"/>
            <w:tcBorders>
              <w:top w:val="double" w:sz="4" w:space="0" w:color="auto"/>
              <w:right w:val="double" w:sz="4" w:space="0" w:color="auto"/>
            </w:tcBorders>
            <w:vAlign w:val="center"/>
          </w:tcPr>
          <w:p w:rsidR="00485094" w:rsidRPr="00D55B27" w:rsidRDefault="00485094" w:rsidP="00453E80">
            <w:pPr>
              <w:pStyle w:val="TableText"/>
              <w:jc w:val="center"/>
            </w:pPr>
            <w:r w:rsidRPr="00D55B27">
              <w:t>5</w:t>
            </w:r>
            <w:r>
              <w:t>,</w:t>
            </w:r>
            <w:r w:rsidRPr="00D55B27">
              <w:t>882</w:t>
            </w:r>
          </w:p>
        </w:tc>
        <w:tc>
          <w:tcPr>
            <w:tcW w:w="1433" w:type="dxa"/>
            <w:tcBorders>
              <w:top w:val="double" w:sz="4" w:space="0" w:color="auto"/>
              <w:left w:val="double" w:sz="4" w:space="0" w:color="auto"/>
            </w:tcBorders>
            <w:vAlign w:val="center"/>
          </w:tcPr>
          <w:p w:rsidR="00485094" w:rsidRPr="00D55B27" w:rsidRDefault="00485094" w:rsidP="00453E80">
            <w:pPr>
              <w:pStyle w:val="TableText"/>
              <w:jc w:val="center"/>
            </w:pPr>
            <w:r w:rsidRPr="00D55B27">
              <w:t>81.7</w:t>
            </w:r>
          </w:p>
        </w:tc>
        <w:tc>
          <w:tcPr>
            <w:tcW w:w="1433" w:type="dxa"/>
            <w:tcBorders>
              <w:top w:val="double" w:sz="4" w:space="0" w:color="auto"/>
            </w:tcBorders>
            <w:vAlign w:val="center"/>
          </w:tcPr>
          <w:p w:rsidR="00485094" w:rsidRPr="00D55B27" w:rsidRDefault="00485094" w:rsidP="00453E80">
            <w:pPr>
              <w:pStyle w:val="TableText"/>
              <w:jc w:val="center"/>
            </w:pPr>
            <w:r w:rsidRPr="00D55B27">
              <w:t>90.3</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rsidRPr="00D55B27">
              <w:t>Fecal Coliform</w:t>
            </w:r>
          </w:p>
        </w:tc>
        <w:tc>
          <w:tcPr>
            <w:tcW w:w="1890" w:type="dxa"/>
            <w:vAlign w:val="center"/>
          </w:tcPr>
          <w:p w:rsidR="00485094" w:rsidRPr="00D55B27" w:rsidRDefault="00485094" w:rsidP="00453E80">
            <w:pPr>
              <w:pStyle w:val="TableText"/>
              <w:jc w:val="center"/>
            </w:pPr>
            <w:r w:rsidRPr="00D55B27">
              <w:t>10</w:t>
            </w:r>
            <w:r>
              <w:t>,</w:t>
            </w:r>
            <w:r w:rsidRPr="00D55B27">
              <w:t>630</w:t>
            </w:r>
          </w:p>
        </w:tc>
        <w:tc>
          <w:tcPr>
            <w:tcW w:w="1890" w:type="dxa"/>
            <w:tcBorders>
              <w:right w:val="double" w:sz="4" w:space="0" w:color="auto"/>
            </w:tcBorders>
            <w:vAlign w:val="center"/>
          </w:tcPr>
          <w:p w:rsidR="00485094" w:rsidRPr="00D55B27" w:rsidRDefault="00485094" w:rsidP="00453E80">
            <w:pPr>
              <w:pStyle w:val="TableText"/>
              <w:jc w:val="center"/>
            </w:pPr>
            <w:r w:rsidRPr="00D55B27">
              <w:t>5</w:t>
            </w:r>
            <w:r>
              <w:t>,</w:t>
            </w:r>
            <w:r w:rsidRPr="00D55B27">
              <w:t>882</w:t>
            </w:r>
          </w:p>
        </w:tc>
        <w:tc>
          <w:tcPr>
            <w:tcW w:w="1433" w:type="dxa"/>
            <w:tcBorders>
              <w:left w:val="double" w:sz="4" w:space="0" w:color="auto"/>
            </w:tcBorders>
            <w:vAlign w:val="center"/>
          </w:tcPr>
          <w:p w:rsidR="00485094" w:rsidRPr="00D55B27" w:rsidRDefault="00485094" w:rsidP="00453E80">
            <w:pPr>
              <w:pStyle w:val="TableText"/>
              <w:jc w:val="center"/>
            </w:pPr>
            <w:r w:rsidRPr="00D55B27">
              <w:t>90.9</w:t>
            </w:r>
          </w:p>
        </w:tc>
        <w:tc>
          <w:tcPr>
            <w:tcW w:w="1433" w:type="dxa"/>
            <w:vAlign w:val="center"/>
          </w:tcPr>
          <w:p w:rsidR="00485094" w:rsidRPr="00D55B27" w:rsidRDefault="00485094" w:rsidP="00453E80">
            <w:pPr>
              <w:pStyle w:val="TableText"/>
              <w:jc w:val="center"/>
            </w:pPr>
            <w:r w:rsidRPr="00D55B27">
              <w:t>90.9</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t>DO</w:t>
            </w:r>
          </w:p>
        </w:tc>
        <w:tc>
          <w:tcPr>
            <w:tcW w:w="1890" w:type="dxa"/>
            <w:shd w:val="clear" w:color="auto" w:fill="FFFFFF"/>
            <w:vAlign w:val="center"/>
          </w:tcPr>
          <w:p w:rsidR="00485094" w:rsidRPr="00D55B27" w:rsidRDefault="00485094" w:rsidP="00453E80">
            <w:pPr>
              <w:pStyle w:val="TableText"/>
              <w:jc w:val="center"/>
            </w:pPr>
            <w:r w:rsidRPr="00D55B27">
              <w:t>10</w:t>
            </w:r>
            <w:r>
              <w:t>,</w:t>
            </w:r>
            <w:r w:rsidRPr="00D55B27">
              <w:t>630</w:t>
            </w:r>
          </w:p>
        </w:tc>
        <w:tc>
          <w:tcPr>
            <w:tcW w:w="1890" w:type="dxa"/>
            <w:tcBorders>
              <w:right w:val="double" w:sz="4" w:space="0" w:color="auto"/>
            </w:tcBorders>
            <w:shd w:val="clear" w:color="auto" w:fill="FFFFFF"/>
            <w:vAlign w:val="center"/>
          </w:tcPr>
          <w:p w:rsidR="00485094" w:rsidRPr="00D55B27" w:rsidRDefault="00485094" w:rsidP="00453E80">
            <w:pPr>
              <w:pStyle w:val="TableText"/>
              <w:jc w:val="center"/>
            </w:pPr>
            <w:r w:rsidRPr="00D55B27">
              <w:t>5</w:t>
            </w:r>
            <w:r>
              <w:t>,</w:t>
            </w:r>
            <w:r w:rsidRPr="00D55B27">
              <w:t>882</w:t>
            </w:r>
          </w:p>
        </w:tc>
        <w:tc>
          <w:tcPr>
            <w:tcW w:w="1433" w:type="dxa"/>
            <w:tcBorders>
              <w:left w:val="double" w:sz="4" w:space="0" w:color="auto"/>
            </w:tcBorders>
            <w:shd w:val="clear" w:color="auto" w:fill="FFFFFF"/>
            <w:vAlign w:val="center"/>
          </w:tcPr>
          <w:p w:rsidR="00485094" w:rsidRPr="00D55B27" w:rsidRDefault="00485094" w:rsidP="00453E80">
            <w:pPr>
              <w:pStyle w:val="TableText"/>
              <w:jc w:val="center"/>
            </w:pPr>
            <w:r w:rsidRPr="00D55B27">
              <w:t>75.1</w:t>
            </w:r>
          </w:p>
        </w:tc>
        <w:tc>
          <w:tcPr>
            <w:tcW w:w="1433" w:type="dxa"/>
            <w:shd w:val="clear" w:color="auto" w:fill="FFFFFF"/>
            <w:vAlign w:val="center"/>
          </w:tcPr>
          <w:p w:rsidR="00485094" w:rsidRPr="00D55B27" w:rsidRDefault="00485094" w:rsidP="00453E80">
            <w:pPr>
              <w:pStyle w:val="TableText"/>
              <w:jc w:val="center"/>
            </w:pPr>
            <w:r w:rsidRPr="00D55B27">
              <w:t>71.2</w:t>
            </w:r>
          </w:p>
        </w:tc>
      </w:tr>
    </w:tbl>
    <w:p w:rsidR="00485094" w:rsidRDefault="00485094" w:rsidP="00692F31">
      <w:pPr>
        <w:pStyle w:val="Bodytextreduced"/>
      </w:pPr>
    </w:p>
    <w:p w:rsidR="003D799D" w:rsidRDefault="003D799D" w:rsidP="00692F31">
      <w:pPr>
        <w:pStyle w:val="Bodytextreduced"/>
      </w:pPr>
    </w:p>
    <w:p w:rsidR="00485094" w:rsidRDefault="00485094" w:rsidP="00692F31">
      <w:pPr>
        <w:pStyle w:val="Bodytext"/>
      </w:pPr>
      <w:r w:rsidRPr="000F2735">
        <w:t>The analyte results for large lakes were similar</w:t>
      </w:r>
      <w:r>
        <w:t xml:space="preserve"> </w:t>
      </w:r>
      <w:r w:rsidRPr="000F2735">
        <w:t>betwee</w:t>
      </w:r>
      <w:r>
        <w:t>n Cycles 1 and 2 (</w:t>
      </w:r>
      <w:r w:rsidRPr="00D55B27">
        <w:rPr>
          <w:b/>
          <w:i/>
        </w:rPr>
        <w:t xml:space="preserve">Table </w:t>
      </w:r>
      <w:r>
        <w:rPr>
          <w:b/>
          <w:i/>
        </w:rPr>
        <w:t>6.7</w:t>
      </w:r>
      <w:r w:rsidRPr="00D55B27">
        <w:rPr>
          <w:b/>
          <w:i/>
        </w:rPr>
        <w:t>c</w:t>
      </w:r>
      <w:r w:rsidRPr="000F2735">
        <w:t xml:space="preserve">).  </w:t>
      </w:r>
      <w:r>
        <w:t>In contrast to small lakes, v</w:t>
      </w:r>
      <w:r w:rsidRPr="000F2735">
        <w:t>ery few large lakes were removed from the targ</w:t>
      </w:r>
      <w:r>
        <w:t>et population from Cycle 1 to C</w:t>
      </w:r>
      <w:r w:rsidRPr="000F2735">
        <w:t>y</w:t>
      </w:r>
      <w:r>
        <w:t>c</w:t>
      </w:r>
      <w:r w:rsidRPr="000F2735">
        <w:t>le</w:t>
      </w:r>
      <w:r>
        <w:t xml:space="preserve"> 2;</w:t>
      </w:r>
      <w:r w:rsidRPr="000F2735">
        <w:t xml:space="preserve"> those that were may have been phosphate</w:t>
      </w:r>
      <w:r>
        <w:t xml:space="preserve"> industry </w:t>
      </w:r>
      <w:r w:rsidRPr="000F2735">
        <w:t>holding ponds.  Overall results were similar to those found in the small lakes.  D</w:t>
      </w:r>
      <w:r>
        <w:t>O</w:t>
      </w:r>
      <w:r w:rsidRPr="000F2735">
        <w:t xml:space="preserve"> and feca</w:t>
      </w:r>
      <w:r>
        <w:t xml:space="preserve">l coliform were very </w:t>
      </w:r>
      <w:r w:rsidRPr="000F2735">
        <w:t xml:space="preserve">similar </w:t>
      </w:r>
      <w:r>
        <w:t>between</w:t>
      </w:r>
      <w:r w:rsidRPr="000F2735">
        <w:t xml:space="preserve"> Cycle</w:t>
      </w:r>
      <w:r>
        <w:t>s</w:t>
      </w:r>
      <w:r w:rsidRPr="000F2735">
        <w:t xml:space="preserve"> 1 </w:t>
      </w:r>
      <w:r>
        <w:t>and</w:t>
      </w:r>
      <w:r w:rsidRPr="000F2735">
        <w:t xml:space="preserve"> 2.  </w:t>
      </w:r>
      <w:r>
        <w:t>A</w:t>
      </w:r>
      <w:r w:rsidRPr="000F2735">
        <w:t xml:space="preserve"> </w:t>
      </w:r>
      <w:r>
        <w:t>16</w:t>
      </w:r>
      <w:r w:rsidRPr="000F2735">
        <w:t>% increase in</w:t>
      </w:r>
      <w:r>
        <w:t xml:space="preserve"> large lakes meeting their </w:t>
      </w:r>
      <w:r w:rsidRPr="000F2735">
        <w:t>TSI</w:t>
      </w:r>
      <w:r>
        <w:t xml:space="preserve"> threshold may be an artifact</w:t>
      </w:r>
      <w:r w:rsidRPr="000F2735">
        <w:t xml:space="preserve"> </w:t>
      </w:r>
      <w:r>
        <w:t xml:space="preserve">of </w:t>
      </w:r>
      <w:r w:rsidRPr="000F2735">
        <w:t>the removal of impacted lakes that should not have been sampled.</w:t>
      </w:r>
    </w:p>
    <w:p w:rsidR="00485094" w:rsidRPr="000F2735" w:rsidRDefault="00485094" w:rsidP="00692F31">
      <w:pPr>
        <w:pStyle w:val="Bodytext"/>
      </w:pPr>
    </w:p>
    <w:p w:rsidR="00485094" w:rsidRPr="000F2735" w:rsidRDefault="00485094" w:rsidP="00692F31">
      <w:pPr>
        <w:pStyle w:val="Tableheading"/>
        <w:rPr>
          <w:bCs/>
          <w:szCs w:val="22"/>
        </w:rPr>
      </w:pPr>
      <w:bookmarkStart w:id="462" w:name="_Toc255482846"/>
      <w:bookmarkStart w:id="463" w:name="_Toc255807504"/>
      <w:bookmarkStart w:id="464" w:name="_Toc262464258"/>
      <w:bookmarkStart w:id="465" w:name="_Toc271889852"/>
      <w:r w:rsidRPr="000F2735">
        <w:rPr>
          <w:szCs w:val="22"/>
        </w:rPr>
        <w:t xml:space="preserve">Table </w:t>
      </w:r>
      <w:r>
        <w:rPr>
          <w:szCs w:val="22"/>
        </w:rPr>
        <w:t>6.7c</w:t>
      </w:r>
      <w:r w:rsidRPr="000F2735">
        <w:rPr>
          <w:szCs w:val="22"/>
        </w:rPr>
        <w:t>.</w:t>
      </w:r>
      <w:r>
        <w:rPr>
          <w:szCs w:val="22"/>
        </w:rPr>
        <w:t xml:space="preserve">  </w:t>
      </w:r>
      <w:r w:rsidRPr="000F2735">
        <w:rPr>
          <w:szCs w:val="22"/>
        </w:rPr>
        <w:t>Percentage of Large Lakes Resource Meeting Threshold Values for Statewide Assessment for Cycle</w:t>
      </w:r>
      <w:r>
        <w:rPr>
          <w:szCs w:val="22"/>
        </w:rPr>
        <w:t>s</w:t>
      </w:r>
      <w:r w:rsidRPr="000F2735">
        <w:rPr>
          <w:szCs w:val="22"/>
        </w:rPr>
        <w:t xml:space="preserve"> 1 and 2</w:t>
      </w:r>
      <w:bookmarkEnd w:id="462"/>
      <w:bookmarkEnd w:id="463"/>
      <w:bookmarkEnd w:id="464"/>
      <w:bookmarkEnd w:id="465"/>
    </w:p>
    <w:p w:rsidR="00485094" w:rsidRDefault="00485094" w:rsidP="00692F31">
      <w:pPr>
        <w:pStyle w:val="TabledescriptionBF"/>
      </w:pPr>
      <w:r w:rsidRPr="00B827B3">
        <w:rPr>
          <w:b/>
        </w:rPr>
        <w:t>Status Network</w:t>
      </w:r>
      <w:r w:rsidRPr="00B827B3">
        <w:rPr>
          <w:b/>
        </w:rPr>
        <w:tab/>
      </w:r>
      <w:r w:rsidRPr="00B827B3">
        <w:rPr>
          <w:b/>
        </w:rPr>
        <w:tab/>
        <w:t xml:space="preserve">Designated Use:  Recreation and Aquatic Life </w:t>
      </w:r>
      <w:r w:rsidRPr="00B827B3">
        <w:rPr>
          <w:b/>
        </w:rPr>
        <w:tab/>
        <w:t>Units:  Acres</w:t>
      </w:r>
    </w:p>
    <w:p w:rsidR="00485094" w:rsidRDefault="00485094" w:rsidP="00692F31">
      <w:pPr>
        <w:pStyle w:val="TabledescriptionBF"/>
      </w:pPr>
    </w:p>
    <w:p w:rsidR="00485094" w:rsidRPr="00B827B3" w:rsidRDefault="00485094" w:rsidP="00692F31">
      <w:pPr>
        <w:pStyle w:val="TabledescriptionBF"/>
        <w:rPr>
          <w:b/>
        </w:rPr>
      </w:pPr>
      <w:r w:rsidRPr="00B827B3">
        <w:t>This is a five-column table.  Column 1 lists the analytes, Column 2 lists the Cycle 1 target population, Column 3 lists the Cycle 2 target population, Column 4 lists the percent meeting the threshold in Cycle 1, and Column 5 lists the percent meeting the threshold in Cycle 2.</w:t>
      </w:r>
    </w:p>
    <w:p w:rsidR="00485094" w:rsidRDefault="00485094" w:rsidP="00692F31">
      <w:pPr>
        <w:pStyle w:val="Bodytextreduced"/>
      </w:pPr>
    </w:p>
    <w:tbl>
      <w:tblPr>
        <w:tblW w:w="859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1980"/>
        <w:gridCol w:w="1890"/>
        <w:gridCol w:w="1890"/>
        <w:gridCol w:w="1416"/>
        <w:gridCol w:w="1416"/>
      </w:tblGrid>
      <w:tr w:rsidR="00485094" w:rsidRPr="000F2909" w:rsidTr="000F2909">
        <w:trPr>
          <w:trHeight w:val="288"/>
          <w:tblHeader/>
          <w:jc w:val="center"/>
        </w:trPr>
        <w:tc>
          <w:tcPr>
            <w:tcW w:w="198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Analyte</w:t>
            </w:r>
          </w:p>
        </w:tc>
        <w:tc>
          <w:tcPr>
            <w:tcW w:w="1890"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Target Population</w:t>
            </w:r>
          </w:p>
        </w:tc>
        <w:tc>
          <w:tcPr>
            <w:tcW w:w="1890" w:type="dxa"/>
            <w:tcBorders>
              <w:bottom w:val="double" w:sz="4" w:space="0" w:color="auto"/>
              <w:right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Target Population</w:t>
            </w:r>
          </w:p>
        </w:tc>
        <w:tc>
          <w:tcPr>
            <w:tcW w:w="1416" w:type="dxa"/>
            <w:tcBorders>
              <w:left w:val="double" w:sz="4" w:space="0" w:color="auto"/>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1</w:t>
            </w:r>
          </w:p>
          <w:p w:rsidR="00485094" w:rsidRPr="000F2909" w:rsidRDefault="00485094" w:rsidP="00453E80">
            <w:pPr>
              <w:pStyle w:val="TableText"/>
              <w:jc w:val="center"/>
              <w:rPr>
                <w:b/>
                <w:i/>
              </w:rPr>
            </w:pPr>
            <w:r w:rsidRPr="000F2909">
              <w:rPr>
                <w:b/>
                <w:i/>
              </w:rPr>
              <w:t>% Meeting Threshold</w:t>
            </w:r>
          </w:p>
        </w:tc>
        <w:tc>
          <w:tcPr>
            <w:tcW w:w="1416" w:type="dxa"/>
            <w:tcBorders>
              <w:bottom w:val="double" w:sz="4" w:space="0" w:color="auto"/>
            </w:tcBorders>
            <w:shd w:val="clear" w:color="auto" w:fill="BDFFFF"/>
            <w:vAlign w:val="bottom"/>
          </w:tcPr>
          <w:p w:rsidR="00485094" w:rsidRPr="000F2909" w:rsidRDefault="00485094" w:rsidP="00453E80">
            <w:pPr>
              <w:pStyle w:val="TableText"/>
              <w:jc w:val="center"/>
              <w:rPr>
                <w:b/>
                <w:i/>
              </w:rPr>
            </w:pPr>
            <w:r w:rsidRPr="000F2909">
              <w:rPr>
                <w:b/>
                <w:i/>
              </w:rPr>
              <w:t>Cycle 2</w:t>
            </w:r>
          </w:p>
          <w:p w:rsidR="00485094" w:rsidRPr="000F2909" w:rsidRDefault="00485094" w:rsidP="00453E80">
            <w:pPr>
              <w:pStyle w:val="TableText"/>
              <w:jc w:val="center"/>
              <w:rPr>
                <w:b/>
                <w:i/>
              </w:rPr>
            </w:pPr>
            <w:r w:rsidRPr="000F2909">
              <w:rPr>
                <w:b/>
                <w:i/>
              </w:rPr>
              <w:t>% Meeting Threshold</w:t>
            </w:r>
          </w:p>
        </w:tc>
      </w:tr>
      <w:tr w:rsidR="00485094" w:rsidRPr="00D55B27" w:rsidTr="008F1C14">
        <w:trPr>
          <w:cantSplit/>
          <w:trHeight w:val="288"/>
          <w:jc w:val="center"/>
        </w:trPr>
        <w:tc>
          <w:tcPr>
            <w:tcW w:w="1980" w:type="dxa"/>
            <w:tcBorders>
              <w:top w:val="double" w:sz="4" w:space="0" w:color="auto"/>
            </w:tcBorders>
            <w:shd w:val="clear" w:color="auto" w:fill="FFFFCC"/>
            <w:vAlign w:val="center"/>
          </w:tcPr>
          <w:p w:rsidR="00485094" w:rsidRPr="00D55B27" w:rsidRDefault="00485094" w:rsidP="00453E80">
            <w:pPr>
              <w:pStyle w:val="TableText"/>
              <w:jc w:val="center"/>
            </w:pPr>
            <w:r>
              <w:t>TSI</w:t>
            </w:r>
          </w:p>
        </w:tc>
        <w:tc>
          <w:tcPr>
            <w:tcW w:w="1890" w:type="dxa"/>
            <w:tcBorders>
              <w:top w:val="double" w:sz="4" w:space="0" w:color="auto"/>
            </w:tcBorders>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top w:val="double" w:sz="4" w:space="0" w:color="auto"/>
              <w:right w:val="double" w:sz="4" w:space="0" w:color="auto"/>
            </w:tcBorders>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top w:val="double" w:sz="4" w:space="0" w:color="auto"/>
              <w:left w:val="double" w:sz="4" w:space="0" w:color="auto"/>
            </w:tcBorders>
            <w:vAlign w:val="center"/>
          </w:tcPr>
          <w:p w:rsidR="00485094" w:rsidRPr="00D55B27" w:rsidRDefault="00485094" w:rsidP="00453E80">
            <w:pPr>
              <w:pStyle w:val="TableText"/>
              <w:jc w:val="center"/>
            </w:pPr>
            <w:r w:rsidRPr="00D55B27">
              <w:t>78.2</w:t>
            </w:r>
          </w:p>
        </w:tc>
        <w:tc>
          <w:tcPr>
            <w:tcW w:w="1416" w:type="dxa"/>
            <w:tcBorders>
              <w:top w:val="double" w:sz="4" w:space="0" w:color="auto"/>
            </w:tcBorders>
            <w:vAlign w:val="center"/>
          </w:tcPr>
          <w:p w:rsidR="00485094" w:rsidRPr="00D55B27" w:rsidRDefault="00485094" w:rsidP="00453E80">
            <w:pPr>
              <w:pStyle w:val="TableText"/>
              <w:jc w:val="center"/>
            </w:pPr>
            <w:r w:rsidRPr="00D55B27">
              <w:t>94.0</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rsidRPr="00D55B27">
              <w:t>Fecal Coliform</w:t>
            </w:r>
          </w:p>
        </w:tc>
        <w:tc>
          <w:tcPr>
            <w:tcW w:w="1890" w:type="dxa"/>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right w:val="double" w:sz="4" w:space="0" w:color="auto"/>
            </w:tcBorders>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left w:val="double" w:sz="4" w:space="0" w:color="auto"/>
            </w:tcBorders>
            <w:vAlign w:val="center"/>
          </w:tcPr>
          <w:p w:rsidR="00485094" w:rsidRPr="00D55B27" w:rsidRDefault="00485094" w:rsidP="00453E80">
            <w:pPr>
              <w:pStyle w:val="TableText"/>
              <w:jc w:val="center"/>
            </w:pPr>
            <w:r w:rsidRPr="00D55B27">
              <w:t>96.5</w:t>
            </w:r>
          </w:p>
        </w:tc>
        <w:tc>
          <w:tcPr>
            <w:tcW w:w="1416" w:type="dxa"/>
            <w:vAlign w:val="center"/>
          </w:tcPr>
          <w:p w:rsidR="00485094" w:rsidRPr="00D55B27" w:rsidRDefault="00485094" w:rsidP="00453E80">
            <w:pPr>
              <w:pStyle w:val="TableText"/>
              <w:jc w:val="center"/>
            </w:pPr>
            <w:r w:rsidRPr="00D55B27">
              <w:t>99.7</w:t>
            </w:r>
          </w:p>
        </w:tc>
      </w:tr>
      <w:tr w:rsidR="00485094" w:rsidRPr="00D55B27" w:rsidTr="008F1C14">
        <w:trPr>
          <w:cantSplit/>
          <w:trHeight w:val="288"/>
          <w:jc w:val="center"/>
        </w:trPr>
        <w:tc>
          <w:tcPr>
            <w:tcW w:w="1980" w:type="dxa"/>
            <w:shd w:val="clear" w:color="auto" w:fill="FFFFCC"/>
            <w:vAlign w:val="center"/>
          </w:tcPr>
          <w:p w:rsidR="00485094" w:rsidRPr="00D55B27" w:rsidRDefault="00485094" w:rsidP="00453E80">
            <w:pPr>
              <w:pStyle w:val="TableText"/>
              <w:jc w:val="center"/>
            </w:pPr>
            <w:r>
              <w:t>DO</w:t>
            </w:r>
          </w:p>
        </w:tc>
        <w:tc>
          <w:tcPr>
            <w:tcW w:w="1890" w:type="dxa"/>
            <w:shd w:val="clear" w:color="auto" w:fill="FFFFFF"/>
            <w:vAlign w:val="center"/>
          </w:tcPr>
          <w:p w:rsidR="00485094" w:rsidRPr="00D55B27" w:rsidRDefault="00485094" w:rsidP="00453E80">
            <w:pPr>
              <w:pStyle w:val="TableText"/>
              <w:jc w:val="center"/>
            </w:pPr>
            <w:r w:rsidRPr="00D55B27">
              <w:t>1</w:t>
            </w:r>
            <w:r>
              <w:t>,</w:t>
            </w:r>
            <w:r w:rsidRPr="00D55B27">
              <w:t>075</w:t>
            </w:r>
            <w:r>
              <w:t>,</w:t>
            </w:r>
            <w:r w:rsidRPr="00D55B27">
              <w:t>200</w:t>
            </w:r>
          </w:p>
        </w:tc>
        <w:tc>
          <w:tcPr>
            <w:tcW w:w="1890" w:type="dxa"/>
            <w:tcBorders>
              <w:right w:val="double" w:sz="4" w:space="0" w:color="auto"/>
            </w:tcBorders>
            <w:shd w:val="clear" w:color="auto" w:fill="FFFFFF"/>
            <w:vAlign w:val="center"/>
          </w:tcPr>
          <w:p w:rsidR="00485094" w:rsidRPr="00D55B27" w:rsidRDefault="00485094" w:rsidP="00453E80">
            <w:pPr>
              <w:pStyle w:val="TableText"/>
              <w:jc w:val="center"/>
            </w:pPr>
            <w:r w:rsidRPr="00D55B27">
              <w:t>1</w:t>
            </w:r>
            <w:r>
              <w:t>,</w:t>
            </w:r>
            <w:r w:rsidRPr="00D55B27">
              <w:t>038</w:t>
            </w:r>
            <w:r>
              <w:t>,</w:t>
            </w:r>
            <w:r w:rsidRPr="00D55B27">
              <w:t>899</w:t>
            </w:r>
          </w:p>
        </w:tc>
        <w:tc>
          <w:tcPr>
            <w:tcW w:w="1416" w:type="dxa"/>
            <w:tcBorders>
              <w:left w:val="double" w:sz="4" w:space="0" w:color="auto"/>
            </w:tcBorders>
            <w:shd w:val="clear" w:color="auto" w:fill="FFFFFF"/>
            <w:vAlign w:val="center"/>
          </w:tcPr>
          <w:p w:rsidR="00485094" w:rsidRPr="00D55B27" w:rsidRDefault="00485094" w:rsidP="00453E80">
            <w:pPr>
              <w:pStyle w:val="TableText"/>
              <w:jc w:val="center"/>
            </w:pPr>
            <w:r w:rsidRPr="00D55B27">
              <w:t>93.6</w:t>
            </w:r>
          </w:p>
        </w:tc>
        <w:tc>
          <w:tcPr>
            <w:tcW w:w="1416" w:type="dxa"/>
            <w:shd w:val="clear" w:color="auto" w:fill="FFFFFF"/>
            <w:vAlign w:val="center"/>
          </w:tcPr>
          <w:p w:rsidR="00485094" w:rsidRPr="00D55B27" w:rsidRDefault="00485094" w:rsidP="00453E80">
            <w:pPr>
              <w:pStyle w:val="TableText"/>
              <w:jc w:val="center"/>
            </w:pPr>
            <w:r w:rsidRPr="00D55B27">
              <w:t>95.0</w:t>
            </w:r>
          </w:p>
        </w:tc>
      </w:tr>
    </w:tbl>
    <w:p w:rsidR="00485094" w:rsidRDefault="00485094" w:rsidP="00692F31">
      <w:pPr>
        <w:pStyle w:val="Bodytextreduced"/>
      </w:pPr>
    </w:p>
    <w:p w:rsidR="00485094" w:rsidRDefault="00485094" w:rsidP="00225579">
      <w:pPr>
        <w:pStyle w:val="Bodytextreduced"/>
      </w:pPr>
    </w:p>
    <w:p w:rsidR="00837545" w:rsidRDefault="00837545" w:rsidP="00837545">
      <w:pPr>
        <w:pStyle w:val="Heading2"/>
      </w:pPr>
      <w:bookmarkStart w:id="466" w:name="_Chapter_7._"/>
      <w:bookmarkStart w:id="467" w:name="_Toc271794348"/>
      <w:bookmarkStart w:id="468" w:name="_Toc262464153"/>
      <w:bookmarkStart w:id="469" w:name="_Toc255822538"/>
      <w:bookmarkEnd w:id="337"/>
      <w:bookmarkEnd w:id="466"/>
      <w:r>
        <w:t xml:space="preserve">Summary of Surface and Ground Water </w:t>
      </w:r>
      <w:r w:rsidRPr="00F30D85">
        <w:t xml:space="preserve">Trend </w:t>
      </w:r>
      <w:r>
        <w:t>Network R</w:t>
      </w:r>
      <w:r w:rsidRPr="00F30D85">
        <w:t>esults</w:t>
      </w:r>
      <w:bookmarkEnd w:id="467"/>
    </w:p>
    <w:p w:rsidR="00837545" w:rsidRDefault="00837545" w:rsidP="00837545">
      <w:pPr>
        <w:pStyle w:val="Heading3"/>
      </w:pPr>
      <w:bookmarkStart w:id="470" w:name="_Toc271794349"/>
      <w:r w:rsidRPr="009261A6">
        <w:t>Surface Water Trends</w:t>
      </w:r>
      <w:bookmarkEnd w:id="470"/>
    </w:p>
    <w:p w:rsidR="00837545" w:rsidRPr="00A85933" w:rsidRDefault="00837545" w:rsidP="00837545">
      <w:pPr>
        <w:pStyle w:val="Bodytext"/>
        <w:rPr>
          <w:b/>
        </w:rPr>
      </w:pPr>
      <w:r>
        <w:t>The f</w:t>
      </w:r>
      <w:r w:rsidRPr="00A85933">
        <w:t>low rate of rivers can be thought of as cyclic</w:t>
      </w:r>
      <w:r>
        <w:t>al</w:t>
      </w:r>
      <w:r w:rsidRPr="00A85933">
        <w:t xml:space="preserve"> and can </w:t>
      </w:r>
      <w:r>
        <w:t xml:space="preserve">complicate </w:t>
      </w:r>
      <w:r w:rsidRPr="00A85933">
        <w:t xml:space="preserve">data </w:t>
      </w:r>
      <w:r>
        <w:t xml:space="preserve">analysis </w:t>
      </w:r>
      <w:r w:rsidRPr="00A85933">
        <w:t xml:space="preserve">unless taken into consideration.  </w:t>
      </w:r>
      <w:r>
        <w:t>Where available, f</w:t>
      </w:r>
      <w:r w:rsidRPr="00A85933">
        <w:t>low rates from associated USGS ga</w:t>
      </w:r>
      <w:r>
        <w:t>u</w:t>
      </w:r>
      <w:r w:rsidRPr="00A85933">
        <w:t xml:space="preserve">ging stations were collected at the same time as </w:t>
      </w:r>
      <w:r>
        <w:t xml:space="preserve">surface </w:t>
      </w:r>
      <w:r w:rsidRPr="00A85933">
        <w:t xml:space="preserve">water </w:t>
      </w:r>
      <w:r w:rsidRPr="00C43EF5">
        <w:t>samples.  The</w:t>
      </w:r>
      <w:r w:rsidRPr="00A85933">
        <w:t xml:space="preserve"> </w:t>
      </w:r>
      <w:r>
        <w:t xml:space="preserve">surface </w:t>
      </w:r>
      <w:r w:rsidRPr="00A85933">
        <w:t xml:space="preserve">water quality data were </w:t>
      </w:r>
      <w:r>
        <w:t xml:space="preserve">then </w:t>
      </w:r>
      <w:r w:rsidRPr="00A85933">
        <w:t>adjusted for flow</w:t>
      </w:r>
      <w:r>
        <w:t xml:space="preserve"> and </w:t>
      </w:r>
      <w:r w:rsidRPr="00A85933">
        <w:t>deseasonaliz</w:t>
      </w:r>
      <w:r>
        <w:t>ed</w:t>
      </w:r>
      <w:r w:rsidRPr="00A85933">
        <w:t xml:space="preserve">, </w:t>
      </w:r>
      <w:r>
        <w:t>before the data were analyzed</w:t>
      </w:r>
      <w:r w:rsidRPr="00A85933">
        <w:t>.  Since ground</w:t>
      </w:r>
      <w:r>
        <w:t xml:space="preserve"> </w:t>
      </w:r>
      <w:r w:rsidRPr="00A85933">
        <w:t>water flows very slow</w:t>
      </w:r>
      <w:r>
        <w:t>ly</w:t>
      </w:r>
      <w:r w:rsidRPr="00A85933">
        <w:t xml:space="preserve">, there is little to no cyclicity to the data.  Therefore, no adjustment to the </w:t>
      </w:r>
      <w:r>
        <w:t xml:space="preserve">ground water </w:t>
      </w:r>
      <w:r w:rsidRPr="00A85933">
        <w:t xml:space="preserve">data was necessary prior to performing any analysis. </w:t>
      </w:r>
    </w:p>
    <w:p w:rsidR="00837545" w:rsidRDefault="00837545" w:rsidP="00837545">
      <w:pPr>
        <w:pStyle w:val="Bodytext"/>
      </w:pPr>
    </w:p>
    <w:p w:rsidR="00837545" w:rsidRDefault="00837545" w:rsidP="00837545">
      <w:pPr>
        <w:pStyle w:val="Bodytext"/>
      </w:pPr>
      <w:r w:rsidRPr="00F30D85">
        <w:t xml:space="preserve">Forty-one </w:t>
      </w:r>
      <w:r>
        <w:t xml:space="preserve">surface water </w:t>
      </w:r>
      <w:r w:rsidRPr="00F30D85">
        <w:t>stations were adjusted for flow</w:t>
      </w:r>
      <w:r>
        <w:t>,</w:t>
      </w:r>
      <w:r w:rsidRPr="00F30D85">
        <w:t xml:space="preserve"> while the remaining </w:t>
      </w:r>
      <w:r>
        <w:t xml:space="preserve">35 </w:t>
      </w:r>
      <w:r w:rsidRPr="00F30D85">
        <w:t>stations</w:t>
      </w:r>
      <w:r>
        <w:t xml:space="preserve"> </w:t>
      </w:r>
      <w:r w:rsidRPr="00F30D85">
        <w:t xml:space="preserve">were not flow adjusted.  </w:t>
      </w:r>
      <w:r w:rsidRPr="00301CDF">
        <w:rPr>
          <w:b/>
          <w:i/>
        </w:rPr>
        <w:t>T</w:t>
      </w:r>
      <w:r w:rsidRPr="00AD78DE">
        <w:rPr>
          <w:b/>
          <w:i/>
        </w:rPr>
        <w:t>ables 6.</w:t>
      </w:r>
      <w:r>
        <w:rPr>
          <w:b/>
          <w:i/>
        </w:rPr>
        <w:t>8</w:t>
      </w:r>
      <w:r w:rsidRPr="00AD78DE">
        <w:rPr>
          <w:b/>
          <w:i/>
        </w:rPr>
        <w:t>a</w:t>
      </w:r>
      <w:r>
        <w:t xml:space="preserve"> and </w:t>
      </w:r>
      <w:r w:rsidRPr="00AD78DE">
        <w:rPr>
          <w:b/>
          <w:i/>
        </w:rPr>
        <w:t>6.</w:t>
      </w:r>
      <w:r>
        <w:rPr>
          <w:b/>
          <w:i/>
        </w:rPr>
        <w:t>8</w:t>
      </w:r>
      <w:r w:rsidRPr="00AD78DE">
        <w:rPr>
          <w:b/>
          <w:i/>
        </w:rPr>
        <w:t>b</w:t>
      </w:r>
      <w:r>
        <w:t xml:space="preserve"> present the r</w:t>
      </w:r>
      <w:r w:rsidRPr="00F30D85">
        <w:t>esults of the trend analyses</w:t>
      </w:r>
      <w:r>
        <w:t xml:space="preserve">, and </w:t>
      </w:r>
      <w:r w:rsidRPr="00AD78DE">
        <w:rPr>
          <w:b/>
          <w:i/>
        </w:rPr>
        <w:t>Figures 6.1</w:t>
      </w:r>
      <w:r>
        <w:rPr>
          <w:b/>
          <w:i/>
        </w:rPr>
        <w:t>5</w:t>
      </w:r>
      <w:r>
        <w:t xml:space="preserve"> through </w:t>
      </w:r>
      <w:r w:rsidRPr="00AD78DE">
        <w:rPr>
          <w:b/>
          <w:i/>
        </w:rPr>
        <w:t>6.2</w:t>
      </w:r>
      <w:r>
        <w:rPr>
          <w:b/>
          <w:i/>
        </w:rPr>
        <w:t>1</w:t>
      </w:r>
      <w:r>
        <w:t xml:space="preserve"> show the results graphically for each indicator</w:t>
      </w:r>
      <w:r w:rsidRPr="00F30D85">
        <w:t>.</w:t>
      </w:r>
    </w:p>
    <w:p w:rsidR="00485094" w:rsidRDefault="000D13CF" w:rsidP="00692F31">
      <w:pPr>
        <w:pStyle w:val="Tableheading"/>
      </w:pPr>
      <w:bookmarkStart w:id="471" w:name="_Toc255482840"/>
      <w:bookmarkStart w:id="472" w:name="_Toc255807498"/>
      <w:bookmarkStart w:id="473" w:name="_Toc262464259"/>
      <w:bookmarkEnd w:id="468"/>
      <w:r>
        <w:br w:type="page"/>
      </w:r>
      <w:bookmarkStart w:id="474" w:name="_Toc271889853"/>
      <w:r w:rsidR="00485094" w:rsidRPr="009355D6">
        <w:lastRenderedPageBreak/>
        <w:t xml:space="preserve">Table </w:t>
      </w:r>
      <w:r w:rsidR="00485094">
        <w:t>6.8a</w:t>
      </w:r>
      <w:r w:rsidR="00485094" w:rsidRPr="009355D6">
        <w:t>.</w:t>
      </w:r>
      <w:r w:rsidR="00485094">
        <w:t xml:space="preserve">  </w:t>
      </w:r>
      <w:r w:rsidR="00485094" w:rsidRPr="009355D6">
        <w:t xml:space="preserve">Trends for </w:t>
      </w:r>
      <w:r w:rsidR="00485094">
        <w:t>S</w:t>
      </w:r>
      <w:r w:rsidR="00485094" w:rsidRPr="009355D6">
        <w:t xml:space="preserve">pecified </w:t>
      </w:r>
      <w:r w:rsidR="00485094">
        <w:t>A</w:t>
      </w:r>
      <w:r w:rsidR="00485094" w:rsidRPr="009355D6">
        <w:t xml:space="preserve">nalytes for </w:t>
      </w:r>
      <w:r w:rsidR="00485094">
        <w:t xml:space="preserve">Surface Water </w:t>
      </w:r>
      <w:r w:rsidR="00485094" w:rsidRPr="009355D6">
        <w:t xml:space="preserve">Trend Network </w:t>
      </w:r>
      <w:r w:rsidR="00485094">
        <w:t xml:space="preserve">Stations </w:t>
      </w:r>
      <w:r w:rsidR="00485094" w:rsidRPr="009355D6">
        <w:t xml:space="preserve">that </w:t>
      </w:r>
      <w:r w:rsidR="00485094">
        <w:t>A</w:t>
      </w:r>
      <w:r w:rsidR="00485094" w:rsidRPr="009355D6">
        <w:t xml:space="preserve">re </w:t>
      </w:r>
      <w:r w:rsidR="00485094">
        <w:t>A</w:t>
      </w:r>
      <w:r w:rsidR="00485094" w:rsidRPr="009355D6">
        <w:t xml:space="preserve">ssociated with a USGS </w:t>
      </w:r>
      <w:r w:rsidR="00485094">
        <w:t>G</w:t>
      </w:r>
      <w:r w:rsidR="00485094" w:rsidRPr="009355D6">
        <w:t>a</w:t>
      </w:r>
      <w:r w:rsidR="00485094">
        <w:t>u</w:t>
      </w:r>
      <w:r w:rsidR="00485094" w:rsidRPr="009355D6">
        <w:t xml:space="preserve">ging </w:t>
      </w:r>
      <w:r w:rsidR="00485094">
        <w:t>S</w:t>
      </w:r>
      <w:r w:rsidR="00485094" w:rsidRPr="009355D6">
        <w:t xml:space="preserve">tation and </w:t>
      </w:r>
      <w:r w:rsidR="00485094">
        <w:t>A</w:t>
      </w:r>
      <w:r w:rsidR="00485094" w:rsidRPr="009355D6">
        <w:t xml:space="preserve">djusted for </w:t>
      </w:r>
      <w:r w:rsidR="00485094">
        <w:t>R</w:t>
      </w:r>
      <w:r w:rsidR="00485094" w:rsidRPr="009355D6">
        <w:t xml:space="preserve">iver </w:t>
      </w:r>
      <w:r w:rsidR="00485094">
        <w:t>F</w:t>
      </w:r>
      <w:r w:rsidR="00485094" w:rsidRPr="009355D6">
        <w:t>low</w:t>
      </w:r>
      <w:bookmarkEnd w:id="471"/>
      <w:bookmarkEnd w:id="472"/>
      <w:bookmarkEnd w:id="473"/>
      <w:bookmarkEnd w:id="474"/>
    </w:p>
    <w:p w:rsidR="00485094" w:rsidRDefault="00485094" w:rsidP="00692F31">
      <w:pPr>
        <w:pStyle w:val="TabledescriptionBF"/>
      </w:pPr>
      <w:r>
        <w:t xml:space="preserve">This is a </w:t>
      </w:r>
      <w:r w:rsidR="000D13CF">
        <w:t>nine</w:t>
      </w:r>
      <w:r>
        <w:t>-column table.  Column 1 lists the station</w:t>
      </w:r>
      <w:r w:rsidR="000D13CF">
        <w:t xml:space="preserve">, Column 2 lists the river, </w:t>
      </w:r>
      <w:r>
        <w:t xml:space="preserve">and Columns </w:t>
      </w:r>
      <w:r w:rsidR="000D13CF">
        <w:t>3</w:t>
      </w:r>
      <w:r>
        <w:t xml:space="preserve"> through </w:t>
      </w:r>
      <w:r w:rsidR="000D13CF">
        <w:t>9</w:t>
      </w:r>
      <w:r>
        <w:t xml:space="preserve"> list the analytes.</w:t>
      </w:r>
    </w:p>
    <w:p w:rsidR="00485094" w:rsidRPr="00F25CEA" w:rsidRDefault="00485094" w:rsidP="00F25CEA">
      <w:pPr>
        <w:rPr>
          <w:rFonts w:ascii="Arial" w:hAnsi="Arial" w:cs="Arial"/>
          <w:sz w:val="16"/>
          <w:szCs w:val="16"/>
        </w:rPr>
      </w:pPr>
    </w:p>
    <w:p w:rsidR="00485094" w:rsidRPr="009355D6" w:rsidRDefault="00485094" w:rsidP="00692F31">
      <w:pPr>
        <w:pStyle w:val="Bodytextreduced"/>
      </w:pPr>
      <w:r w:rsidRPr="009355D6">
        <w:t>Positive trends are indicated with a plus sign (+), negative trends are indicated with a minus sign (-)</w:t>
      </w:r>
      <w:r>
        <w:t>, and no trends are indicated by</w:t>
      </w:r>
      <w:r w:rsidRPr="009355D6">
        <w:t xml:space="preserve"> zero (o).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9"/>
        <w:gridCol w:w="1611"/>
        <w:gridCol w:w="819"/>
        <w:gridCol w:w="990"/>
        <w:gridCol w:w="1350"/>
        <w:gridCol w:w="990"/>
        <w:gridCol w:w="1290"/>
        <w:gridCol w:w="956"/>
        <w:gridCol w:w="1003"/>
      </w:tblGrid>
      <w:tr w:rsidR="00485094" w:rsidRPr="00225579" w:rsidTr="000F2909">
        <w:trPr>
          <w:trHeight w:val="144"/>
          <w:jc w:val="center"/>
        </w:trPr>
        <w:tc>
          <w:tcPr>
            <w:tcW w:w="90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Station</w:t>
            </w:r>
          </w:p>
        </w:tc>
        <w:tc>
          <w:tcPr>
            <w:tcW w:w="1611"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Pr>
                <w:b/>
                <w:i/>
                <w:szCs w:val="18"/>
              </w:rPr>
              <w:t>River</w:t>
            </w:r>
          </w:p>
        </w:tc>
        <w:tc>
          <w:tcPr>
            <w:tcW w:w="81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Nitrate + Nitrite</w:t>
            </w:r>
          </w:p>
        </w:tc>
        <w:tc>
          <w:tcPr>
            <w:tcW w:w="990"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TKN</w:t>
            </w:r>
          </w:p>
        </w:tc>
        <w:tc>
          <w:tcPr>
            <w:tcW w:w="1350" w:type="dxa"/>
            <w:tcBorders>
              <w:bottom w:val="double" w:sz="4" w:space="0" w:color="auto"/>
            </w:tcBorders>
            <w:shd w:val="clear" w:color="auto" w:fill="BDFFFF"/>
            <w:vAlign w:val="bottom"/>
          </w:tcPr>
          <w:p w:rsidR="00485094" w:rsidRPr="00225579" w:rsidRDefault="00485094" w:rsidP="008C37FA">
            <w:pPr>
              <w:pStyle w:val="TableText"/>
              <w:jc w:val="center"/>
              <w:rPr>
                <w:b/>
                <w:i/>
                <w:szCs w:val="18"/>
              </w:rPr>
            </w:pPr>
            <w:r w:rsidRPr="00225579">
              <w:rPr>
                <w:b/>
                <w:i/>
                <w:szCs w:val="18"/>
              </w:rPr>
              <w:t>T</w:t>
            </w:r>
            <w:r w:rsidR="008C37FA">
              <w:rPr>
                <w:b/>
                <w:i/>
                <w:szCs w:val="18"/>
              </w:rPr>
              <w:t>P</w:t>
            </w:r>
          </w:p>
        </w:tc>
        <w:tc>
          <w:tcPr>
            <w:tcW w:w="990"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TOC</w:t>
            </w:r>
          </w:p>
        </w:tc>
        <w:tc>
          <w:tcPr>
            <w:tcW w:w="129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Chlorophyll a</w:t>
            </w:r>
          </w:p>
        </w:tc>
        <w:tc>
          <w:tcPr>
            <w:tcW w:w="956"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Fecal Coliform</w:t>
            </w:r>
          </w:p>
        </w:tc>
        <w:tc>
          <w:tcPr>
            <w:tcW w:w="1003"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DO</w:t>
            </w:r>
          </w:p>
        </w:tc>
      </w:tr>
      <w:tr w:rsidR="00485094" w:rsidRPr="00915AC3" w:rsidTr="008F1C14">
        <w:trPr>
          <w:trHeight w:val="144"/>
          <w:jc w:val="center"/>
        </w:trPr>
        <w:tc>
          <w:tcPr>
            <w:tcW w:w="90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3494</w:t>
            </w:r>
          </w:p>
        </w:tc>
        <w:tc>
          <w:tcPr>
            <w:tcW w:w="1611" w:type="dxa"/>
            <w:tcBorders>
              <w:top w:val="double" w:sz="4" w:space="0" w:color="auto"/>
            </w:tcBorders>
          </w:tcPr>
          <w:p w:rsidR="00485094" w:rsidRPr="005C5BE5" w:rsidRDefault="00485094" w:rsidP="00453E80">
            <w:pPr>
              <w:pStyle w:val="TableText"/>
              <w:jc w:val="center"/>
              <w:rPr>
                <w:sz w:val="16"/>
                <w:szCs w:val="16"/>
              </w:rPr>
            </w:pPr>
            <w:r w:rsidRPr="005C5BE5">
              <w:rPr>
                <w:sz w:val="16"/>
                <w:szCs w:val="16"/>
              </w:rPr>
              <w:t xml:space="preserve">Barron River </w:t>
            </w:r>
          </w:p>
        </w:tc>
        <w:tc>
          <w:tcPr>
            <w:tcW w:w="81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35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9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956"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003"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3558</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Miami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3572</w:t>
            </w:r>
          </w:p>
        </w:tc>
        <w:tc>
          <w:tcPr>
            <w:tcW w:w="1611" w:type="dxa"/>
          </w:tcPr>
          <w:p w:rsidR="00485094" w:rsidRPr="005C5BE5" w:rsidRDefault="00485094" w:rsidP="00453E80">
            <w:pPr>
              <w:pStyle w:val="TableText"/>
              <w:jc w:val="center"/>
              <w:rPr>
                <w:sz w:val="16"/>
                <w:szCs w:val="16"/>
              </w:rPr>
            </w:pPr>
            <w:r w:rsidRPr="005C5BE5">
              <w:rPr>
                <w:sz w:val="16"/>
                <w:szCs w:val="16"/>
              </w:rPr>
              <w:t>Miami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3500</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St. Lucie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3519</w:t>
            </w:r>
          </w:p>
        </w:tc>
        <w:tc>
          <w:tcPr>
            <w:tcW w:w="1611" w:type="dxa"/>
          </w:tcPr>
          <w:p w:rsidR="00485094" w:rsidRPr="005C5BE5" w:rsidRDefault="00485094" w:rsidP="00453E80">
            <w:pPr>
              <w:pStyle w:val="TableText"/>
              <w:jc w:val="center"/>
              <w:rPr>
                <w:sz w:val="16"/>
                <w:szCs w:val="16"/>
              </w:rPr>
            </w:pPr>
            <w:r w:rsidRPr="005C5BE5">
              <w:rPr>
                <w:sz w:val="16"/>
                <w:szCs w:val="16"/>
              </w:rPr>
              <w:t>Suwannee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3538</w:t>
            </w:r>
          </w:p>
        </w:tc>
        <w:tc>
          <w:tcPr>
            <w:tcW w:w="1611" w:type="dxa"/>
            <w:shd w:val="clear" w:color="auto" w:fill="FFFFCC"/>
          </w:tcPr>
          <w:p w:rsidR="00485094" w:rsidRPr="005C5BE5" w:rsidRDefault="00485094" w:rsidP="00453E80">
            <w:pPr>
              <w:pStyle w:val="TableText"/>
              <w:jc w:val="center"/>
              <w:rPr>
                <w:sz w:val="16"/>
                <w:szCs w:val="16"/>
              </w:rPr>
            </w:pPr>
            <w:r w:rsidRPr="005C5BE5">
              <w:rPr>
                <w:sz w:val="16"/>
                <w:szCs w:val="16"/>
              </w:rPr>
              <w:t>Alapaha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3524</w:t>
            </w:r>
          </w:p>
        </w:tc>
        <w:tc>
          <w:tcPr>
            <w:tcW w:w="1611" w:type="dxa"/>
          </w:tcPr>
          <w:p w:rsidR="00485094" w:rsidRPr="005C5BE5" w:rsidRDefault="00485094" w:rsidP="00453E80">
            <w:pPr>
              <w:pStyle w:val="TableText"/>
              <w:jc w:val="center"/>
              <w:rPr>
                <w:sz w:val="16"/>
                <w:szCs w:val="16"/>
              </w:rPr>
            </w:pPr>
            <w:r w:rsidRPr="005C5BE5">
              <w:rPr>
                <w:sz w:val="16"/>
                <w:szCs w:val="16"/>
              </w:rPr>
              <w:t>Apalachicola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3527</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Ochlockonee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3528</w:t>
            </w:r>
          </w:p>
        </w:tc>
        <w:tc>
          <w:tcPr>
            <w:tcW w:w="1611" w:type="dxa"/>
          </w:tcPr>
          <w:p w:rsidR="00485094" w:rsidRPr="005C5BE5" w:rsidRDefault="00485094" w:rsidP="00453E80">
            <w:pPr>
              <w:pStyle w:val="TableText"/>
              <w:jc w:val="center"/>
              <w:rPr>
                <w:sz w:val="16"/>
                <w:szCs w:val="16"/>
              </w:rPr>
            </w:pPr>
            <w:r>
              <w:rPr>
                <w:sz w:val="16"/>
                <w:szCs w:val="16"/>
              </w:rPr>
              <w:t>St. Marks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3531</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Econfina Creek</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3532</w:t>
            </w:r>
          </w:p>
        </w:tc>
        <w:tc>
          <w:tcPr>
            <w:tcW w:w="1611" w:type="dxa"/>
          </w:tcPr>
          <w:p w:rsidR="00485094" w:rsidRPr="005C5BE5" w:rsidRDefault="00485094" w:rsidP="00453E80">
            <w:pPr>
              <w:pStyle w:val="TableText"/>
              <w:jc w:val="center"/>
              <w:rPr>
                <w:sz w:val="16"/>
                <w:szCs w:val="16"/>
              </w:rPr>
            </w:pPr>
            <w:r>
              <w:rPr>
                <w:sz w:val="16"/>
                <w:szCs w:val="16"/>
              </w:rPr>
              <w:t>Telogia Creek</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3534</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Choctawhatchee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3565</w:t>
            </w:r>
          </w:p>
        </w:tc>
        <w:tc>
          <w:tcPr>
            <w:tcW w:w="1611" w:type="dxa"/>
          </w:tcPr>
          <w:p w:rsidR="00485094" w:rsidRPr="005C5BE5" w:rsidRDefault="00485094" w:rsidP="00453E80">
            <w:pPr>
              <w:pStyle w:val="TableText"/>
              <w:jc w:val="center"/>
              <w:rPr>
                <w:sz w:val="16"/>
                <w:szCs w:val="16"/>
              </w:rPr>
            </w:pPr>
            <w:r>
              <w:rPr>
                <w:sz w:val="16"/>
                <w:szCs w:val="16"/>
              </w:rPr>
              <w:t>Elevenmile Creek</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3541</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Escambia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3542</w:t>
            </w:r>
          </w:p>
        </w:tc>
        <w:tc>
          <w:tcPr>
            <w:tcW w:w="1611" w:type="dxa"/>
          </w:tcPr>
          <w:p w:rsidR="00485094" w:rsidRPr="005C5BE5" w:rsidRDefault="00485094" w:rsidP="00453E80">
            <w:pPr>
              <w:pStyle w:val="TableText"/>
              <w:jc w:val="center"/>
              <w:rPr>
                <w:sz w:val="16"/>
                <w:szCs w:val="16"/>
              </w:rPr>
            </w:pPr>
            <w:r>
              <w:rPr>
                <w:sz w:val="16"/>
                <w:szCs w:val="16"/>
              </w:rPr>
              <w:t>Perdido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3543</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Apalachicola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3545</w:t>
            </w:r>
          </w:p>
        </w:tc>
        <w:tc>
          <w:tcPr>
            <w:tcW w:w="1611" w:type="dxa"/>
          </w:tcPr>
          <w:p w:rsidR="00485094" w:rsidRPr="005C5BE5" w:rsidRDefault="00485094" w:rsidP="00453E80">
            <w:pPr>
              <w:pStyle w:val="TableText"/>
              <w:jc w:val="center"/>
              <w:rPr>
                <w:sz w:val="16"/>
                <w:szCs w:val="16"/>
              </w:rPr>
            </w:pPr>
            <w:r>
              <w:rPr>
                <w:sz w:val="16"/>
                <w:szCs w:val="16"/>
              </w:rPr>
              <w:t>Blackwater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3549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Escambia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3571</w:t>
            </w:r>
          </w:p>
        </w:tc>
        <w:tc>
          <w:tcPr>
            <w:tcW w:w="1611" w:type="dxa"/>
          </w:tcPr>
          <w:p w:rsidR="00485094" w:rsidRPr="005C5BE5" w:rsidRDefault="00485094" w:rsidP="00453E80">
            <w:pPr>
              <w:pStyle w:val="TableText"/>
              <w:jc w:val="center"/>
              <w:rPr>
                <w:sz w:val="16"/>
                <w:szCs w:val="16"/>
              </w:rPr>
            </w:pPr>
            <w:r>
              <w:rPr>
                <w:sz w:val="16"/>
                <w:szCs w:val="16"/>
              </w:rPr>
              <w:t>Black Creek Canal</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Hillsboro Canal</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3568</w:t>
            </w:r>
          </w:p>
        </w:tc>
        <w:tc>
          <w:tcPr>
            <w:tcW w:w="1611" w:type="dxa"/>
          </w:tcPr>
          <w:p w:rsidR="00485094" w:rsidRPr="005C5BE5" w:rsidRDefault="00485094" w:rsidP="00453E80">
            <w:pPr>
              <w:pStyle w:val="TableText"/>
              <w:jc w:val="center"/>
              <w:rPr>
                <w:sz w:val="16"/>
                <w:szCs w:val="16"/>
              </w:rPr>
            </w:pPr>
            <w:r>
              <w:rPr>
                <w:sz w:val="16"/>
                <w:szCs w:val="16"/>
              </w:rPr>
              <w:t>Caloosahatchee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3497</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Fisheating Creek</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3501</w:t>
            </w:r>
          </w:p>
        </w:tc>
        <w:tc>
          <w:tcPr>
            <w:tcW w:w="1611" w:type="dxa"/>
          </w:tcPr>
          <w:p w:rsidR="00485094" w:rsidRPr="005C5BE5" w:rsidRDefault="00485094" w:rsidP="00453E80">
            <w:pPr>
              <w:pStyle w:val="TableText"/>
              <w:jc w:val="center"/>
              <w:rPr>
                <w:sz w:val="16"/>
                <w:szCs w:val="16"/>
              </w:rPr>
            </w:pPr>
            <w:r>
              <w:rPr>
                <w:sz w:val="16"/>
                <w:szCs w:val="16"/>
              </w:rPr>
              <w:t>Kissimmee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Little Econlockhatchee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3557</w:t>
            </w:r>
          </w:p>
        </w:tc>
        <w:tc>
          <w:tcPr>
            <w:tcW w:w="1611" w:type="dxa"/>
          </w:tcPr>
          <w:p w:rsidR="00485094" w:rsidRPr="005C5BE5" w:rsidRDefault="00485094" w:rsidP="00453E80">
            <w:pPr>
              <w:pStyle w:val="TableText"/>
              <w:jc w:val="center"/>
              <w:rPr>
                <w:sz w:val="16"/>
                <w:szCs w:val="16"/>
              </w:rPr>
            </w:pPr>
            <w:r>
              <w:rPr>
                <w:sz w:val="16"/>
                <w:szCs w:val="16"/>
              </w:rPr>
              <w:t>St. Johns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3515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St. Johns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3517</w:t>
            </w:r>
          </w:p>
        </w:tc>
        <w:tc>
          <w:tcPr>
            <w:tcW w:w="1611" w:type="dxa"/>
          </w:tcPr>
          <w:p w:rsidR="00485094" w:rsidRPr="005C5BE5" w:rsidRDefault="00485094" w:rsidP="00453E80">
            <w:pPr>
              <w:pStyle w:val="TableText"/>
              <w:jc w:val="center"/>
              <w:rPr>
                <w:sz w:val="16"/>
                <w:szCs w:val="16"/>
              </w:rPr>
            </w:pPr>
            <w:r>
              <w:rPr>
                <w:sz w:val="16"/>
                <w:szCs w:val="16"/>
              </w:rPr>
              <w:t>Ocklawaha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3564</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Waccasassa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3521</w:t>
            </w:r>
          </w:p>
        </w:tc>
        <w:tc>
          <w:tcPr>
            <w:tcW w:w="1611" w:type="dxa"/>
          </w:tcPr>
          <w:p w:rsidR="00485094" w:rsidRPr="005C5BE5" w:rsidRDefault="00485094" w:rsidP="00453E80">
            <w:pPr>
              <w:pStyle w:val="TableText"/>
              <w:jc w:val="center"/>
              <w:rPr>
                <w:sz w:val="16"/>
                <w:szCs w:val="16"/>
              </w:rPr>
            </w:pPr>
            <w:r>
              <w:rPr>
                <w:sz w:val="16"/>
                <w:szCs w:val="16"/>
              </w:rPr>
              <w:t>Santa Fe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3522</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Suwannee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3530</w:t>
            </w:r>
          </w:p>
        </w:tc>
        <w:tc>
          <w:tcPr>
            <w:tcW w:w="1611" w:type="dxa"/>
          </w:tcPr>
          <w:p w:rsidR="00485094" w:rsidRPr="005C5BE5" w:rsidRDefault="00485094" w:rsidP="00453E80">
            <w:pPr>
              <w:pStyle w:val="TableText"/>
              <w:jc w:val="center"/>
              <w:rPr>
                <w:sz w:val="16"/>
                <w:szCs w:val="16"/>
              </w:rPr>
            </w:pPr>
            <w:r>
              <w:rPr>
                <w:sz w:val="16"/>
                <w:szCs w:val="16"/>
              </w:rPr>
              <w:t>Suwannee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3535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Suwannee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3539</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3556</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Peace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3561</w:t>
            </w:r>
          </w:p>
        </w:tc>
        <w:tc>
          <w:tcPr>
            <w:tcW w:w="1611" w:type="dxa"/>
          </w:tcPr>
          <w:p w:rsidR="00485094" w:rsidRPr="005C5BE5" w:rsidRDefault="00485094" w:rsidP="00453E80">
            <w:pPr>
              <w:pStyle w:val="TableText"/>
              <w:jc w:val="center"/>
              <w:rPr>
                <w:sz w:val="16"/>
                <w:szCs w:val="16"/>
              </w:rPr>
            </w:pPr>
            <w:r>
              <w:rPr>
                <w:sz w:val="16"/>
                <w:szCs w:val="16"/>
              </w:rPr>
              <w:t>Charlie Creek</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3555</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Little Manatee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3554</w:t>
            </w:r>
          </w:p>
        </w:tc>
        <w:tc>
          <w:tcPr>
            <w:tcW w:w="1611" w:type="dxa"/>
          </w:tcPr>
          <w:p w:rsidR="00485094" w:rsidRPr="005C5BE5" w:rsidRDefault="00485094" w:rsidP="00453E80">
            <w:pPr>
              <w:pStyle w:val="TableText"/>
              <w:jc w:val="center"/>
              <w:rPr>
                <w:sz w:val="16"/>
                <w:szCs w:val="16"/>
              </w:rPr>
            </w:pPr>
            <w:r>
              <w:rPr>
                <w:sz w:val="16"/>
                <w:szCs w:val="16"/>
              </w:rPr>
              <w:t>Alafia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w:t>
            </w:r>
          </w:p>
        </w:tc>
        <w:tc>
          <w:tcPr>
            <w:tcW w:w="1350"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3509</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Anclote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3560</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r w:rsidR="00485094" w:rsidRPr="00915AC3" w:rsidTr="008F1C14">
        <w:trPr>
          <w:trHeight w:val="144"/>
          <w:jc w:val="center"/>
        </w:trPr>
        <w:tc>
          <w:tcPr>
            <w:tcW w:w="909" w:type="dxa"/>
            <w:shd w:val="clear" w:color="auto" w:fill="FFFFCC"/>
            <w:vAlign w:val="center"/>
          </w:tcPr>
          <w:p w:rsidR="00485094" w:rsidRPr="00915AC3" w:rsidRDefault="00485094" w:rsidP="00453E80">
            <w:pPr>
              <w:pStyle w:val="TableText"/>
              <w:jc w:val="center"/>
              <w:rPr>
                <w:szCs w:val="18"/>
              </w:rPr>
            </w:pPr>
            <w:r w:rsidRPr="00915AC3">
              <w:rPr>
                <w:szCs w:val="18"/>
              </w:rPr>
              <w:t>3566</w:t>
            </w:r>
          </w:p>
        </w:tc>
        <w:tc>
          <w:tcPr>
            <w:tcW w:w="1611" w:type="dxa"/>
            <w:shd w:val="clear" w:color="auto" w:fill="FFFFCC"/>
          </w:tcPr>
          <w:p w:rsidR="00485094" w:rsidRPr="005C5BE5" w:rsidRDefault="00485094" w:rsidP="00453E80">
            <w:pPr>
              <w:pStyle w:val="TableText"/>
              <w:jc w:val="center"/>
              <w:rPr>
                <w:sz w:val="16"/>
                <w:szCs w:val="16"/>
              </w:rPr>
            </w:pPr>
            <w:r>
              <w:rPr>
                <w:sz w:val="16"/>
                <w:szCs w:val="16"/>
              </w:rPr>
              <w:t>Weeki Wachee River</w:t>
            </w:r>
          </w:p>
        </w:tc>
        <w:tc>
          <w:tcPr>
            <w:tcW w:w="819"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35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9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9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5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3"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485094" w:rsidRPr="00915AC3" w:rsidTr="008F1C14">
        <w:trPr>
          <w:trHeight w:val="144"/>
          <w:jc w:val="center"/>
        </w:trPr>
        <w:tc>
          <w:tcPr>
            <w:tcW w:w="909" w:type="dxa"/>
            <w:vAlign w:val="center"/>
          </w:tcPr>
          <w:p w:rsidR="00485094" w:rsidRPr="00915AC3" w:rsidRDefault="00485094" w:rsidP="00453E80">
            <w:pPr>
              <w:pStyle w:val="TableText"/>
              <w:jc w:val="center"/>
              <w:rPr>
                <w:szCs w:val="18"/>
              </w:rPr>
            </w:pPr>
            <w:r w:rsidRPr="00915AC3">
              <w:rPr>
                <w:szCs w:val="18"/>
              </w:rPr>
              <w:t>3513</w:t>
            </w:r>
          </w:p>
        </w:tc>
        <w:tc>
          <w:tcPr>
            <w:tcW w:w="1611" w:type="dxa"/>
          </w:tcPr>
          <w:p w:rsidR="00485094" w:rsidRPr="005C5BE5" w:rsidRDefault="00485094" w:rsidP="00453E80">
            <w:pPr>
              <w:pStyle w:val="TableText"/>
              <w:jc w:val="center"/>
              <w:rPr>
                <w:sz w:val="16"/>
                <w:szCs w:val="16"/>
              </w:rPr>
            </w:pPr>
            <w:r>
              <w:rPr>
                <w:sz w:val="16"/>
                <w:szCs w:val="16"/>
              </w:rPr>
              <w:t>Withlacoochee River</w:t>
            </w:r>
          </w:p>
        </w:tc>
        <w:tc>
          <w:tcPr>
            <w:tcW w:w="819" w:type="dxa"/>
            <w:vAlign w:val="center"/>
          </w:tcPr>
          <w:p w:rsidR="00485094" w:rsidRPr="00915AC3" w:rsidRDefault="00485094" w:rsidP="00453E80">
            <w:pPr>
              <w:pStyle w:val="TableText"/>
              <w:jc w:val="center"/>
              <w:rPr>
                <w:szCs w:val="18"/>
              </w:rPr>
            </w:pPr>
            <w:r w:rsidRPr="00915AC3">
              <w:rPr>
                <w:szCs w:val="18"/>
              </w:rPr>
              <w:t>+</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350" w:type="dxa"/>
            <w:vAlign w:val="center"/>
          </w:tcPr>
          <w:p w:rsidR="00485094" w:rsidRPr="00915AC3" w:rsidRDefault="00485094" w:rsidP="00453E80">
            <w:pPr>
              <w:pStyle w:val="TableText"/>
              <w:jc w:val="center"/>
              <w:rPr>
                <w:szCs w:val="18"/>
              </w:rPr>
            </w:pPr>
            <w:r w:rsidRPr="00915AC3">
              <w:rPr>
                <w:szCs w:val="18"/>
              </w:rPr>
              <w:t>o</w:t>
            </w:r>
          </w:p>
        </w:tc>
        <w:tc>
          <w:tcPr>
            <w:tcW w:w="990" w:type="dxa"/>
            <w:vAlign w:val="center"/>
          </w:tcPr>
          <w:p w:rsidR="00485094" w:rsidRPr="00915AC3" w:rsidRDefault="00485094" w:rsidP="00453E80">
            <w:pPr>
              <w:pStyle w:val="TableText"/>
              <w:jc w:val="center"/>
              <w:rPr>
                <w:szCs w:val="18"/>
              </w:rPr>
            </w:pPr>
            <w:r w:rsidRPr="00915AC3">
              <w:rPr>
                <w:szCs w:val="18"/>
              </w:rPr>
              <w:t>o</w:t>
            </w:r>
          </w:p>
        </w:tc>
        <w:tc>
          <w:tcPr>
            <w:tcW w:w="1290" w:type="dxa"/>
            <w:vAlign w:val="center"/>
          </w:tcPr>
          <w:p w:rsidR="00485094" w:rsidRPr="00915AC3" w:rsidRDefault="00485094" w:rsidP="00453E80">
            <w:pPr>
              <w:pStyle w:val="TableText"/>
              <w:jc w:val="center"/>
              <w:rPr>
                <w:szCs w:val="18"/>
              </w:rPr>
            </w:pPr>
            <w:r w:rsidRPr="00915AC3">
              <w:rPr>
                <w:szCs w:val="18"/>
              </w:rPr>
              <w:t>o</w:t>
            </w:r>
          </w:p>
        </w:tc>
        <w:tc>
          <w:tcPr>
            <w:tcW w:w="956" w:type="dxa"/>
            <w:vAlign w:val="center"/>
          </w:tcPr>
          <w:p w:rsidR="00485094" w:rsidRPr="00915AC3" w:rsidRDefault="00485094" w:rsidP="00453E80">
            <w:pPr>
              <w:pStyle w:val="TableText"/>
              <w:jc w:val="center"/>
              <w:rPr>
                <w:szCs w:val="18"/>
              </w:rPr>
            </w:pPr>
            <w:r w:rsidRPr="00915AC3">
              <w:rPr>
                <w:szCs w:val="18"/>
              </w:rPr>
              <w:t>o</w:t>
            </w:r>
          </w:p>
        </w:tc>
        <w:tc>
          <w:tcPr>
            <w:tcW w:w="1003" w:type="dxa"/>
            <w:vAlign w:val="center"/>
          </w:tcPr>
          <w:p w:rsidR="00485094" w:rsidRPr="00915AC3" w:rsidRDefault="00485094" w:rsidP="00453E80">
            <w:pPr>
              <w:pStyle w:val="TableText"/>
              <w:jc w:val="center"/>
              <w:rPr>
                <w:szCs w:val="18"/>
              </w:rPr>
            </w:pPr>
            <w:r w:rsidRPr="00915AC3">
              <w:rPr>
                <w:szCs w:val="18"/>
              </w:rPr>
              <w:t>o</w:t>
            </w:r>
          </w:p>
        </w:tc>
      </w:tr>
    </w:tbl>
    <w:p w:rsidR="00485094" w:rsidRDefault="00485094" w:rsidP="00692F31">
      <w:pPr>
        <w:pStyle w:val="Bodytextreduced"/>
      </w:pPr>
    </w:p>
    <w:p w:rsidR="00485094" w:rsidRPr="00F30D85" w:rsidRDefault="00485094" w:rsidP="00692F31">
      <w:pPr>
        <w:pStyle w:val="Bodytextreduced"/>
      </w:pPr>
      <w:r>
        <w:br w:type="page"/>
      </w:r>
    </w:p>
    <w:p w:rsidR="00485094" w:rsidRDefault="00485094" w:rsidP="00692F31">
      <w:pPr>
        <w:pStyle w:val="Tableheading"/>
      </w:pPr>
      <w:bookmarkStart w:id="475" w:name="_Toc255482841"/>
      <w:bookmarkStart w:id="476" w:name="_Toc255807499"/>
      <w:bookmarkStart w:id="477" w:name="_Toc262464260"/>
      <w:bookmarkStart w:id="478" w:name="_Toc271889854"/>
      <w:r w:rsidRPr="00F30D85">
        <w:lastRenderedPageBreak/>
        <w:t xml:space="preserve">Table </w:t>
      </w:r>
      <w:r>
        <w:t xml:space="preserve">6.8b.  </w:t>
      </w:r>
      <w:r w:rsidRPr="00F30D85">
        <w:t xml:space="preserve">Trends for </w:t>
      </w:r>
      <w:r>
        <w:t>S</w:t>
      </w:r>
      <w:r w:rsidRPr="00F30D85">
        <w:t xml:space="preserve">pecified </w:t>
      </w:r>
      <w:r>
        <w:t>A</w:t>
      </w:r>
      <w:r w:rsidRPr="00F30D85">
        <w:t xml:space="preserve">nalytes for </w:t>
      </w:r>
      <w:r>
        <w:t>Surface Water S</w:t>
      </w:r>
      <w:r w:rsidRPr="00F30D85">
        <w:t xml:space="preserve">tations from </w:t>
      </w:r>
      <w:r>
        <w:t xml:space="preserve">the </w:t>
      </w:r>
      <w:r w:rsidRPr="00F30D85">
        <w:t>Trend Networ</w:t>
      </w:r>
      <w:bookmarkEnd w:id="475"/>
      <w:bookmarkEnd w:id="476"/>
      <w:r>
        <w:t>k</w:t>
      </w:r>
      <w:bookmarkEnd w:id="477"/>
      <w:r>
        <w:t xml:space="preserve"> and not Adjusted for River Flow</w:t>
      </w:r>
      <w:bookmarkEnd w:id="478"/>
    </w:p>
    <w:p w:rsidR="000D13CF" w:rsidRDefault="000D13CF" w:rsidP="000D13CF">
      <w:pPr>
        <w:pStyle w:val="TabledescriptionBF"/>
      </w:pPr>
      <w:r>
        <w:t>This is a nine-column table.  Column 1 lists the station, Column 2 lists the river, and Columns 3 through 9 list the analytes.</w:t>
      </w:r>
    </w:p>
    <w:p w:rsidR="00485094" w:rsidRDefault="00485094" w:rsidP="00692F31">
      <w:pPr>
        <w:pStyle w:val="TabledescriptionBF"/>
      </w:pPr>
    </w:p>
    <w:p w:rsidR="00485094" w:rsidRPr="00F30D85" w:rsidRDefault="00485094" w:rsidP="00692F31">
      <w:pPr>
        <w:pStyle w:val="Bodytextreduced"/>
      </w:pPr>
      <w:r w:rsidRPr="00F30D85">
        <w:t>Positive trends are indicated with a plus sign (+), negative trends are indicated with a minus sign (-)</w:t>
      </w:r>
      <w:r>
        <w:t>,</w:t>
      </w:r>
      <w:r w:rsidRPr="00F30D85">
        <w:t xml:space="preserve"> and no trends are indicated by zero</w:t>
      </w:r>
      <w:r>
        <w:t xml:space="preserve"> </w:t>
      </w:r>
      <w:r w:rsidRPr="00F30D85">
        <w:t>(o).</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40"/>
        <w:gridCol w:w="1610"/>
        <w:gridCol w:w="908"/>
        <w:gridCol w:w="966"/>
        <w:gridCol w:w="1194"/>
        <w:gridCol w:w="929"/>
        <w:gridCol w:w="1229"/>
        <w:gridCol w:w="996"/>
        <w:gridCol w:w="804"/>
      </w:tblGrid>
      <w:tr w:rsidR="00542E8A" w:rsidRPr="00225579" w:rsidTr="000F2909">
        <w:trPr>
          <w:jc w:val="center"/>
        </w:trPr>
        <w:tc>
          <w:tcPr>
            <w:tcW w:w="954"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Station</w:t>
            </w:r>
          </w:p>
        </w:tc>
        <w:tc>
          <w:tcPr>
            <w:tcW w:w="1632"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Pr>
                <w:b/>
                <w:i/>
                <w:szCs w:val="18"/>
              </w:rPr>
              <w:t>River</w:t>
            </w:r>
          </w:p>
        </w:tc>
        <w:tc>
          <w:tcPr>
            <w:tcW w:w="922"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Nitrate + Nitrite</w:t>
            </w:r>
          </w:p>
        </w:tc>
        <w:tc>
          <w:tcPr>
            <w:tcW w:w="1008" w:type="dxa"/>
            <w:tcBorders>
              <w:bottom w:val="double" w:sz="4" w:space="0" w:color="auto"/>
            </w:tcBorders>
            <w:shd w:val="clear" w:color="auto" w:fill="BDFFFF"/>
            <w:vAlign w:val="bottom"/>
          </w:tcPr>
          <w:p w:rsidR="00485094" w:rsidRPr="00225579" w:rsidRDefault="00542E8A" w:rsidP="00542E8A">
            <w:pPr>
              <w:pStyle w:val="TableText"/>
              <w:jc w:val="center"/>
              <w:rPr>
                <w:b/>
                <w:i/>
                <w:szCs w:val="18"/>
              </w:rPr>
            </w:pPr>
            <w:r>
              <w:rPr>
                <w:b/>
                <w:i/>
                <w:szCs w:val="18"/>
              </w:rPr>
              <w:t>T</w:t>
            </w:r>
            <w:r w:rsidR="00485094" w:rsidRPr="00225579">
              <w:rPr>
                <w:b/>
                <w:i/>
                <w:szCs w:val="18"/>
              </w:rPr>
              <w:t>K</w:t>
            </w:r>
            <w:r>
              <w:rPr>
                <w:b/>
                <w:i/>
                <w:szCs w:val="18"/>
              </w:rPr>
              <w:t>N</w:t>
            </w:r>
          </w:p>
        </w:tc>
        <w:tc>
          <w:tcPr>
            <w:tcW w:w="1277"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TP</w:t>
            </w:r>
          </w:p>
        </w:tc>
        <w:tc>
          <w:tcPr>
            <w:tcW w:w="966" w:type="dxa"/>
            <w:tcBorders>
              <w:bottom w:val="double" w:sz="4" w:space="0" w:color="auto"/>
            </w:tcBorders>
            <w:shd w:val="clear" w:color="auto" w:fill="BDFFFF"/>
            <w:vAlign w:val="bottom"/>
          </w:tcPr>
          <w:p w:rsidR="00485094" w:rsidRPr="00225579" w:rsidRDefault="008C37FA" w:rsidP="000F2909">
            <w:pPr>
              <w:pStyle w:val="TableText"/>
              <w:jc w:val="center"/>
              <w:rPr>
                <w:b/>
                <w:i/>
                <w:szCs w:val="18"/>
              </w:rPr>
            </w:pPr>
            <w:r>
              <w:rPr>
                <w:b/>
                <w:i/>
                <w:szCs w:val="18"/>
              </w:rPr>
              <w:t>TOC</w:t>
            </w:r>
          </w:p>
        </w:tc>
        <w:tc>
          <w:tcPr>
            <w:tcW w:w="123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Chlorophyll a</w:t>
            </w:r>
          </w:p>
        </w:tc>
        <w:tc>
          <w:tcPr>
            <w:tcW w:w="1000"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Fecal Coliform</w:t>
            </w:r>
          </w:p>
        </w:tc>
        <w:tc>
          <w:tcPr>
            <w:tcW w:w="839" w:type="dxa"/>
            <w:tcBorders>
              <w:bottom w:val="double" w:sz="4" w:space="0" w:color="auto"/>
            </w:tcBorders>
            <w:shd w:val="clear" w:color="auto" w:fill="BDFFFF"/>
            <w:vAlign w:val="bottom"/>
          </w:tcPr>
          <w:p w:rsidR="00485094" w:rsidRPr="00225579" w:rsidRDefault="00485094" w:rsidP="000F2909">
            <w:pPr>
              <w:pStyle w:val="TableText"/>
              <w:jc w:val="center"/>
              <w:rPr>
                <w:b/>
                <w:i/>
                <w:szCs w:val="18"/>
              </w:rPr>
            </w:pPr>
            <w:r w:rsidRPr="00225579">
              <w:rPr>
                <w:b/>
                <w:i/>
                <w:szCs w:val="18"/>
              </w:rPr>
              <w:t>DO</w:t>
            </w:r>
          </w:p>
        </w:tc>
      </w:tr>
      <w:tr w:rsidR="00542E8A" w:rsidRPr="00915AC3" w:rsidTr="008F1C14">
        <w:trPr>
          <w:jc w:val="center"/>
        </w:trPr>
        <w:tc>
          <w:tcPr>
            <w:tcW w:w="954"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3516</w:t>
            </w:r>
          </w:p>
        </w:tc>
        <w:tc>
          <w:tcPr>
            <w:tcW w:w="1632" w:type="dxa"/>
            <w:tcBorders>
              <w:top w:val="double" w:sz="4" w:space="0" w:color="auto"/>
            </w:tcBorders>
          </w:tcPr>
          <w:p w:rsidR="00485094" w:rsidRPr="00F65F6A" w:rsidRDefault="00485094" w:rsidP="00453E80">
            <w:pPr>
              <w:pStyle w:val="TableText"/>
              <w:jc w:val="center"/>
              <w:rPr>
                <w:sz w:val="16"/>
                <w:szCs w:val="16"/>
              </w:rPr>
            </w:pPr>
            <w:r w:rsidRPr="00F65F6A">
              <w:rPr>
                <w:sz w:val="16"/>
                <w:szCs w:val="16"/>
              </w:rPr>
              <w:t>Tomoka River</w:t>
            </w:r>
          </w:p>
        </w:tc>
        <w:tc>
          <w:tcPr>
            <w:tcW w:w="922"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008"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77"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w:t>
            </w:r>
          </w:p>
        </w:tc>
        <w:tc>
          <w:tcPr>
            <w:tcW w:w="966"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123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w:t>
            </w:r>
          </w:p>
        </w:tc>
        <w:tc>
          <w:tcPr>
            <w:tcW w:w="1000"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c>
          <w:tcPr>
            <w:tcW w:w="839" w:type="dxa"/>
            <w:tcBorders>
              <w:top w:val="double" w:sz="4" w:space="0" w:color="auto"/>
            </w:tcBorders>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3553</w:t>
            </w:r>
          </w:p>
        </w:tc>
        <w:tc>
          <w:tcPr>
            <w:tcW w:w="1632" w:type="dxa"/>
            <w:shd w:val="clear" w:color="auto" w:fill="FFFFCC"/>
          </w:tcPr>
          <w:p w:rsidR="00485094" w:rsidRPr="00F65F6A" w:rsidRDefault="00485094" w:rsidP="00453E80">
            <w:pPr>
              <w:pStyle w:val="TableText"/>
              <w:jc w:val="center"/>
              <w:rPr>
                <w:sz w:val="16"/>
                <w:szCs w:val="16"/>
              </w:rPr>
            </w:pPr>
            <w:r w:rsidRPr="00F65F6A">
              <w:rPr>
                <w:sz w:val="16"/>
                <w:szCs w:val="16"/>
              </w:rPr>
              <w:t>St. Johns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3544</w:t>
            </w:r>
          </w:p>
        </w:tc>
        <w:tc>
          <w:tcPr>
            <w:tcW w:w="1632" w:type="dxa"/>
          </w:tcPr>
          <w:p w:rsidR="00485094" w:rsidRPr="00F65F6A" w:rsidRDefault="00485094" w:rsidP="00453E80">
            <w:pPr>
              <w:pStyle w:val="TableText"/>
              <w:jc w:val="center"/>
              <w:rPr>
                <w:sz w:val="16"/>
                <w:szCs w:val="16"/>
              </w:rPr>
            </w:pPr>
            <w:r w:rsidRPr="00F65F6A">
              <w:rPr>
                <w:sz w:val="16"/>
                <w:szCs w:val="16"/>
              </w:rPr>
              <w:t>St. Marys River</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6978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Steinhatchee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3526</w:t>
            </w:r>
          </w:p>
        </w:tc>
        <w:tc>
          <w:tcPr>
            <w:tcW w:w="1632" w:type="dxa"/>
          </w:tcPr>
          <w:p w:rsidR="00485094" w:rsidRPr="00F65F6A" w:rsidRDefault="00485094" w:rsidP="00453E80">
            <w:pPr>
              <w:pStyle w:val="TableText"/>
              <w:jc w:val="center"/>
              <w:rPr>
                <w:sz w:val="16"/>
                <w:szCs w:val="16"/>
              </w:rPr>
            </w:pPr>
            <w:r>
              <w:rPr>
                <w:sz w:val="16"/>
                <w:szCs w:val="16"/>
              </w:rPr>
              <w:t>Aucilla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6976</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Econfina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21380</w:t>
            </w:r>
          </w:p>
        </w:tc>
        <w:tc>
          <w:tcPr>
            <w:tcW w:w="1632" w:type="dxa"/>
          </w:tcPr>
          <w:p w:rsidR="00485094" w:rsidRPr="00F65F6A" w:rsidRDefault="00485094" w:rsidP="00453E80">
            <w:pPr>
              <w:pStyle w:val="TableText"/>
              <w:jc w:val="center"/>
              <w:rPr>
                <w:sz w:val="16"/>
                <w:szCs w:val="16"/>
              </w:rPr>
            </w:pPr>
            <w:r>
              <w:rPr>
                <w:sz w:val="16"/>
                <w:szCs w:val="16"/>
              </w:rPr>
              <w:t>Homosassa Spring Run</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3499</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Myakka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3502</w:t>
            </w:r>
          </w:p>
        </w:tc>
        <w:tc>
          <w:tcPr>
            <w:tcW w:w="1632" w:type="dxa"/>
          </w:tcPr>
          <w:p w:rsidR="00485094" w:rsidRPr="00F65F6A" w:rsidRDefault="00485094" w:rsidP="00453E80">
            <w:pPr>
              <w:pStyle w:val="TableText"/>
              <w:jc w:val="center"/>
              <w:rPr>
                <w:sz w:val="16"/>
                <w:szCs w:val="16"/>
              </w:rPr>
            </w:pPr>
            <w:r>
              <w:rPr>
                <w:sz w:val="16"/>
                <w:szCs w:val="16"/>
              </w:rPr>
              <w:t>Phillippe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3505</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Manatee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3507</w:t>
            </w:r>
          </w:p>
        </w:tc>
        <w:tc>
          <w:tcPr>
            <w:tcW w:w="1632" w:type="dxa"/>
          </w:tcPr>
          <w:p w:rsidR="00485094" w:rsidRPr="00F65F6A" w:rsidRDefault="00485094" w:rsidP="00453E80">
            <w:pPr>
              <w:pStyle w:val="TableText"/>
              <w:jc w:val="center"/>
              <w:rPr>
                <w:sz w:val="16"/>
                <w:szCs w:val="16"/>
              </w:rPr>
            </w:pPr>
            <w:r>
              <w:rPr>
                <w:sz w:val="16"/>
                <w:szCs w:val="16"/>
              </w:rPr>
              <w:t>Hillsborough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21460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Wrights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21461</w:t>
            </w:r>
          </w:p>
        </w:tc>
        <w:tc>
          <w:tcPr>
            <w:tcW w:w="1632" w:type="dxa"/>
          </w:tcPr>
          <w:p w:rsidR="00485094" w:rsidRPr="00F65F6A" w:rsidRDefault="00485094" w:rsidP="00453E80">
            <w:pPr>
              <w:pStyle w:val="TableText"/>
              <w:jc w:val="center"/>
              <w:rPr>
                <w:sz w:val="16"/>
                <w:szCs w:val="16"/>
              </w:rPr>
            </w:pPr>
            <w:r>
              <w:rPr>
                <w:sz w:val="16"/>
                <w:szCs w:val="16"/>
              </w:rPr>
              <w:t>Big Coldwater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3563</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New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3552</w:t>
            </w:r>
          </w:p>
        </w:tc>
        <w:tc>
          <w:tcPr>
            <w:tcW w:w="1632" w:type="dxa"/>
          </w:tcPr>
          <w:p w:rsidR="00485094" w:rsidRPr="00F65F6A" w:rsidRDefault="00485094" w:rsidP="00453E80">
            <w:pPr>
              <w:pStyle w:val="TableText"/>
              <w:jc w:val="center"/>
              <w:rPr>
                <w:sz w:val="16"/>
                <w:szCs w:val="16"/>
              </w:rPr>
            </w:pPr>
            <w:r>
              <w:rPr>
                <w:sz w:val="16"/>
                <w:szCs w:val="16"/>
              </w:rPr>
              <w:t>Chipola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3533</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East Bay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3551</w:t>
            </w:r>
          </w:p>
        </w:tc>
        <w:tc>
          <w:tcPr>
            <w:tcW w:w="1632" w:type="dxa"/>
          </w:tcPr>
          <w:p w:rsidR="00485094" w:rsidRPr="00F65F6A" w:rsidRDefault="00485094" w:rsidP="00453E80">
            <w:pPr>
              <w:pStyle w:val="TableText"/>
              <w:jc w:val="center"/>
              <w:rPr>
                <w:sz w:val="16"/>
                <w:szCs w:val="16"/>
              </w:rPr>
            </w:pPr>
            <w:r>
              <w:rPr>
                <w:sz w:val="16"/>
                <w:szCs w:val="16"/>
              </w:rPr>
              <w:t>Yellow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Ochlockonee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3536</w:t>
            </w:r>
          </w:p>
        </w:tc>
        <w:tc>
          <w:tcPr>
            <w:tcW w:w="1632" w:type="dxa"/>
          </w:tcPr>
          <w:p w:rsidR="00485094" w:rsidRPr="00F65F6A" w:rsidRDefault="00485094" w:rsidP="00453E80">
            <w:pPr>
              <w:pStyle w:val="TableText"/>
              <w:jc w:val="center"/>
              <w:rPr>
                <w:sz w:val="16"/>
                <w:szCs w:val="16"/>
              </w:rPr>
            </w:pPr>
            <w:r>
              <w:rPr>
                <w:sz w:val="16"/>
                <w:szCs w:val="16"/>
              </w:rPr>
              <w:t>Alaqua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3546</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Yellow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3547</w:t>
            </w:r>
          </w:p>
        </w:tc>
        <w:tc>
          <w:tcPr>
            <w:tcW w:w="1632" w:type="dxa"/>
          </w:tcPr>
          <w:p w:rsidR="00485094" w:rsidRPr="00F65F6A" w:rsidRDefault="00485094" w:rsidP="00453E80">
            <w:pPr>
              <w:pStyle w:val="TableText"/>
              <w:jc w:val="center"/>
              <w:rPr>
                <w:sz w:val="16"/>
                <w:szCs w:val="16"/>
              </w:rPr>
            </w:pPr>
            <w:r>
              <w:rPr>
                <w:sz w:val="16"/>
                <w:szCs w:val="16"/>
              </w:rPr>
              <w:t>Cowarts Creek</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3548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Choctawhatchee River</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3550</w:t>
            </w:r>
          </w:p>
        </w:tc>
        <w:tc>
          <w:tcPr>
            <w:tcW w:w="1632" w:type="dxa"/>
          </w:tcPr>
          <w:p w:rsidR="00485094" w:rsidRPr="00F65F6A" w:rsidRDefault="00485094" w:rsidP="00453E80">
            <w:pPr>
              <w:pStyle w:val="TableText"/>
              <w:jc w:val="center"/>
              <w:rPr>
                <w:sz w:val="16"/>
                <w:szCs w:val="16"/>
              </w:rPr>
            </w:pPr>
            <w:r>
              <w:rPr>
                <w:sz w:val="16"/>
                <w:szCs w:val="16"/>
              </w:rPr>
              <w:t>Brushy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3570</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Aerojet Canal</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3495</w:t>
            </w:r>
          </w:p>
        </w:tc>
        <w:tc>
          <w:tcPr>
            <w:tcW w:w="1632" w:type="dxa"/>
          </w:tcPr>
          <w:p w:rsidR="00485094" w:rsidRPr="00F65F6A" w:rsidRDefault="00485094" w:rsidP="00453E80">
            <w:pPr>
              <w:pStyle w:val="TableText"/>
              <w:jc w:val="center"/>
              <w:rPr>
                <w:sz w:val="16"/>
                <w:szCs w:val="16"/>
              </w:rPr>
            </w:pPr>
            <w:r>
              <w:rPr>
                <w:sz w:val="16"/>
                <w:szCs w:val="16"/>
              </w:rPr>
              <w:t>Golden Gate Canal</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trHeight w:val="143"/>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3504</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C-25</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3506</w:t>
            </w:r>
          </w:p>
        </w:tc>
        <w:tc>
          <w:tcPr>
            <w:tcW w:w="1632" w:type="dxa"/>
          </w:tcPr>
          <w:p w:rsidR="00485094" w:rsidRPr="00F65F6A" w:rsidRDefault="00485094" w:rsidP="00453E80">
            <w:pPr>
              <w:pStyle w:val="TableText"/>
              <w:jc w:val="center"/>
              <w:rPr>
                <w:sz w:val="16"/>
                <w:szCs w:val="16"/>
              </w:rPr>
            </w:pPr>
            <w:r>
              <w:rPr>
                <w:sz w:val="16"/>
                <w:szCs w:val="16"/>
              </w:rPr>
              <w:t>Lake Kissimmee</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21179</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Spruce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21200</w:t>
            </w:r>
          </w:p>
        </w:tc>
        <w:tc>
          <w:tcPr>
            <w:tcW w:w="1632" w:type="dxa"/>
          </w:tcPr>
          <w:p w:rsidR="00485094" w:rsidRPr="00F65F6A" w:rsidRDefault="00485094" w:rsidP="00453E80">
            <w:pPr>
              <w:pStyle w:val="TableText"/>
              <w:jc w:val="center"/>
              <w:rPr>
                <w:sz w:val="16"/>
                <w:szCs w:val="16"/>
              </w:rPr>
            </w:pPr>
            <w:r>
              <w:rPr>
                <w:sz w:val="16"/>
                <w:szCs w:val="16"/>
              </w:rPr>
              <w:t>Rice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o</w:t>
            </w:r>
          </w:p>
        </w:tc>
        <w:tc>
          <w:tcPr>
            <w:tcW w:w="1277" w:type="dxa"/>
            <w:vAlign w:val="center"/>
          </w:tcPr>
          <w:p w:rsidR="00485094" w:rsidRPr="00915AC3" w:rsidRDefault="00485094" w:rsidP="00453E80">
            <w:pPr>
              <w:pStyle w:val="TableText"/>
              <w:jc w:val="center"/>
              <w:rPr>
                <w:szCs w:val="18"/>
              </w:rPr>
            </w:pPr>
            <w:r w:rsidRPr="00915AC3">
              <w:rPr>
                <w:szCs w:val="18"/>
              </w:rPr>
              <w:t>-</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21201</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Moultrie Creek</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21202</w:t>
            </w:r>
          </w:p>
        </w:tc>
        <w:tc>
          <w:tcPr>
            <w:tcW w:w="1632" w:type="dxa"/>
          </w:tcPr>
          <w:p w:rsidR="00485094" w:rsidRPr="00F65F6A" w:rsidRDefault="00485094" w:rsidP="00453E80">
            <w:pPr>
              <w:pStyle w:val="TableText"/>
              <w:jc w:val="center"/>
              <w:rPr>
                <w:sz w:val="16"/>
                <w:szCs w:val="16"/>
              </w:rPr>
            </w:pPr>
            <w:r>
              <w:rPr>
                <w:sz w:val="16"/>
                <w:szCs w:val="16"/>
              </w:rPr>
              <w:t>Orange Creek</w:t>
            </w:r>
          </w:p>
        </w:tc>
        <w:tc>
          <w:tcPr>
            <w:tcW w:w="922" w:type="dxa"/>
            <w:vAlign w:val="center"/>
          </w:tcPr>
          <w:p w:rsidR="00485094" w:rsidRPr="00915AC3" w:rsidRDefault="00485094" w:rsidP="00453E80">
            <w:pPr>
              <w:pStyle w:val="TableText"/>
              <w:jc w:val="center"/>
              <w:rPr>
                <w:szCs w:val="18"/>
              </w:rPr>
            </w:pPr>
            <w:r w:rsidRPr="00915AC3">
              <w:rPr>
                <w:szCs w:val="18"/>
              </w:rPr>
              <w:t>+</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w:t>
            </w:r>
          </w:p>
        </w:tc>
        <w:tc>
          <w:tcPr>
            <w:tcW w:w="1000" w:type="dxa"/>
            <w:vAlign w:val="center"/>
          </w:tcPr>
          <w:p w:rsidR="00485094" w:rsidRPr="00915AC3" w:rsidRDefault="00485094" w:rsidP="00453E80">
            <w:pPr>
              <w:pStyle w:val="TableText"/>
              <w:jc w:val="center"/>
              <w:rPr>
                <w:szCs w:val="18"/>
              </w:rPr>
            </w:pPr>
            <w:r w:rsidRPr="00915AC3">
              <w:rPr>
                <w:szCs w:val="18"/>
              </w:rPr>
              <w:t>+</w:t>
            </w:r>
          </w:p>
        </w:tc>
        <w:tc>
          <w:tcPr>
            <w:tcW w:w="839" w:type="dxa"/>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shd w:val="clear" w:color="auto" w:fill="FFFFCC"/>
            <w:vAlign w:val="center"/>
          </w:tcPr>
          <w:p w:rsidR="00485094" w:rsidRPr="00915AC3" w:rsidRDefault="00485094" w:rsidP="00453E80">
            <w:pPr>
              <w:pStyle w:val="TableText"/>
              <w:jc w:val="center"/>
              <w:rPr>
                <w:szCs w:val="18"/>
              </w:rPr>
            </w:pPr>
            <w:r w:rsidRPr="00915AC3">
              <w:rPr>
                <w:szCs w:val="18"/>
              </w:rPr>
              <w:t>3508</w:t>
            </w:r>
          </w:p>
        </w:tc>
        <w:tc>
          <w:tcPr>
            <w:tcW w:w="1632" w:type="dxa"/>
            <w:shd w:val="clear" w:color="auto" w:fill="FFFFCC"/>
          </w:tcPr>
          <w:p w:rsidR="00485094" w:rsidRPr="00F65F6A" w:rsidRDefault="00485094" w:rsidP="00453E80">
            <w:pPr>
              <w:pStyle w:val="TableText"/>
              <w:jc w:val="center"/>
              <w:rPr>
                <w:sz w:val="16"/>
                <w:szCs w:val="16"/>
              </w:rPr>
            </w:pPr>
            <w:r>
              <w:rPr>
                <w:sz w:val="16"/>
                <w:szCs w:val="16"/>
              </w:rPr>
              <w:t>Indian River Lagoon</w:t>
            </w:r>
          </w:p>
        </w:tc>
        <w:tc>
          <w:tcPr>
            <w:tcW w:w="922"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8"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277"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966" w:type="dxa"/>
            <w:shd w:val="clear" w:color="auto" w:fill="FFFFCC"/>
            <w:vAlign w:val="center"/>
          </w:tcPr>
          <w:p w:rsidR="00485094" w:rsidRPr="00915AC3" w:rsidRDefault="00485094" w:rsidP="00453E80">
            <w:pPr>
              <w:pStyle w:val="TableText"/>
              <w:jc w:val="center"/>
              <w:rPr>
                <w:szCs w:val="18"/>
              </w:rPr>
            </w:pPr>
            <w:r w:rsidRPr="00915AC3">
              <w:rPr>
                <w:szCs w:val="18"/>
              </w:rPr>
              <w:t>-</w:t>
            </w:r>
          </w:p>
        </w:tc>
        <w:tc>
          <w:tcPr>
            <w:tcW w:w="123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1000" w:type="dxa"/>
            <w:shd w:val="clear" w:color="auto" w:fill="FFFFCC"/>
            <w:vAlign w:val="center"/>
          </w:tcPr>
          <w:p w:rsidR="00485094" w:rsidRPr="00915AC3" w:rsidRDefault="00485094" w:rsidP="00453E80">
            <w:pPr>
              <w:pStyle w:val="TableText"/>
              <w:jc w:val="center"/>
              <w:rPr>
                <w:szCs w:val="18"/>
              </w:rPr>
            </w:pPr>
            <w:r w:rsidRPr="00915AC3">
              <w:rPr>
                <w:szCs w:val="18"/>
              </w:rPr>
              <w:t>o</w:t>
            </w:r>
          </w:p>
        </w:tc>
        <w:tc>
          <w:tcPr>
            <w:tcW w:w="839" w:type="dxa"/>
            <w:shd w:val="clear" w:color="auto" w:fill="FFFFCC"/>
            <w:vAlign w:val="center"/>
          </w:tcPr>
          <w:p w:rsidR="00485094" w:rsidRPr="00915AC3" w:rsidRDefault="00485094" w:rsidP="00453E80">
            <w:pPr>
              <w:pStyle w:val="TableText"/>
              <w:jc w:val="center"/>
              <w:rPr>
                <w:szCs w:val="18"/>
              </w:rPr>
            </w:pPr>
            <w:r w:rsidRPr="00915AC3">
              <w:rPr>
                <w:szCs w:val="18"/>
              </w:rPr>
              <w:t>o</w:t>
            </w:r>
          </w:p>
        </w:tc>
      </w:tr>
      <w:tr w:rsidR="00542E8A" w:rsidRPr="00915AC3" w:rsidTr="008F1C14">
        <w:trPr>
          <w:jc w:val="center"/>
        </w:trPr>
        <w:tc>
          <w:tcPr>
            <w:tcW w:w="954" w:type="dxa"/>
            <w:vAlign w:val="center"/>
          </w:tcPr>
          <w:p w:rsidR="00485094" w:rsidRPr="00915AC3" w:rsidRDefault="00485094" w:rsidP="00453E80">
            <w:pPr>
              <w:pStyle w:val="TableText"/>
              <w:jc w:val="center"/>
              <w:rPr>
                <w:szCs w:val="18"/>
              </w:rPr>
            </w:pPr>
            <w:r w:rsidRPr="00915AC3">
              <w:rPr>
                <w:szCs w:val="18"/>
              </w:rPr>
              <w:t>3537</w:t>
            </w:r>
          </w:p>
        </w:tc>
        <w:tc>
          <w:tcPr>
            <w:tcW w:w="1632" w:type="dxa"/>
          </w:tcPr>
          <w:p w:rsidR="00485094" w:rsidRPr="00F65F6A" w:rsidRDefault="00485094" w:rsidP="00453E80">
            <w:pPr>
              <w:pStyle w:val="TableText"/>
              <w:jc w:val="center"/>
              <w:rPr>
                <w:sz w:val="16"/>
                <w:szCs w:val="16"/>
              </w:rPr>
            </w:pPr>
            <w:r>
              <w:rPr>
                <w:sz w:val="16"/>
                <w:szCs w:val="16"/>
              </w:rPr>
              <w:t>Nassau River</w:t>
            </w:r>
          </w:p>
        </w:tc>
        <w:tc>
          <w:tcPr>
            <w:tcW w:w="922" w:type="dxa"/>
            <w:vAlign w:val="center"/>
          </w:tcPr>
          <w:p w:rsidR="00485094" w:rsidRPr="00915AC3" w:rsidRDefault="00485094" w:rsidP="00453E80">
            <w:pPr>
              <w:pStyle w:val="TableText"/>
              <w:jc w:val="center"/>
              <w:rPr>
                <w:szCs w:val="18"/>
              </w:rPr>
            </w:pPr>
            <w:r w:rsidRPr="00915AC3">
              <w:rPr>
                <w:szCs w:val="18"/>
              </w:rPr>
              <w:t>o</w:t>
            </w:r>
          </w:p>
        </w:tc>
        <w:tc>
          <w:tcPr>
            <w:tcW w:w="1008" w:type="dxa"/>
            <w:vAlign w:val="center"/>
          </w:tcPr>
          <w:p w:rsidR="00485094" w:rsidRPr="00915AC3" w:rsidRDefault="00485094" w:rsidP="00453E80">
            <w:pPr>
              <w:pStyle w:val="TableText"/>
              <w:jc w:val="center"/>
              <w:rPr>
                <w:szCs w:val="18"/>
              </w:rPr>
            </w:pPr>
            <w:r w:rsidRPr="00915AC3">
              <w:rPr>
                <w:szCs w:val="18"/>
              </w:rPr>
              <w:t>+</w:t>
            </w:r>
          </w:p>
        </w:tc>
        <w:tc>
          <w:tcPr>
            <w:tcW w:w="1277" w:type="dxa"/>
            <w:vAlign w:val="center"/>
          </w:tcPr>
          <w:p w:rsidR="00485094" w:rsidRPr="00915AC3" w:rsidRDefault="00485094" w:rsidP="00453E80">
            <w:pPr>
              <w:pStyle w:val="TableText"/>
              <w:jc w:val="center"/>
              <w:rPr>
                <w:szCs w:val="18"/>
              </w:rPr>
            </w:pPr>
            <w:r w:rsidRPr="00915AC3">
              <w:rPr>
                <w:szCs w:val="18"/>
              </w:rPr>
              <w:t>o</w:t>
            </w:r>
          </w:p>
        </w:tc>
        <w:tc>
          <w:tcPr>
            <w:tcW w:w="966" w:type="dxa"/>
            <w:vAlign w:val="center"/>
          </w:tcPr>
          <w:p w:rsidR="00485094" w:rsidRPr="00915AC3" w:rsidRDefault="00485094" w:rsidP="00453E80">
            <w:pPr>
              <w:pStyle w:val="TableText"/>
              <w:jc w:val="center"/>
              <w:rPr>
                <w:szCs w:val="18"/>
              </w:rPr>
            </w:pPr>
            <w:r w:rsidRPr="00915AC3">
              <w:rPr>
                <w:szCs w:val="18"/>
              </w:rPr>
              <w:t>o</w:t>
            </w:r>
          </w:p>
        </w:tc>
        <w:tc>
          <w:tcPr>
            <w:tcW w:w="1230" w:type="dxa"/>
            <w:vAlign w:val="center"/>
          </w:tcPr>
          <w:p w:rsidR="00485094" w:rsidRPr="00915AC3" w:rsidRDefault="00485094" w:rsidP="00453E80">
            <w:pPr>
              <w:pStyle w:val="TableText"/>
              <w:jc w:val="center"/>
              <w:rPr>
                <w:szCs w:val="18"/>
              </w:rPr>
            </w:pPr>
            <w:r w:rsidRPr="00915AC3">
              <w:rPr>
                <w:szCs w:val="18"/>
              </w:rPr>
              <w:t>o</w:t>
            </w:r>
          </w:p>
        </w:tc>
        <w:tc>
          <w:tcPr>
            <w:tcW w:w="1000" w:type="dxa"/>
            <w:vAlign w:val="center"/>
          </w:tcPr>
          <w:p w:rsidR="00485094" w:rsidRPr="00915AC3" w:rsidRDefault="00485094" w:rsidP="00453E80">
            <w:pPr>
              <w:pStyle w:val="TableText"/>
              <w:jc w:val="center"/>
              <w:rPr>
                <w:szCs w:val="18"/>
              </w:rPr>
            </w:pPr>
            <w:r w:rsidRPr="00915AC3">
              <w:rPr>
                <w:szCs w:val="18"/>
              </w:rPr>
              <w:t>o</w:t>
            </w:r>
          </w:p>
        </w:tc>
        <w:tc>
          <w:tcPr>
            <w:tcW w:w="839" w:type="dxa"/>
            <w:vAlign w:val="center"/>
          </w:tcPr>
          <w:p w:rsidR="00485094" w:rsidRPr="00915AC3" w:rsidRDefault="00485094" w:rsidP="00453E80">
            <w:pPr>
              <w:pStyle w:val="TableText"/>
              <w:jc w:val="center"/>
              <w:rPr>
                <w:szCs w:val="18"/>
              </w:rPr>
            </w:pPr>
            <w:r w:rsidRPr="00915AC3">
              <w:rPr>
                <w:szCs w:val="18"/>
              </w:rPr>
              <w:t>o</w:t>
            </w:r>
          </w:p>
        </w:tc>
      </w:tr>
    </w:tbl>
    <w:p w:rsidR="00485094" w:rsidRPr="00F30D85" w:rsidRDefault="00485094" w:rsidP="00692F31">
      <w:pPr>
        <w:pStyle w:val="BodyText2"/>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79" w:name="_Toc262464308"/>
      <w:bookmarkStart w:id="480" w:name="_Toc271280160"/>
      <w:r w:rsidRPr="00F30D85">
        <w:lastRenderedPageBreak/>
        <w:t xml:space="preserve">Figure </w:t>
      </w:r>
      <w:r>
        <w:t>6.15</w:t>
      </w:r>
      <w:r w:rsidRPr="00F30D85">
        <w:t>.</w:t>
      </w:r>
      <w:r>
        <w:t xml:space="preserve">  </w:t>
      </w:r>
      <w:r w:rsidRPr="00F30D85">
        <w:t xml:space="preserve">Surface </w:t>
      </w:r>
      <w:r>
        <w:t>W</w:t>
      </w:r>
      <w:r w:rsidRPr="00F30D85">
        <w:t xml:space="preserve">ater </w:t>
      </w:r>
      <w:r>
        <w:t>T</w:t>
      </w:r>
      <w:r w:rsidRPr="00F30D85">
        <w:t xml:space="preserve">rends for </w:t>
      </w:r>
      <w:r>
        <w:t>N</w:t>
      </w:r>
      <w:r w:rsidRPr="00F30D85">
        <w:t xml:space="preserve">itrate </w:t>
      </w:r>
      <w:r>
        <w:t>+</w:t>
      </w:r>
      <w:r w:rsidRPr="00F30D85">
        <w:t xml:space="preserve"> </w:t>
      </w:r>
      <w:r>
        <w:t>N</w:t>
      </w:r>
      <w:r w:rsidRPr="00F30D85">
        <w:t>itrite</w:t>
      </w:r>
      <w:r>
        <w:t xml:space="preserve">, </w:t>
      </w:r>
      <w:r w:rsidRPr="00F30D85">
        <w:t>1999</w:t>
      </w:r>
      <w:r>
        <w:t>–2008</w:t>
      </w:r>
      <w:bookmarkEnd w:id="479"/>
      <w:bookmarkEnd w:id="480"/>
    </w:p>
    <w:p w:rsidR="00485094" w:rsidRPr="00F30D85" w:rsidRDefault="00485094" w:rsidP="00692F31">
      <w:pPr>
        <w:pStyle w:val="BodyText2"/>
        <w:jc w:val="both"/>
        <w:rPr>
          <w:rFonts w:cs="Arial"/>
          <w:b/>
          <w:szCs w:val="22"/>
        </w:rPr>
      </w:pPr>
    </w:p>
    <w:p w:rsidR="00485094" w:rsidRDefault="001717CD" w:rsidP="00692F31">
      <w:pPr>
        <w:pStyle w:val="BodyText2"/>
        <w:jc w:val="both"/>
        <w:rPr>
          <w:rFonts w:cs="Arial"/>
          <w:b/>
          <w:szCs w:val="22"/>
        </w:rPr>
      </w:pPr>
      <w:r>
        <w:rPr>
          <w:noProof/>
        </w:rPr>
        <w:drawing>
          <wp:anchor distT="0" distB="0" distL="114300" distR="114300" simplePos="0" relativeHeight="251654656" behindDoc="0" locked="0" layoutInCell="1" allowOverlap="1">
            <wp:simplePos x="0" y="0"/>
            <wp:positionH relativeFrom="column">
              <wp:align>center</wp:align>
            </wp:positionH>
            <wp:positionV relativeFrom="paragraph">
              <wp:posOffset>109855</wp:posOffset>
            </wp:positionV>
            <wp:extent cx="5157470" cy="5947410"/>
            <wp:effectExtent l="19050" t="0" r="5080" b="0"/>
            <wp:wrapTopAndBottom/>
            <wp:docPr id="33" name="Picture 3" descr="Figure 6.15.  Surface Water Trends for Nitrate + Nitrite, 1999–2008.  This is a map of the state of Florida showing the statewide nitrate plus nitri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15.  Surface Water Trends for Nitrate + Nitrite, 1999–2008"/>
                    <pic:cNvPicPr>
                      <a:picLocks noChangeAspect="1" noChangeArrowheads="1"/>
                    </pic:cNvPicPr>
                  </pic:nvPicPr>
                  <pic:blipFill>
                    <a:blip r:embed="rId99"/>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sectPr w:rsidR="00485094" w:rsidSect="009876F8">
          <w:headerReference w:type="even" r:id="rId100"/>
          <w:headerReference w:type="first" r:id="rId101"/>
          <w:pgSz w:w="12240" w:h="15840" w:code="1"/>
          <w:pgMar w:top="1440" w:right="1440" w:bottom="1440" w:left="1440" w:header="720" w:footer="720" w:gutter="0"/>
          <w:paperSrc w:first="261"/>
          <w:cols w:space="720"/>
          <w:docGrid w:linePitch="360"/>
        </w:sectPr>
      </w:pPr>
      <w:r w:rsidRPr="00F30D85">
        <w:t xml:space="preserve">There were </w:t>
      </w:r>
      <w:r>
        <w:t>7 stations with</w:t>
      </w:r>
      <w:r w:rsidRPr="00F30D85">
        <w:t xml:space="preserve"> decreasing trends and </w:t>
      </w:r>
      <w:r>
        <w:t>11 stations with</w:t>
      </w:r>
      <w:r w:rsidRPr="00F30D85">
        <w:t xml:space="preserve"> increasing trends for nitrate-nitrite around the state</w:t>
      </w:r>
      <w:r>
        <w:t>.  The far western P</w:t>
      </w:r>
      <w:r w:rsidRPr="00F30D85">
        <w:t xml:space="preserve">anhandle had </w:t>
      </w:r>
      <w:r>
        <w:t>4</w:t>
      </w:r>
      <w:r w:rsidRPr="00F30D85">
        <w:t xml:space="preserve"> of the decreasing trend stations</w:t>
      </w:r>
      <w:r>
        <w:t>,</w:t>
      </w:r>
      <w:r w:rsidRPr="00F30D85">
        <w:t xml:space="preserve"> while the remaining stations were </w:t>
      </w:r>
      <w:r>
        <w:t xml:space="preserve">located throughout </w:t>
      </w:r>
      <w:r w:rsidRPr="00F30D85">
        <w:t>the rest of the state.  Trends in nitrate-nitrite may indicate changes in anthropogenic input.</w:t>
      </w:r>
    </w:p>
    <w:p w:rsidR="00485094" w:rsidRPr="00F30D85" w:rsidRDefault="00485094" w:rsidP="00692F31">
      <w:pPr>
        <w:pStyle w:val="Caption"/>
      </w:pPr>
      <w:bookmarkStart w:id="481" w:name="_Toc271280161"/>
      <w:r w:rsidRPr="00F30D85">
        <w:lastRenderedPageBreak/>
        <w:t xml:space="preserve">Figure </w:t>
      </w:r>
      <w:r>
        <w:t>6.16</w:t>
      </w:r>
      <w:r w:rsidRPr="00F30D85">
        <w:t>.</w:t>
      </w:r>
      <w:r>
        <w:t xml:space="preserve">  </w:t>
      </w:r>
      <w:r w:rsidRPr="00F30D85">
        <w:t xml:space="preserve">Surface </w:t>
      </w:r>
      <w:r>
        <w:t>W</w:t>
      </w:r>
      <w:r w:rsidRPr="00F30D85">
        <w:t xml:space="preserve">ater </w:t>
      </w:r>
      <w:r>
        <w:t>T</w:t>
      </w:r>
      <w:r w:rsidRPr="00F30D85">
        <w:t xml:space="preserve">rends for </w:t>
      </w:r>
      <w:r>
        <w:t xml:space="preserve">TKN, </w:t>
      </w:r>
      <w:r w:rsidRPr="00F30D85">
        <w:t>1999</w:t>
      </w:r>
      <w:r>
        <w:t>–2008</w:t>
      </w:r>
      <w:bookmarkEnd w:id="481"/>
    </w:p>
    <w:p w:rsidR="00485094" w:rsidRPr="008A0A8B" w:rsidRDefault="00485094" w:rsidP="00692F31">
      <w:pPr>
        <w:pStyle w:val="Bodytextreduced"/>
        <w:rPr>
          <w:rFonts w:cs="Arial"/>
          <w:b/>
          <w:i/>
          <w:sz w:val="18"/>
          <w:szCs w:val="18"/>
        </w:rPr>
      </w:pPr>
    </w:p>
    <w:p w:rsidR="00485094" w:rsidRDefault="001717CD" w:rsidP="00692F31">
      <w:pPr>
        <w:pStyle w:val="Bodytextreduced"/>
        <w:rPr>
          <w:rFonts w:cs="Arial"/>
          <w:szCs w:val="22"/>
        </w:rPr>
      </w:pPr>
      <w:r>
        <w:rPr>
          <w:rFonts w:cs="Arial"/>
          <w:noProof/>
          <w:szCs w:val="22"/>
        </w:rPr>
        <w:drawing>
          <wp:inline distT="0" distB="0" distL="0" distR="0">
            <wp:extent cx="5270500" cy="5891530"/>
            <wp:effectExtent l="19050" t="0" r="6350" b="0"/>
            <wp:docPr id="11" name="Picture 5" descr="Figure 6.16.  Surface Water Trends for TKN, 1999–2008.  This is a map of the state of Florida showing the statewide total kjeldahl nitroge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16.  Surface Water Trends for TKN, 1999–2008"/>
                    <pic:cNvPicPr>
                      <a:picLocks noChangeAspect="1" noChangeArrowheads="1"/>
                    </pic:cNvPicPr>
                  </pic:nvPicPr>
                  <pic:blipFill>
                    <a:blip r:embed="rId102"/>
                    <a:srcRect/>
                    <a:stretch>
                      <a:fillRect/>
                    </a:stretch>
                  </pic:blipFill>
                  <pic:spPr bwMode="auto">
                    <a:xfrm>
                      <a:off x="0" y="0"/>
                      <a:ext cx="5270500" cy="5891530"/>
                    </a:xfrm>
                    <a:prstGeom prst="rect">
                      <a:avLst/>
                    </a:prstGeom>
                    <a:noFill/>
                    <a:ln w="9525">
                      <a:noFill/>
                      <a:miter lim="800000"/>
                      <a:headEnd/>
                      <a:tailEnd/>
                    </a:ln>
                  </pic:spPr>
                </pic:pic>
              </a:graphicData>
            </a:graphic>
          </wp:inline>
        </w:drawing>
      </w:r>
    </w:p>
    <w:p w:rsidR="00485094" w:rsidRDefault="00485094" w:rsidP="00692F31">
      <w:pPr>
        <w:pStyle w:val="Bodytextreduced"/>
        <w:rPr>
          <w:rFonts w:cs="Arial"/>
          <w:szCs w:val="22"/>
        </w:rPr>
      </w:pPr>
    </w:p>
    <w:p w:rsidR="00485094" w:rsidRPr="00F30D85" w:rsidRDefault="00485094" w:rsidP="00692F31">
      <w:pPr>
        <w:pStyle w:val="Bodytextreduced"/>
        <w:rPr>
          <w:rFonts w:cs="Arial"/>
          <w:szCs w:val="22"/>
        </w:rPr>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rPr>
          <w:b/>
        </w:rPr>
      </w:pPr>
      <w:r w:rsidRPr="00F30D85">
        <w:t xml:space="preserve">TKN had </w:t>
      </w:r>
      <w:r>
        <w:t>20</w:t>
      </w:r>
      <w:r w:rsidRPr="00F30D85">
        <w:t xml:space="preserve"> stations with increasing trends and only </w:t>
      </w:r>
      <w:r>
        <w:t>2</w:t>
      </w:r>
      <w:r w:rsidRPr="00F30D85">
        <w:t xml:space="preserve"> </w:t>
      </w:r>
      <w:r>
        <w:t xml:space="preserve">stations had </w:t>
      </w:r>
      <w:r w:rsidRPr="00F30D85">
        <w:t>decreasing</w:t>
      </w:r>
      <w:r>
        <w:t xml:space="preserve"> trends</w:t>
      </w:r>
      <w:r w:rsidRPr="00F30D85">
        <w:t>.  TKN is ammonia plus organic nitrogen</w:t>
      </w:r>
      <w:r>
        <w:t>.</w:t>
      </w: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2" w:name="_Toc262464310"/>
      <w:bookmarkStart w:id="483" w:name="_Toc271280162"/>
      <w:r w:rsidRPr="00F30D85">
        <w:lastRenderedPageBreak/>
        <w:t xml:space="preserve">Figure </w:t>
      </w:r>
      <w:r>
        <w:t>6.17</w:t>
      </w:r>
      <w:r w:rsidRPr="00F30D85">
        <w:t>.</w:t>
      </w:r>
      <w:r>
        <w:t xml:space="preserve">  </w:t>
      </w:r>
      <w:r w:rsidRPr="00F30D85">
        <w:t xml:space="preserve">Surface </w:t>
      </w:r>
      <w:r>
        <w:t>W</w:t>
      </w:r>
      <w:r w:rsidRPr="00F30D85">
        <w:t xml:space="preserve">ater </w:t>
      </w:r>
      <w:r>
        <w:t>T</w:t>
      </w:r>
      <w:r w:rsidRPr="00F30D85">
        <w:t xml:space="preserve">rends for </w:t>
      </w:r>
      <w:r>
        <w:t>TP,</w:t>
      </w:r>
      <w:r w:rsidRPr="00F30D85">
        <w:t xml:space="preserve"> 1999</w:t>
      </w:r>
      <w:r>
        <w:t>–2008</w:t>
      </w:r>
      <w:bookmarkEnd w:id="482"/>
      <w:bookmarkEnd w:id="483"/>
    </w:p>
    <w:p w:rsidR="00485094" w:rsidRPr="00F30D85" w:rsidRDefault="00485094" w:rsidP="00692F31">
      <w:pPr>
        <w:pStyle w:val="BodyText2"/>
        <w:ind w:right="1440"/>
        <w:jc w:val="both"/>
        <w:rPr>
          <w:rFonts w:cs="Arial"/>
          <w:b/>
          <w:szCs w:val="22"/>
        </w:rPr>
      </w:pPr>
    </w:p>
    <w:p w:rsidR="00485094" w:rsidRDefault="001717CD" w:rsidP="00692F31">
      <w:pPr>
        <w:pStyle w:val="Bodytextreduced"/>
      </w:pPr>
      <w:r>
        <w:rPr>
          <w:noProof/>
        </w:rPr>
        <w:drawing>
          <wp:inline distT="0" distB="0" distL="0" distR="0">
            <wp:extent cx="5270500" cy="5891530"/>
            <wp:effectExtent l="19050" t="0" r="6350" b="0"/>
            <wp:docPr id="12" name="Picture 8" descr="Figure 6.17.  Surface Water Trends for TP, 1999–2008.  This is a map of the state of Florida showing the statewide total phosphoru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17.  Surface Water Trends for TP, 1999–2008"/>
                    <pic:cNvPicPr>
                      <a:picLocks noChangeAspect="1" noChangeArrowheads="1"/>
                    </pic:cNvPicPr>
                  </pic:nvPicPr>
                  <pic:blipFill>
                    <a:blip r:embed="rId103"/>
                    <a:srcRect/>
                    <a:stretch>
                      <a:fillRect/>
                    </a:stretch>
                  </pic:blipFill>
                  <pic:spPr bwMode="auto">
                    <a:xfrm>
                      <a:off x="0" y="0"/>
                      <a:ext cx="5270500" cy="5891530"/>
                    </a:xfrm>
                    <a:prstGeom prst="rect">
                      <a:avLst/>
                    </a:prstGeom>
                    <a:noFill/>
                    <a:ln w="9525">
                      <a:noFill/>
                      <a:miter lim="800000"/>
                      <a:headEnd/>
                      <a:tailEnd/>
                    </a:ln>
                  </pic:spPr>
                </pic:pic>
              </a:graphicData>
            </a:graphic>
          </wp:inline>
        </w:drawing>
      </w:r>
    </w:p>
    <w:p w:rsidR="00485094" w:rsidRDefault="00485094" w:rsidP="00692F31">
      <w:pPr>
        <w:pStyle w:val="Bodytextreduced"/>
      </w:pP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A162A6" w:rsidRDefault="00485094" w:rsidP="00692F31">
      <w:pPr>
        <w:pStyle w:val="ListBullet"/>
        <w:rPr>
          <w:b/>
        </w:rPr>
      </w:pPr>
      <w:r w:rsidRPr="00F30D85">
        <w:t>T</w:t>
      </w:r>
      <w:r>
        <w:t>P</w:t>
      </w:r>
      <w:r w:rsidRPr="00F30D85">
        <w:t xml:space="preserve"> had </w:t>
      </w:r>
      <w:r w:rsidR="000D13CF">
        <w:t>5</w:t>
      </w:r>
      <w:r w:rsidR="000D13CF" w:rsidRPr="00F30D85">
        <w:t xml:space="preserve"> </w:t>
      </w:r>
      <w:r w:rsidRPr="00F30D85">
        <w:t xml:space="preserve">stations with increasing trends and </w:t>
      </w:r>
      <w:r w:rsidR="000D13CF">
        <w:t xml:space="preserve">9 </w:t>
      </w:r>
      <w:r>
        <w:t>stations with d</w:t>
      </w:r>
      <w:r w:rsidRPr="00F30D85">
        <w:t xml:space="preserve">ecreasing </w:t>
      </w:r>
      <w:r>
        <w:t xml:space="preserve">trends </w:t>
      </w:r>
      <w:r w:rsidRPr="00F30D85">
        <w:t xml:space="preserve">across the state.  There was no pattern </w:t>
      </w:r>
      <w:r>
        <w:t>for either the increasing or decreasing trends</w:t>
      </w:r>
      <w:r w:rsidRPr="00F30D85">
        <w:t xml:space="preserve">.  Phosphorus is found </w:t>
      </w:r>
      <w:r>
        <w:t xml:space="preserve">naturally in ground water </w:t>
      </w:r>
      <w:r w:rsidRPr="00F30D85">
        <w:t xml:space="preserve">in </w:t>
      </w:r>
      <w:r>
        <w:t xml:space="preserve">many </w:t>
      </w:r>
      <w:r w:rsidRPr="00F30D85">
        <w:t>areas of the state</w:t>
      </w:r>
      <w:r>
        <w:t>.</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4" w:name="_Toc262464311"/>
      <w:bookmarkStart w:id="485" w:name="_Toc271280163"/>
      <w:r w:rsidRPr="00F30D85">
        <w:lastRenderedPageBreak/>
        <w:t xml:space="preserve">Figure </w:t>
      </w:r>
      <w:r>
        <w:t>6.18</w:t>
      </w:r>
      <w:r w:rsidRPr="00F30D85">
        <w:t>.</w:t>
      </w:r>
      <w:r>
        <w:t xml:space="preserve">  </w:t>
      </w:r>
      <w:r w:rsidRPr="00F30D85">
        <w:t xml:space="preserve">Surface </w:t>
      </w:r>
      <w:r>
        <w:t>W</w:t>
      </w:r>
      <w:r w:rsidRPr="00F30D85">
        <w:t xml:space="preserve">ater </w:t>
      </w:r>
      <w:r>
        <w:t>T</w:t>
      </w:r>
      <w:r w:rsidRPr="00F30D85">
        <w:t>rends for TOC</w:t>
      </w:r>
      <w:r>
        <w:t xml:space="preserve">, </w:t>
      </w:r>
      <w:r w:rsidRPr="00F30D85">
        <w:t>1999</w:t>
      </w:r>
      <w:r>
        <w:t>–2008</w:t>
      </w:r>
      <w:bookmarkEnd w:id="484"/>
      <w:bookmarkEnd w:id="485"/>
    </w:p>
    <w:p w:rsidR="00485094" w:rsidRDefault="001717CD" w:rsidP="00692F31">
      <w:pPr>
        <w:pStyle w:val="BodyText2"/>
        <w:ind w:right="1440"/>
        <w:jc w:val="both"/>
        <w:rPr>
          <w:rFonts w:cs="Arial"/>
          <w:b/>
          <w:szCs w:val="22"/>
        </w:rPr>
      </w:pPr>
      <w:r>
        <w:rPr>
          <w:noProof/>
        </w:rPr>
        <w:drawing>
          <wp:anchor distT="0" distB="0" distL="114300" distR="114300" simplePos="0" relativeHeight="251655680" behindDoc="0" locked="0" layoutInCell="1" allowOverlap="1">
            <wp:simplePos x="0" y="0"/>
            <wp:positionH relativeFrom="column">
              <wp:align>center</wp:align>
            </wp:positionH>
            <wp:positionV relativeFrom="paragraph">
              <wp:posOffset>219710</wp:posOffset>
            </wp:positionV>
            <wp:extent cx="5157470" cy="5947410"/>
            <wp:effectExtent l="19050" t="0" r="5080" b="0"/>
            <wp:wrapTopAndBottom/>
            <wp:docPr id="34" name="Picture 6" descr="Figure 6.18.  Surface Water Trends for TOC, 1999–2008.  This is a map of the state of Florida showing the statewide total organic carbo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18.  Surface Water Trends for TOC, 1999–2008"/>
                    <pic:cNvPicPr>
                      <a:picLocks noChangeAspect="1" noChangeArrowheads="1"/>
                    </pic:cNvPicPr>
                  </pic:nvPicPr>
                  <pic:blipFill>
                    <a:blip r:embed="rId104"/>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pPr>
      <w:r w:rsidRPr="00F30D85">
        <w:t>T</w:t>
      </w:r>
      <w:r>
        <w:t>here were 7</w:t>
      </w:r>
      <w:r w:rsidRPr="00F30D85">
        <w:t xml:space="preserve"> stations with increasing trends and </w:t>
      </w:r>
      <w:r>
        <w:t>5 stations with d</w:t>
      </w:r>
      <w:r w:rsidRPr="00F30D85">
        <w:t xml:space="preserve">ecreasing </w:t>
      </w:r>
      <w:r>
        <w:t xml:space="preserve">trends for TOC </w:t>
      </w:r>
      <w:r w:rsidRPr="00F30D85">
        <w:t>across the state.  The increasing stations were predominantly located in the Panhandle region, while the decreasing stations were in the Peninsula.</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6" w:name="_Toc262464312"/>
      <w:bookmarkStart w:id="487" w:name="_Toc271280164"/>
      <w:r w:rsidRPr="00F30D85">
        <w:lastRenderedPageBreak/>
        <w:t xml:space="preserve">Figure </w:t>
      </w:r>
      <w:r>
        <w:t>6.19</w:t>
      </w:r>
      <w:r w:rsidRPr="00F30D85">
        <w:t>.</w:t>
      </w:r>
      <w:r>
        <w:t xml:space="preserve">  </w:t>
      </w:r>
      <w:r w:rsidRPr="00F30D85">
        <w:t xml:space="preserve">Surface </w:t>
      </w:r>
      <w:r>
        <w:t>W</w:t>
      </w:r>
      <w:r w:rsidRPr="00F30D85">
        <w:t xml:space="preserve">ater </w:t>
      </w:r>
      <w:r>
        <w:t>T</w:t>
      </w:r>
      <w:r w:rsidRPr="00F30D85">
        <w:t xml:space="preserve">rends for </w:t>
      </w:r>
      <w:r>
        <w:t>C</w:t>
      </w:r>
      <w:r w:rsidRPr="00F30D85">
        <w:t>hlorophyll a</w:t>
      </w:r>
      <w:r>
        <w:t xml:space="preserve">, </w:t>
      </w:r>
      <w:r w:rsidRPr="00F30D85">
        <w:t>1999</w:t>
      </w:r>
      <w:r>
        <w:t>–2008</w:t>
      </w:r>
      <w:bookmarkEnd w:id="486"/>
      <w:bookmarkEnd w:id="487"/>
    </w:p>
    <w:p w:rsidR="00485094" w:rsidRPr="00F30D85" w:rsidRDefault="001717CD" w:rsidP="00692F31">
      <w:pPr>
        <w:pStyle w:val="BodyText2"/>
        <w:ind w:right="1440"/>
        <w:jc w:val="both"/>
        <w:rPr>
          <w:rFonts w:cs="Arial"/>
          <w:b/>
          <w:szCs w:val="22"/>
        </w:rPr>
      </w:pPr>
      <w:r>
        <w:rPr>
          <w:noProof/>
        </w:rPr>
        <w:drawing>
          <wp:anchor distT="0" distB="0" distL="114300" distR="114300" simplePos="0" relativeHeight="251656704" behindDoc="0" locked="0" layoutInCell="1" allowOverlap="1">
            <wp:simplePos x="0" y="0"/>
            <wp:positionH relativeFrom="column">
              <wp:align>center</wp:align>
            </wp:positionH>
            <wp:positionV relativeFrom="paragraph">
              <wp:posOffset>212725</wp:posOffset>
            </wp:positionV>
            <wp:extent cx="5157470" cy="5947410"/>
            <wp:effectExtent l="19050" t="0" r="5080" b="0"/>
            <wp:wrapTopAndBottom/>
            <wp:docPr id="35" name="Picture 7" descr="Figure 6.19.  Surface Water Trends for Chlorophyll a, 1999–2008.  This is a map of the state of Florida showing the statewide chlorophyll a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19.  Surface Water Trends for Chlorophyll a, 1999–2008"/>
                    <pic:cNvPicPr>
                      <a:picLocks noChangeAspect="1" noChangeArrowheads="1"/>
                    </pic:cNvPicPr>
                  </pic:nvPicPr>
                  <pic:blipFill>
                    <a:blip r:embed="rId105"/>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Default="00485094" w:rsidP="00692F31">
      <w:pPr>
        <w:pStyle w:val="BodyText2"/>
        <w:ind w:right="1440"/>
        <w:jc w:val="both"/>
        <w:rPr>
          <w:rFonts w:cs="Arial"/>
          <w:b/>
          <w:szCs w:val="22"/>
        </w:rPr>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760FFA" w:rsidRDefault="00485094" w:rsidP="00692F31">
      <w:pPr>
        <w:pStyle w:val="ListBullet"/>
        <w:rPr>
          <w:szCs w:val="22"/>
        </w:rPr>
      </w:pPr>
      <w:r w:rsidRPr="00760FFA">
        <w:t>The trends for chlorophyll a were mixed, with 2</w:t>
      </w:r>
      <w:r>
        <w:t>0</w:t>
      </w:r>
      <w:r w:rsidRPr="00760FFA">
        <w:t xml:space="preserve"> stations having a decreasing trend and 14 stations an increasing trend, with no apparent pattern around the state.  Chlorophyll a is a photosynthetic pigment and may be used as a surrogate indicator of changes in plant biomass</w:t>
      </w:r>
      <w:r>
        <w:t xml:space="preserve"> related to nutrients</w:t>
      </w:r>
      <w:r w:rsidRPr="00760FFA">
        <w:t>.</w:t>
      </w:r>
    </w:p>
    <w:p w:rsidR="00485094" w:rsidRDefault="00485094" w:rsidP="00692F31">
      <w:pPr>
        <w:pStyle w:val="BodyText2"/>
        <w:ind w:right="1440"/>
        <w:jc w:val="both"/>
        <w:rPr>
          <w:rFonts w:cs="Arial"/>
          <w:b/>
          <w:szCs w:val="22"/>
        </w:rPr>
      </w:pPr>
    </w:p>
    <w:p w:rsidR="00485094" w:rsidRPr="00F30D85" w:rsidRDefault="00485094" w:rsidP="00692F31">
      <w:pPr>
        <w:pStyle w:val="Bodytextreduced"/>
        <w:rPr>
          <w:rFonts w:cs="Arial"/>
          <w:szCs w:val="22"/>
        </w:rPr>
      </w:pPr>
      <w:r>
        <w:rPr>
          <w:rFonts w:cs="Arial"/>
          <w:szCs w:val="22"/>
        </w:rPr>
        <w:br w:type="page"/>
      </w:r>
    </w:p>
    <w:p w:rsidR="00485094" w:rsidRPr="00F30D85" w:rsidRDefault="00485094" w:rsidP="00692F31">
      <w:pPr>
        <w:pStyle w:val="Caption"/>
      </w:pPr>
      <w:bookmarkStart w:id="488" w:name="_Toc262464313"/>
      <w:bookmarkStart w:id="489" w:name="_Toc271280165"/>
      <w:r w:rsidRPr="00F30D85">
        <w:lastRenderedPageBreak/>
        <w:t xml:space="preserve">Figure </w:t>
      </w:r>
      <w:r>
        <w:t>6.20</w:t>
      </w:r>
      <w:r w:rsidRPr="00F30D85">
        <w:t>.</w:t>
      </w:r>
      <w:r>
        <w:t xml:space="preserve">  </w:t>
      </w:r>
      <w:r w:rsidRPr="00F30D85">
        <w:t xml:space="preserve">Surface </w:t>
      </w:r>
      <w:r>
        <w:t>W</w:t>
      </w:r>
      <w:r w:rsidRPr="00F30D85">
        <w:t xml:space="preserve">ater </w:t>
      </w:r>
      <w:r>
        <w:t>T</w:t>
      </w:r>
      <w:r w:rsidRPr="00F30D85">
        <w:t xml:space="preserve">rends for </w:t>
      </w:r>
      <w:r>
        <w:t>F</w:t>
      </w:r>
      <w:r w:rsidRPr="00F30D85">
        <w:t xml:space="preserve">ecal </w:t>
      </w:r>
      <w:r>
        <w:t>C</w:t>
      </w:r>
      <w:r w:rsidRPr="00F30D85">
        <w:t xml:space="preserve">oliform </w:t>
      </w:r>
      <w:r>
        <w:t>B</w:t>
      </w:r>
      <w:r w:rsidRPr="00F30D85">
        <w:t>acteria</w:t>
      </w:r>
      <w:r>
        <w:t xml:space="preserve">, </w:t>
      </w:r>
      <w:r w:rsidRPr="00F30D85">
        <w:t>1999</w:t>
      </w:r>
      <w:r>
        <w:t>–2008</w:t>
      </w:r>
      <w:bookmarkEnd w:id="488"/>
      <w:bookmarkEnd w:id="489"/>
    </w:p>
    <w:p w:rsidR="00485094" w:rsidRPr="00F30D85" w:rsidRDefault="001717CD" w:rsidP="00692F31">
      <w:pPr>
        <w:pStyle w:val="BodyText2"/>
        <w:ind w:right="1440"/>
        <w:jc w:val="both"/>
        <w:rPr>
          <w:rFonts w:cs="Arial"/>
          <w:b/>
          <w:szCs w:val="22"/>
        </w:rPr>
      </w:pPr>
      <w:r>
        <w:rPr>
          <w:noProof/>
        </w:rPr>
        <w:drawing>
          <wp:anchor distT="0" distB="0" distL="114300" distR="114300" simplePos="0" relativeHeight="251657728" behindDoc="0" locked="0" layoutInCell="1" allowOverlap="1">
            <wp:simplePos x="0" y="0"/>
            <wp:positionH relativeFrom="column">
              <wp:align>center</wp:align>
            </wp:positionH>
            <wp:positionV relativeFrom="paragraph">
              <wp:posOffset>212725</wp:posOffset>
            </wp:positionV>
            <wp:extent cx="5157470" cy="5947410"/>
            <wp:effectExtent l="19050" t="0" r="5080" b="0"/>
            <wp:wrapTopAndBottom/>
            <wp:docPr id="36" name="Picture 8" descr="Figure 6.20.  Surface Water Trends for Fecal Coliform Bacteria, 1999–2008.  This is a map of the state of Florida showing the statewide fec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20.  Surface Water Trends for Fecal Coliform Bacteria, 1999–2008"/>
                    <pic:cNvPicPr>
                      <a:picLocks noChangeAspect="1" noChangeArrowheads="1"/>
                    </pic:cNvPicPr>
                  </pic:nvPicPr>
                  <pic:blipFill>
                    <a:blip r:embed="rId106"/>
                    <a:srcRect/>
                    <a:stretch>
                      <a:fillRect/>
                    </a:stretch>
                  </pic:blipFill>
                  <pic:spPr bwMode="auto">
                    <a:xfrm>
                      <a:off x="0" y="0"/>
                      <a:ext cx="5157470" cy="5947410"/>
                    </a:xfrm>
                    <a:prstGeom prst="rect">
                      <a:avLst/>
                    </a:prstGeom>
                    <a:noFill/>
                    <a:ln w="9525">
                      <a:noFill/>
                      <a:miter lim="800000"/>
                      <a:headEnd/>
                      <a:tailEnd/>
                    </a:ln>
                  </pic:spPr>
                </pic:pic>
              </a:graphicData>
            </a:graphic>
          </wp:anchor>
        </w:drawing>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Pr="000D13CF" w:rsidRDefault="00485094" w:rsidP="00692F31">
      <w:pPr>
        <w:pStyle w:val="ListBullet"/>
        <w:rPr>
          <w:b/>
        </w:rPr>
      </w:pPr>
      <w:r>
        <w:t>Ten stations</w:t>
      </w:r>
      <w:r w:rsidRPr="00F30D85">
        <w:t xml:space="preserve"> </w:t>
      </w:r>
      <w:r>
        <w:t>had increasing trends for f</w:t>
      </w:r>
      <w:r w:rsidRPr="00F30D85">
        <w:t>ecal coliform bacter</w:t>
      </w:r>
      <w:r>
        <w:t>ia</w:t>
      </w:r>
      <w:r w:rsidRPr="00F30D85">
        <w:t>.  There was one</w:t>
      </w:r>
      <w:r>
        <w:t xml:space="preserve"> station with a</w:t>
      </w:r>
      <w:r w:rsidRPr="00F30D85">
        <w:t xml:space="preserve"> decreasing trend, located at the Florida</w:t>
      </w:r>
      <w:r>
        <w:t>–</w:t>
      </w:r>
      <w:r w:rsidRPr="00F30D85">
        <w:t xml:space="preserve">Georgia border.  Increased levels of fecal coliform </w:t>
      </w:r>
      <w:r>
        <w:t>in surface waters can indicate inadequate treatment of domestic wastewater, sewer line spills, or failing septic tanks; however, there are also many natural sources of coliform, and the EPA no longer supports the use of fecal coliform as an indicator organism.</w:t>
      </w:r>
      <w:r w:rsidRPr="00F30D85" w:rsidDel="00B7251E">
        <w:t xml:space="preserve"> </w:t>
      </w:r>
    </w:p>
    <w:p w:rsidR="00485094" w:rsidRDefault="000D13CF" w:rsidP="00692F31">
      <w:pPr>
        <w:pStyle w:val="ListBullet"/>
        <w:ind w:right="1440"/>
        <w:jc w:val="both"/>
        <w:rPr>
          <w:rFonts w:cs="Arial"/>
        </w:rPr>
      </w:pPr>
      <w:r>
        <w:br w:type="page"/>
      </w:r>
    </w:p>
    <w:p w:rsidR="00485094" w:rsidRDefault="001717CD" w:rsidP="00692F31">
      <w:pPr>
        <w:pStyle w:val="Caption"/>
      </w:pPr>
      <w:r>
        <w:rPr>
          <w:noProof/>
        </w:rPr>
        <w:lastRenderedPageBreak/>
        <w:drawing>
          <wp:anchor distT="0" distB="0" distL="114300" distR="114300" simplePos="0" relativeHeight="251658752" behindDoc="0" locked="0" layoutInCell="1" allowOverlap="1">
            <wp:simplePos x="0" y="0"/>
            <wp:positionH relativeFrom="column">
              <wp:align>center</wp:align>
            </wp:positionH>
            <wp:positionV relativeFrom="paragraph">
              <wp:posOffset>321945</wp:posOffset>
            </wp:positionV>
            <wp:extent cx="5157470" cy="5947410"/>
            <wp:effectExtent l="19050" t="0" r="5080" b="0"/>
            <wp:wrapTopAndBottom/>
            <wp:docPr id="37" name="Picture 9" descr="Figure 6.21.  Surface Water Trends for DO, 1999–2008.  This is a map of the state of Florida showing the statewide surface water dissolved oxygen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21.  Surface Water Trends for DO, 1999–2008"/>
                    <pic:cNvPicPr>
                      <a:picLocks noChangeAspect="1" noChangeArrowheads="1"/>
                    </pic:cNvPicPr>
                  </pic:nvPicPr>
                  <pic:blipFill>
                    <a:blip r:embed="rId107"/>
                    <a:srcRect/>
                    <a:stretch>
                      <a:fillRect/>
                    </a:stretch>
                  </pic:blipFill>
                  <pic:spPr bwMode="auto">
                    <a:xfrm>
                      <a:off x="0" y="0"/>
                      <a:ext cx="5157470" cy="5947410"/>
                    </a:xfrm>
                    <a:prstGeom prst="rect">
                      <a:avLst/>
                    </a:prstGeom>
                    <a:noFill/>
                    <a:ln w="9525">
                      <a:noFill/>
                      <a:miter lim="800000"/>
                      <a:headEnd/>
                      <a:tailEnd/>
                    </a:ln>
                  </pic:spPr>
                </pic:pic>
              </a:graphicData>
            </a:graphic>
          </wp:anchor>
        </w:drawing>
      </w:r>
      <w:bookmarkStart w:id="490" w:name="_Toc262464314"/>
      <w:bookmarkStart w:id="491" w:name="_Toc271280166"/>
      <w:r w:rsidR="00485094" w:rsidRPr="00F30D85">
        <w:t xml:space="preserve">Figure </w:t>
      </w:r>
      <w:r w:rsidR="00485094">
        <w:t>6.21</w:t>
      </w:r>
      <w:r w:rsidR="00485094" w:rsidRPr="00F30D85">
        <w:t>.</w:t>
      </w:r>
      <w:r w:rsidR="00485094">
        <w:t xml:space="preserve">  </w:t>
      </w:r>
      <w:r w:rsidR="00485094" w:rsidRPr="00F30D85">
        <w:t xml:space="preserve">Surface </w:t>
      </w:r>
      <w:r w:rsidR="00485094">
        <w:t>W</w:t>
      </w:r>
      <w:r w:rsidR="00485094" w:rsidRPr="00F30D85">
        <w:t xml:space="preserve">ater </w:t>
      </w:r>
      <w:r w:rsidR="00485094">
        <w:t>T</w:t>
      </w:r>
      <w:r w:rsidR="00485094" w:rsidRPr="00F30D85">
        <w:t xml:space="preserve">rends for </w:t>
      </w:r>
      <w:r w:rsidR="00485094">
        <w:t>DO,</w:t>
      </w:r>
      <w:r w:rsidR="00485094" w:rsidRPr="00F30D85">
        <w:t xml:space="preserve"> 1999</w:t>
      </w:r>
      <w:r w:rsidR="00485094">
        <w:t>–2008</w:t>
      </w:r>
      <w:bookmarkEnd w:id="490"/>
      <w:bookmarkEnd w:id="491"/>
    </w:p>
    <w:p w:rsidR="00485094" w:rsidRDefault="00485094" w:rsidP="00692F31">
      <w:pPr>
        <w:pStyle w:val="BodyText2"/>
        <w:ind w:right="1440"/>
        <w:jc w:val="both"/>
        <w:rPr>
          <w:rFonts w:cs="Arial"/>
          <w:b/>
          <w:szCs w:val="22"/>
        </w:rPr>
      </w:pPr>
    </w:p>
    <w:p w:rsidR="00485094" w:rsidRDefault="00485094" w:rsidP="00692F31">
      <w:pPr>
        <w:pStyle w:val="Bodytextreduced"/>
      </w:pPr>
      <w:r>
        <w:t xml:space="preserve"> </w:t>
      </w:r>
    </w:p>
    <w:p w:rsidR="00485094" w:rsidRPr="0046644F" w:rsidRDefault="00485094" w:rsidP="00692F31">
      <w:pPr>
        <w:pStyle w:val="Bodytextreduced"/>
      </w:pPr>
    </w:p>
    <w:p w:rsidR="00485094" w:rsidRDefault="00485094" w:rsidP="00692F31">
      <w:pPr>
        <w:pStyle w:val="Bodytext"/>
        <w:rPr>
          <w:b/>
        </w:rPr>
      </w:pPr>
      <w:r w:rsidRPr="0046644F">
        <w:rPr>
          <w:b/>
        </w:rPr>
        <w:t>Highlights</w:t>
      </w:r>
    </w:p>
    <w:p w:rsidR="00485094" w:rsidRPr="0046644F" w:rsidRDefault="00485094" w:rsidP="00692F31">
      <w:pPr>
        <w:pStyle w:val="Bodytextreduced"/>
      </w:pPr>
    </w:p>
    <w:p w:rsidR="00485094" w:rsidRDefault="00485094" w:rsidP="00692F31">
      <w:pPr>
        <w:pStyle w:val="ListBullet"/>
        <w:rPr>
          <w:b/>
        </w:rPr>
      </w:pPr>
      <w:r>
        <w:t>S</w:t>
      </w:r>
      <w:r w:rsidRPr="00F30D85">
        <w:t xml:space="preserve">ix </w:t>
      </w:r>
      <w:r>
        <w:t xml:space="preserve">stations had </w:t>
      </w:r>
      <w:r w:rsidRPr="00F30D85">
        <w:t xml:space="preserve">decreasing </w:t>
      </w:r>
      <w:r>
        <w:t xml:space="preserve">trends for DO (overall DO value decreasing), </w:t>
      </w:r>
      <w:r w:rsidRPr="00F30D85">
        <w:t>and 24</w:t>
      </w:r>
      <w:r>
        <w:t xml:space="preserve"> stations had</w:t>
      </w:r>
      <w:r w:rsidRPr="00F30D85">
        <w:t xml:space="preserve"> increasing </w:t>
      </w:r>
      <w:r>
        <w:t>trends</w:t>
      </w:r>
      <w:r w:rsidRPr="00F30D85">
        <w:t>.  There was no pattern to the trends, but more stations with increasing trends were</w:t>
      </w:r>
      <w:r>
        <w:t xml:space="preserve"> located</w:t>
      </w:r>
      <w:r w:rsidRPr="00F30D85">
        <w:t xml:space="preserve"> in the </w:t>
      </w:r>
      <w:r>
        <w:t>P</w:t>
      </w:r>
      <w:r w:rsidRPr="00F30D85">
        <w:t>anhandle.</w:t>
      </w:r>
    </w:p>
    <w:p w:rsidR="00485094" w:rsidRDefault="009150CD" w:rsidP="00692F31">
      <w:pPr>
        <w:pStyle w:val="BodyText2"/>
        <w:ind w:right="1440"/>
        <w:rPr>
          <w:rFonts w:cs="Arial"/>
          <w:szCs w:val="22"/>
        </w:rPr>
      </w:pPr>
      <w:r>
        <w:rPr>
          <w:rFonts w:cs="Arial"/>
          <w:szCs w:val="22"/>
        </w:rPr>
        <w:t xml:space="preserve"> </w:t>
      </w:r>
      <w:r w:rsidR="0011748B">
        <w:rPr>
          <w:rFonts w:cs="Arial"/>
          <w:szCs w:val="22"/>
        </w:rPr>
        <w:t xml:space="preserve"> </w:t>
      </w:r>
    </w:p>
    <w:p w:rsidR="00485094" w:rsidRDefault="00485094" w:rsidP="00692F31">
      <w:pPr>
        <w:pStyle w:val="Bodytextreduced"/>
        <w:rPr>
          <w:rFonts w:cs="Arial"/>
          <w:szCs w:val="22"/>
        </w:rPr>
      </w:pPr>
      <w:r>
        <w:br w:type="page"/>
      </w:r>
      <w:bookmarkStart w:id="492" w:name="_Toc255822537"/>
    </w:p>
    <w:p w:rsidR="00485094" w:rsidRDefault="00485094" w:rsidP="00692F31">
      <w:pPr>
        <w:pStyle w:val="Heading3"/>
      </w:pPr>
      <w:bookmarkStart w:id="493" w:name="_Toc262464155"/>
      <w:bookmarkStart w:id="494" w:name="_Toc271794350"/>
      <w:r w:rsidRPr="00B171DC">
        <w:lastRenderedPageBreak/>
        <w:t>Ground Water Trends</w:t>
      </w:r>
      <w:bookmarkEnd w:id="493"/>
      <w:bookmarkEnd w:id="494"/>
    </w:p>
    <w:p w:rsidR="00485094" w:rsidRDefault="00485094" w:rsidP="00692F31">
      <w:pPr>
        <w:pStyle w:val="Bodytext"/>
      </w:pPr>
      <w:r w:rsidRPr="005C4F4D">
        <w:t>Forty-six of the 47 ground water stations (wells) had a complete set of field and analytical data.  Twenty-two of the wells tap confined aquifers, while 25 tap</w:t>
      </w:r>
      <w:r w:rsidRPr="00334FA5">
        <w:rPr>
          <w:b/>
        </w:rPr>
        <w:t xml:space="preserve"> </w:t>
      </w:r>
      <w:r w:rsidRPr="006C41CE">
        <w:rPr>
          <w:rFonts w:cs="Arial"/>
          <w:szCs w:val="22"/>
        </w:rPr>
        <w:t>u</w:t>
      </w:r>
      <w:r w:rsidRPr="006C41CE">
        <w:t>n</w:t>
      </w:r>
      <w:r w:rsidRPr="005C4F4D">
        <w:t>confined aquifers</w:t>
      </w:r>
      <w:r w:rsidRPr="005C4F4D">
        <w:rPr>
          <w:b/>
          <w:i/>
        </w:rPr>
        <w:t>.  Tables 6.9b</w:t>
      </w:r>
      <w:r w:rsidRPr="005C4F4D">
        <w:t xml:space="preserve"> and </w:t>
      </w:r>
      <w:r w:rsidRPr="005C4F4D">
        <w:rPr>
          <w:b/>
          <w:i/>
        </w:rPr>
        <w:t>6.9c</w:t>
      </w:r>
      <w:r w:rsidRPr="005C4F4D">
        <w:t xml:space="preserve"> present the results of the trend analyses, and </w:t>
      </w:r>
      <w:r w:rsidRPr="005C4F4D">
        <w:rPr>
          <w:b/>
          <w:i/>
        </w:rPr>
        <w:t>Figures 6.22</w:t>
      </w:r>
      <w:r w:rsidRPr="005C4F4D">
        <w:t xml:space="preserve"> through </w:t>
      </w:r>
      <w:r w:rsidRPr="005C4F4D">
        <w:rPr>
          <w:b/>
          <w:i/>
        </w:rPr>
        <w:t>6.3</w:t>
      </w:r>
      <w:r>
        <w:rPr>
          <w:b/>
          <w:i/>
        </w:rPr>
        <w:t>7</w:t>
      </w:r>
      <w:r w:rsidRPr="005C4F4D">
        <w:t xml:space="preserve"> show the results graphically for each analyte.  </w:t>
      </w:r>
      <w:r w:rsidRPr="005C4F4D">
        <w:rPr>
          <w:b/>
          <w:i/>
        </w:rPr>
        <w:t>Table 6.9a</w:t>
      </w:r>
      <w:r w:rsidRPr="005C4F4D">
        <w:t xml:space="preserve"> contains the legend for the acronyms and abbreviations used in </w:t>
      </w:r>
      <w:r w:rsidRPr="005C4F4D">
        <w:rPr>
          <w:b/>
          <w:i/>
        </w:rPr>
        <w:t>Tables 6.9b</w:t>
      </w:r>
      <w:r w:rsidRPr="005C4F4D">
        <w:t xml:space="preserve"> and </w:t>
      </w:r>
      <w:r w:rsidRPr="005C4F4D">
        <w:rPr>
          <w:b/>
          <w:i/>
        </w:rPr>
        <w:t>6.9c</w:t>
      </w:r>
      <w:r w:rsidR="00805B69">
        <w:t>.</w:t>
      </w:r>
    </w:p>
    <w:p w:rsidR="00485094" w:rsidRPr="005C4F4D" w:rsidRDefault="00485094" w:rsidP="00692F31">
      <w:pPr>
        <w:pStyle w:val="Bodytext"/>
      </w:pPr>
    </w:p>
    <w:p w:rsidR="00485094" w:rsidRDefault="00485094" w:rsidP="00692F31">
      <w:pPr>
        <w:pStyle w:val="Tableheading"/>
      </w:pPr>
      <w:bookmarkStart w:id="495" w:name="_Toc262464261"/>
      <w:bookmarkStart w:id="496" w:name="_Toc271889855"/>
      <w:r w:rsidRPr="00613672">
        <w:t xml:space="preserve">Table </w:t>
      </w:r>
      <w:r>
        <w:t>6.9a</w:t>
      </w:r>
      <w:r w:rsidRPr="00613672">
        <w:t xml:space="preserve">.  Legend for the </w:t>
      </w:r>
      <w:r>
        <w:t>A</w:t>
      </w:r>
      <w:r w:rsidRPr="00613672">
        <w:t xml:space="preserve">cronyms </w:t>
      </w:r>
      <w:r>
        <w:t>and Abbreviations U</w:t>
      </w:r>
      <w:r w:rsidRPr="00613672">
        <w:t xml:space="preserve">sed in Tables </w:t>
      </w:r>
      <w:r>
        <w:t>6.9b and 6.9c</w:t>
      </w:r>
      <w:bookmarkEnd w:id="495"/>
      <w:bookmarkEnd w:id="496"/>
    </w:p>
    <w:p w:rsidR="00485094" w:rsidRPr="005C4F4D" w:rsidRDefault="00485094" w:rsidP="00692F31">
      <w:pPr>
        <w:pStyle w:val="TabledescriptionBF"/>
      </w:pPr>
      <w:r w:rsidRPr="005C4F4D">
        <w:t>This is a two</w:t>
      </w:r>
      <w:r>
        <w:t>-</w:t>
      </w:r>
      <w:r w:rsidRPr="005C4F4D">
        <w:t>column table</w:t>
      </w:r>
      <w:r>
        <w:t>.  C</w:t>
      </w:r>
      <w:r w:rsidRPr="005C4F4D">
        <w:t xml:space="preserve">olumn </w:t>
      </w:r>
      <w:r>
        <w:t xml:space="preserve">1 </w:t>
      </w:r>
      <w:r w:rsidR="008C37FA">
        <w:t>lists the acronym or abbreviation</w:t>
      </w:r>
      <w:r>
        <w:t>,</w:t>
      </w:r>
      <w:r w:rsidRPr="005C4F4D">
        <w:t xml:space="preserve"> and </w:t>
      </w:r>
      <w:r>
        <w:t>C</w:t>
      </w:r>
      <w:r w:rsidRPr="005C4F4D">
        <w:t xml:space="preserve">olumn </w:t>
      </w:r>
      <w:r>
        <w:t xml:space="preserve">2 </w:t>
      </w:r>
      <w:r w:rsidR="008C37FA">
        <w:t>spells out the acronym</w:t>
      </w:r>
      <w:r w:rsidRPr="005C4F4D">
        <w:t>.</w:t>
      </w:r>
    </w:p>
    <w:p w:rsidR="00485094" w:rsidRDefault="00485094" w:rsidP="00692F31">
      <w:pPr>
        <w:pStyle w:val="BodyText2"/>
        <w:ind w:left="720"/>
        <w:rPr>
          <w:rFonts w:cs="Arial"/>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47"/>
        <w:gridCol w:w="5220"/>
      </w:tblGrid>
      <w:tr w:rsidR="00485094" w:rsidRPr="005C4F4D" w:rsidTr="000F2909">
        <w:trPr>
          <w:trHeight w:val="288"/>
          <w:jc w:val="center"/>
        </w:trPr>
        <w:tc>
          <w:tcPr>
            <w:tcW w:w="1980" w:type="dxa"/>
            <w:tcBorders>
              <w:bottom w:val="double" w:sz="4" w:space="0" w:color="auto"/>
            </w:tcBorders>
            <w:shd w:val="clear" w:color="auto" w:fill="BDFFFF"/>
            <w:vAlign w:val="center"/>
          </w:tcPr>
          <w:p w:rsidR="00485094" w:rsidRPr="005C4F4D" w:rsidRDefault="00485094" w:rsidP="00453E80">
            <w:pPr>
              <w:pStyle w:val="tabletext1"/>
              <w:jc w:val="center"/>
              <w:rPr>
                <w:rFonts w:cs="Arial"/>
                <w:b/>
                <w:i/>
                <w:szCs w:val="18"/>
              </w:rPr>
            </w:pPr>
            <w:r w:rsidRPr="005C4F4D">
              <w:rPr>
                <w:rFonts w:cs="Arial"/>
                <w:b/>
                <w:i/>
                <w:szCs w:val="18"/>
              </w:rPr>
              <w:t>Acronym</w:t>
            </w:r>
            <w:r w:rsidR="00805B69">
              <w:rPr>
                <w:rFonts w:cs="Arial"/>
                <w:b/>
                <w:i/>
                <w:szCs w:val="18"/>
              </w:rPr>
              <w:t>/Abbreviation</w:t>
            </w:r>
          </w:p>
        </w:tc>
        <w:tc>
          <w:tcPr>
            <w:tcW w:w="5220" w:type="dxa"/>
            <w:tcBorders>
              <w:bottom w:val="double" w:sz="4" w:space="0" w:color="auto"/>
            </w:tcBorders>
            <w:shd w:val="clear" w:color="auto" w:fill="BDFFFF"/>
            <w:vAlign w:val="center"/>
          </w:tcPr>
          <w:p w:rsidR="00485094" w:rsidRPr="005C4F4D" w:rsidRDefault="00485094" w:rsidP="00453E80">
            <w:pPr>
              <w:pStyle w:val="tabletext1"/>
              <w:jc w:val="center"/>
              <w:rPr>
                <w:rFonts w:cs="Arial"/>
                <w:b/>
                <w:i/>
                <w:szCs w:val="18"/>
              </w:rPr>
            </w:pPr>
            <w:r w:rsidRPr="005C4F4D">
              <w:rPr>
                <w:rFonts w:cs="Arial"/>
                <w:b/>
                <w:i/>
                <w:szCs w:val="18"/>
              </w:rPr>
              <w:t>Indicator</w:t>
            </w:r>
          </w:p>
        </w:tc>
      </w:tr>
      <w:tr w:rsidR="00485094" w:rsidRPr="005C4F4D" w:rsidTr="00453E80">
        <w:trPr>
          <w:trHeight w:val="288"/>
          <w:jc w:val="center"/>
        </w:trPr>
        <w:tc>
          <w:tcPr>
            <w:tcW w:w="1980" w:type="dxa"/>
            <w:tcBorders>
              <w:top w:val="double" w:sz="4" w:space="0" w:color="auto"/>
            </w:tcBorders>
            <w:shd w:val="clear" w:color="auto" w:fill="FFFFAF"/>
            <w:vAlign w:val="center"/>
          </w:tcPr>
          <w:p w:rsidR="00485094" w:rsidRPr="005C4F4D" w:rsidRDefault="00485094" w:rsidP="00453E80">
            <w:pPr>
              <w:pStyle w:val="tabletext1"/>
              <w:jc w:val="center"/>
              <w:rPr>
                <w:rFonts w:cs="Arial"/>
                <w:bCs/>
                <w:color w:val="000000"/>
                <w:szCs w:val="18"/>
              </w:rPr>
            </w:pPr>
            <w:r>
              <w:rPr>
                <w:rFonts w:cs="Arial"/>
                <w:bCs/>
                <w:color w:val="000000"/>
                <w:szCs w:val="18"/>
              </w:rPr>
              <w:t>Temp</w:t>
            </w:r>
          </w:p>
        </w:tc>
        <w:tc>
          <w:tcPr>
            <w:tcW w:w="5220" w:type="dxa"/>
            <w:tcBorders>
              <w:top w:val="double" w:sz="4" w:space="0" w:color="auto"/>
            </w:tcBorders>
            <w:vAlign w:val="center"/>
          </w:tcPr>
          <w:p w:rsidR="00485094" w:rsidRPr="005C4F4D" w:rsidRDefault="00485094" w:rsidP="00453E80">
            <w:pPr>
              <w:pStyle w:val="tabletext1"/>
              <w:jc w:val="center"/>
              <w:rPr>
                <w:rFonts w:cs="Arial"/>
                <w:color w:val="000000"/>
                <w:szCs w:val="18"/>
              </w:rPr>
            </w:pPr>
            <w:r>
              <w:rPr>
                <w:rFonts w:cs="Arial"/>
                <w:color w:val="000000"/>
                <w:szCs w:val="18"/>
              </w:rPr>
              <w:t>Temperature (°C)</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SC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Specific Conductance, Field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pH</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pH, Field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WL</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 xml:space="preserve">Depth to Water (from </w:t>
            </w:r>
            <w:r>
              <w:rPr>
                <w:rFonts w:cs="Arial"/>
                <w:color w:val="000000"/>
                <w:szCs w:val="18"/>
              </w:rPr>
              <w:t>measuring point</w:t>
            </w:r>
            <w:r w:rsidRPr="005C4F4D">
              <w:rPr>
                <w:rFonts w:cs="Arial"/>
                <w:color w:val="000000"/>
                <w:szCs w:val="18"/>
              </w:rPr>
              <w:t>)</w:t>
            </w:r>
            <w:r>
              <w:rPr>
                <w:rFonts w:cs="Arial"/>
                <w:color w:val="000000"/>
                <w:szCs w:val="18"/>
              </w:rPr>
              <w:t xml:space="preserve"> </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TDS</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Total Dissolved Solids (TDS measured)</w:t>
            </w:r>
          </w:p>
        </w:tc>
      </w:tr>
      <w:tr w:rsidR="00485094" w:rsidRPr="005C4F4D" w:rsidTr="00453E80">
        <w:trPr>
          <w:trHeight w:val="288"/>
          <w:jc w:val="center"/>
        </w:trPr>
        <w:tc>
          <w:tcPr>
            <w:tcW w:w="1980" w:type="dxa"/>
            <w:shd w:val="clear" w:color="auto" w:fill="FFFFAF"/>
            <w:vAlign w:val="center"/>
          </w:tcPr>
          <w:p w:rsidR="00485094" w:rsidRPr="0093750F" w:rsidRDefault="00485094" w:rsidP="00453E80">
            <w:pPr>
              <w:pStyle w:val="tabletext1"/>
              <w:jc w:val="center"/>
              <w:rPr>
                <w:rFonts w:cs="Arial"/>
                <w:bCs/>
                <w:color w:val="000000"/>
                <w:szCs w:val="18"/>
              </w:rPr>
            </w:pPr>
            <w:r w:rsidRPr="005C4F4D">
              <w:rPr>
                <w:rFonts w:cs="Arial"/>
                <w:bCs/>
                <w:color w:val="000000"/>
                <w:szCs w:val="18"/>
              </w:rPr>
              <w:t>N</w:t>
            </w:r>
            <w:r w:rsidR="0093750F">
              <w:rPr>
                <w:rFonts w:cs="Arial"/>
                <w:bCs/>
                <w:color w:val="000000"/>
                <w:szCs w:val="18"/>
              </w:rPr>
              <w:t>O</w:t>
            </w:r>
            <w:r w:rsidR="0093750F" w:rsidRPr="0093750F">
              <w:rPr>
                <w:rFonts w:cs="Arial"/>
                <w:bCs/>
                <w:color w:val="000000"/>
                <w:szCs w:val="18"/>
                <w:vertAlign w:val="subscript"/>
              </w:rPr>
              <w:t>X</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Nitrate</w:t>
            </w:r>
            <w:r>
              <w:rPr>
                <w:rFonts w:cs="Arial"/>
                <w:color w:val="000000"/>
                <w:szCs w:val="18"/>
              </w:rPr>
              <w:t xml:space="preserve"> </w:t>
            </w:r>
            <w:r w:rsidRPr="005C4F4D">
              <w:rPr>
                <w:rFonts w:cs="Arial"/>
                <w:color w:val="000000"/>
                <w:szCs w:val="18"/>
              </w:rPr>
              <w:t>+</w:t>
            </w:r>
            <w:r>
              <w:rPr>
                <w:rFonts w:cs="Arial"/>
                <w:color w:val="000000"/>
                <w:szCs w:val="18"/>
              </w:rPr>
              <w:t xml:space="preserve"> </w:t>
            </w:r>
            <w:r w:rsidRPr="005C4F4D">
              <w:rPr>
                <w:rFonts w:cs="Arial"/>
                <w:color w:val="000000"/>
                <w:szCs w:val="18"/>
              </w:rPr>
              <w:t>Nitrite, Dissolved (as N)</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P</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Phosphorus, Dissolved (as P)</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K</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Potassium,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S</w:t>
            </w:r>
            <w:r w:rsidR="003A5E2D">
              <w:rPr>
                <w:rFonts w:cs="Arial"/>
                <w:bCs/>
                <w:color w:val="000000"/>
                <w:szCs w:val="18"/>
              </w:rPr>
              <w:t>O</w:t>
            </w:r>
            <w:r w:rsidR="003A5E2D" w:rsidRPr="003A5E2D">
              <w:rPr>
                <w:rFonts w:cs="Arial"/>
                <w:bCs/>
                <w:color w:val="000000"/>
                <w:szCs w:val="18"/>
                <w:vertAlign w:val="subscript"/>
              </w:rPr>
              <w:t>4</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Sulfate, Dissolved</w:t>
            </w:r>
          </w:p>
        </w:tc>
      </w:tr>
      <w:tr w:rsidR="00485094" w:rsidRPr="005C4F4D" w:rsidTr="00453E80">
        <w:trPr>
          <w:trHeight w:val="288"/>
          <w:jc w:val="center"/>
        </w:trPr>
        <w:tc>
          <w:tcPr>
            <w:tcW w:w="1980" w:type="dxa"/>
            <w:shd w:val="clear" w:color="auto" w:fill="FFFFAF"/>
            <w:vAlign w:val="center"/>
          </w:tcPr>
          <w:p w:rsidR="00485094" w:rsidRPr="005C4F4D" w:rsidRDefault="003A5E2D" w:rsidP="00453E80">
            <w:pPr>
              <w:pStyle w:val="tabletext1"/>
              <w:jc w:val="center"/>
              <w:rPr>
                <w:rFonts w:cs="Arial"/>
                <w:bCs/>
                <w:color w:val="000000"/>
                <w:szCs w:val="18"/>
              </w:rPr>
            </w:pPr>
            <w:r>
              <w:rPr>
                <w:rFonts w:cs="Arial"/>
                <w:bCs/>
                <w:color w:val="000000"/>
                <w:szCs w:val="18"/>
              </w:rPr>
              <w:t>Na</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Sodium,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proofErr w:type="spellStart"/>
            <w:r w:rsidRPr="005C4F4D">
              <w:rPr>
                <w:rFonts w:cs="Arial"/>
                <w:bCs/>
                <w:color w:val="000000"/>
                <w:szCs w:val="18"/>
              </w:rPr>
              <w:t>C</w:t>
            </w:r>
            <w:r w:rsidR="00542E8A">
              <w:rPr>
                <w:rFonts w:cs="Arial"/>
                <w:bCs/>
                <w:color w:val="000000"/>
                <w:szCs w:val="18"/>
              </w:rPr>
              <w:t>l</w:t>
            </w:r>
            <w:proofErr w:type="spellEnd"/>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Chloride,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C</w:t>
            </w:r>
            <w:r w:rsidR="00542E8A">
              <w:rPr>
                <w:rFonts w:cs="Arial"/>
                <w:bCs/>
                <w:color w:val="000000"/>
                <w:szCs w:val="18"/>
              </w:rPr>
              <w:t>a</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Calcium, Dissolved</w:t>
            </w:r>
          </w:p>
        </w:tc>
      </w:tr>
      <w:tr w:rsidR="00485094" w:rsidRPr="005C4F4D" w:rsidTr="00453E80">
        <w:trPr>
          <w:trHeight w:val="288"/>
          <w:jc w:val="center"/>
        </w:trPr>
        <w:tc>
          <w:tcPr>
            <w:tcW w:w="1980" w:type="dxa"/>
            <w:shd w:val="clear" w:color="auto" w:fill="FFFFAF"/>
            <w:vAlign w:val="center"/>
          </w:tcPr>
          <w:p w:rsidR="00485094" w:rsidRPr="005C4F4D" w:rsidRDefault="003A5E2D" w:rsidP="00453E80">
            <w:pPr>
              <w:pStyle w:val="tabletext1"/>
              <w:jc w:val="center"/>
              <w:rPr>
                <w:rFonts w:cs="Arial"/>
                <w:bCs/>
                <w:color w:val="000000"/>
                <w:szCs w:val="18"/>
              </w:rPr>
            </w:pPr>
            <w:r>
              <w:rPr>
                <w:rFonts w:cs="Arial"/>
                <w:bCs/>
                <w:color w:val="000000"/>
                <w:szCs w:val="18"/>
              </w:rPr>
              <w:t>Mg</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Magnesium, Dissolved</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ALK</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 xml:space="preserve">Alkalinity, Dissolved (as </w:t>
            </w:r>
            <w:r>
              <w:rPr>
                <w:rFonts w:cs="Arial"/>
                <w:color w:val="000000"/>
                <w:szCs w:val="18"/>
              </w:rPr>
              <w:t>calcium carbonate [</w:t>
            </w:r>
            <w:r w:rsidRPr="005C4F4D">
              <w:rPr>
                <w:rFonts w:cs="Arial"/>
                <w:color w:val="000000"/>
                <w:szCs w:val="18"/>
              </w:rPr>
              <w:t>CaCO3</w:t>
            </w:r>
            <w:r>
              <w:rPr>
                <w:rFonts w:cs="Arial"/>
                <w:color w:val="000000"/>
                <w:szCs w:val="18"/>
              </w:rPr>
              <w:t>]</w:t>
            </w:r>
            <w:r w:rsidRPr="005C4F4D">
              <w:rPr>
                <w:rFonts w:cs="Arial"/>
                <w:color w:val="000000"/>
                <w:szCs w:val="18"/>
              </w:rPr>
              <w:t>)</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TC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Coliform, Total (M</w:t>
            </w:r>
            <w:r>
              <w:rPr>
                <w:rFonts w:cs="Arial"/>
                <w:color w:val="000000"/>
                <w:szCs w:val="18"/>
              </w:rPr>
              <w:t>F method</w:t>
            </w:r>
            <w:r w:rsidRPr="005C4F4D">
              <w:rPr>
                <w:rFonts w:cs="Arial"/>
                <w:color w:val="000000"/>
                <w:szCs w:val="18"/>
              </w:rPr>
              <w:t>)</w:t>
            </w:r>
          </w:p>
        </w:tc>
      </w:tr>
      <w:tr w:rsidR="00485094" w:rsidRPr="005C4F4D" w:rsidTr="00453E80">
        <w:trPr>
          <w:trHeight w:val="288"/>
          <w:jc w:val="center"/>
        </w:trPr>
        <w:tc>
          <w:tcPr>
            <w:tcW w:w="1980" w:type="dxa"/>
            <w:shd w:val="clear" w:color="auto" w:fill="FFFFAF"/>
            <w:vAlign w:val="center"/>
          </w:tcPr>
          <w:p w:rsidR="00485094" w:rsidRPr="005C4F4D" w:rsidRDefault="00485094" w:rsidP="00453E80">
            <w:pPr>
              <w:pStyle w:val="tabletext1"/>
              <w:jc w:val="center"/>
              <w:rPr>
                <w:rFonts w:cs="Arial"/>
                <w:bCs/>
                <w:color w:val="000000"/>
                <w:szCs w:val="18"/>
              </w:rPr>
            </w:pPr>
            <w:r w:rsidRPr="005C4F4D">
              <w:rPr>
                <w:rFonts w:cs="Arial"/>
                <w:bCs/>
                <w:color w:val="000000"/>
                <w:szCs w:val="18"/>
              </w:rPr>
              <w:t>FC</w:t>
            </w:r>
          </w:p>
        </w:tc>
        <w:tc>
          <w:tcPr>
            <w:tcW w:w="5220" w:type="dxa"/>
            <w:vAlign w:val="center"/>
          </w:tcPr>
          <w:p w:rsidR="00485094" w:rsidRPr="005C4F4D" w:rsidRDefault="00485094" w:rsidP="00453E80">
            <w:pPr>
              <w:pStyle w:val="tabletext1"/>
              <w:jc w:val="center"/>
              <w:rPr>
                <w:rFonts w:cs="Arial"/>
                <w:color w:val="000000"/>
                <w:szCs w:val="18"/>
              </w:rPr>
            </w:pPr>
            <w:r w:rsidRPr="005C4F4D">
              <w:rPr>
                <w:rFonts w:cs="Arial"/>
                <w:color w:val="000000"/>
                <w:szCs w:val="18"/>
              </w:rPr>
              <w:t>Coliform, Fecal (MF</w:t>
            </w:r>
            <w:r>
              <w:rPr>
                <w:rFonts w:cs="Arial"/>
                <w:color w:val="000000"/>
                <w:szCs w:val="18"/>
              </w:rPr>
              <w:t xml:space="preserve"> method</w:t>
            </w:r>
            <w:r w:rsidRPr="005C4F4D">
              <w:rPr>
                <w:rFonts w:cs="Arial"/>
                <w:color w:val="000000"/>
                <w:szCs w:val="18"/>
              </w:rPr>
              <w:t>)</w:t>
            </w:r>
          </w:p>
        </w:tc>
      </w:tr>
    </w:tbl>
    <w:p w:rsidR="00485094" w:rsidRDefault="00485094" w:rsidP="00692F31">
      <w:pPr>
        <w:pStyle w:val="BodyText2"/>
        <w:ind w:left="720"/>
        <w:rPr>
          <w:rFonts w:cs="Arial"/>
          <w:b/>
          <w:szCs w:val="22"/>
        </w:rPr>
      </w:pPr>
    </w:p>
    <w:p w:rsidR="00485094" w:rsidRDefault="00485094" w:rsidP="00692F31">
      <w:pPr>
        <w:pStyle w:val="BodyText2"/>
        <w:ind w:left="720"/>
        <w:rPr>
          <w:rFonts w:cs="Arial"/>
          <w:b/>
          <w:szCs w:val="22"/>
        </w:rPr>
      </w:pPr>
    </w:p>
    <w:p w:rsidR="00485094" w:rsidRDefault="00485094" w:rsidP="00692F31">
      <w:pPr>
        <w:spacing w:after="200" w:line="276" w:lineRule="auto"/>
        <w:rPr>
          <w:rFonts w:ascii="Arial" w:hAnsi="Arial" w:cs="Arial"/>
          <w:sz w:val="22"/>
          <w:szCs w:val="22"/>
        </w:rPr>
        <w:sectPr w:rsidR="00485094" w:rsidSect="009876F8">
          <w:pgSz w:w="12240" w:h="15840" w:code="1"/>
          <w:pgMar w:top="1440" w:right="1440" w:bottom="1440" w:left="1440" w:header="720" w:footer="720" w:gutter="0"/>
          <w:paperSrc w:first="261"/>
          <w:cols w:space="720"/>
          <w:docGrid w:linePitch="360"/>
        </w:sectPr>
      </w:pPr>
    </w:p>
    <w:p w:rsidR="00485094" w:rsidRDefault="00485094" w:rsidP="00692F31">
      <w:pPr>
        <w:pStyle w:val="Bodytextreduced"/>
      </w:pPr>
    </w:p>
    <w:p w:rsidR="00485094" w:rsidRDefault="00485094" w:rsidP="00692F31">
      <w:pPr>
        <w:pStyle w:val="Tableheading"/>
      </w:pPr>
      <w:bookmarkStart w:id="497" w:name="_Toc262464262"/>
      <w:bookmarkStart w:id="498" w:name="_Toc271889856"/>
      <w:r w:rsidRPr="001763DC">
        <w:t xml:space="preserve">Table </w:t>
      </w:r>
      <w:r>
        <w:t xml:space="preserve">6.9b.  </w:t>
      </w:r>
      <w:r w:rsidRPr="001763DC">
        <w:t xml:space="preserve">Trends for </w:t>
      </w:r>
      <w:r>
        <w:t>S</w:t>
      </w:r>
      <w:r w:rsidRPr="001763DC">
        <w:t xml:space="preserve">pecified </w:t>
      </w:r>
      <w:r>
        <w:t>A</w:t>
      </w:r>
      <w:r w:rsidRPr="001763DC">
        <w:t xml:space="preserve">nalytes for </w:t>
      </w:r>
      <w:r>
        <w:t>S</w:t>
      </w:r>
      <w:r w:rsidRPr="001763DC">
        <w:t xml:space="preserve">tations </w:t>
      </w:r>
      <w:r>
        <w:t>in the</w:t>
      </w:r>
      <w:r w:rsidRPr="001763DC">
        <w:t xml:space="preserve"> Ground Water Trend Monitoring Network, Confined Aquifer</w:t>
      </w:r>
      <w:r>
        <w:t>s</w:t>
      </w:r>
      <w:bookmarkEnd w:id="497"/>
      <w:bookmarkEnd w:id="498"/>
    </w:p>
    <w:p w:rsidR="00485094" w:rsidRDefault="00485094" w:rsidP="00692F31">
      <w:pPr>
        <w:pStyle w:val="TabledescriptionBF"/>
      </w:pPr>
      <w:r>
        <w:t>This is a 17-column table.  Column 1 lists the stations and Columns 2 through 17 list the individual analytes.</w:t>
      </w:r>
    </w:p>
    <w:p w:rsidR="00485094" w:rsidRPr="00225579" w:rsidRDefault="00485094" w:rsidP="00692F31">
      <w:pPr>
        <w:pStyle w:val="Bodytextreduced"/>
      </w:pPr>
    </w:p>
    <w:p w:rsidR="00485094" w:rsidRPr="00AC586C" w:rsidRDefault="00485094" w:rsidP="00692F31">
      <w:pPr>
        <w:pStyle w:val="Bodytextreduced"/>
        <w:rPr>
          <w:rFonts w:cs="Arial"/>
          <w:sz w:val="22"/>
          <w:szCs w:val="22"/>
        </w:rPr>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w:t>
      </w:r>
      <w:r>
        <w:t xml:space="preserve">a </w:t>
      </w:r>
      <w:r w:rsidRPr="009355D6">
        <w:t>zero</w:t>
      </w:r>
      <w:r>
        <w:t xml:space="preserve"> (o), </w:t>
      </w:r>
      <w:r w:rsidRPr="009355D6">
        <w:t xml:space="preserve">and </w:t>
      </w:r>
      <w:r>
        <w:t>insufficient data to determine a trend is indicated by (ISD).</w:t>
      </w:r>
    </w:p>
    <w:tbl>
      <w:tblPr>
        <w:tblW w:w="1318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1"/>
        <w:gridCol w:w="750"/>
        <w:gridCol w:w="728"/>
        <w:gridCol w:w="723"/>
        <w:gridCol w:w="745"/>
        <w:gridCol w:w="805"/>
        <w:gridCol w:w="745"/>
        <w:gridCol w:w="745"/>
        <w:gridCol w:w="745"/>
        <w:gridCol w:w="745"/>
        <w:gridCol w:w="745"/>
        <w:gridCol w:w="745"/>
        <w:gridCol w:w="745"/>
        <w:gridCol w:w="745"/>
        <w:gridCol w:w="820"/>
        <w:gridCol w:w="745"/>
        <w:gridCol w:w="745"/>
      </w:tblGrid>
      <w:tr w:rsidR="00485094" w:rsidRPr="00C01A14" w:rsidTr="000F2909">
        <w:trPr>
          <w:trHeight w:val="288"/>
          <w:jc w:val="center"/>
        </w:trPr>
        <w:tc>
          <w:tcPr>
            <w:tcW w:w="1161"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Station</w:t>
            </w:r>
          </w:p>
        </w:tc>
        <w:tc>
          <w:tcPr>
            <w:tcW w:w="750" w:type="dxa"/>
            <w:tcBorders>
              <w:bottom w:val="double" w:sz="4" w:space="0" w:color="auto"/>
            </w:tcBorders>
            <w:shd w:val="clear" w:color="auto" w:fill="BDFFFF"/>
            <w:vAlign w:val="center"/>
          </w:tcPr>
          <w:p w:rsidR="00485094" w:rsidRPr="003341BA" w:rsidRDefault="00485094" w:rsidP="00453E80">
            <w:pPr>
              <w:jc w:val="center"/>
              <w:rPr>
                <w:rFonts w:ascii="Arial" w:hAnsi="Arial" w:cs="Arial"/>
                <w:b/>
                <w:sz w:val="18"/>
                <w:szCs w:val="18"/>
              </w:rPr>
            </w:pPr>
            <w:r w:rsidRPr="003341BA">
              <w:rPr>
                <w:rFonts w:ascii="Arial" w:hAnsi="Arial" w:cs="Arial"/>
                <w:b/>
                <w:sz w:val="18"/>
                <w:szCs w:val="18"/>
              </w:rPr>
              <w:t>Temp</w:t>
            </w:r>
          </w:p>
        </w:tc>
        <w:tc>
          <w:tcPr>
            <w:tcW w:w="728"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SC</w:t>
            </w:r>
          </w:p>
        </w:tc>
        <w:tc>
          <w:tcPr>
            <w:tcW w:w="723"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pH</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WL</w:t>
            </w:r>
          </w:p>
        </w:tc>
        <w:tc>
          <w:tcPr>
            <w:tcW w:w="80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TDS</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N</w:t>
            </w:r>
            <w:r w:rsidR="003A5E2D">
              <w:rPr>
                <w:b/>
                <w:i/>
              </w:rPr>
              <w:t>O</w:t>
            </w:r>
            <w:r w:rsidR="003A5E2D" w:rsidRPr="003A5E2D">
              <w:rPr>
                <w:b/>
                <w:i/>
                <w:vertAlign w:val="subscript"/>
              </w:rPr>
              <w:t>X</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P</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K</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S</w:t>
            </w:r>
            <w:r w:rsidR="003A5E2D">
              <w:rPr>
                <w:b/>
                <w:i/>
              </w:rPr>
              <w:t>O</w:t>
            </w:r>
            <w:r w:rsidR="003A5E2D" w:rsidRPr="003A5E2D">
              <w:rPr>
                <w:b/>
                <w:i/>
                <w:vertAlign w:val="subscript"/>
              </w:rPr>
              <w:t>4</w:t>
            </w:r>
          </w:p>
        </w:tc>
        <w:tc>
          <w:tcPr>
            <w:tcW w:w="745" w:type="dxa"/>
            <w:tcBorders>
              <w:bottom w:val="double" w:sz="4" w:space="0" w:color="auto"/>
            </w:tcBorders>
            <w:shd w:val="clear" w:color="auto" w:fill="BDFFFF"/>
            <w:vAlign w:val="center"/>
          </w:tcPr>
          <w:p w:rsidR="00485094" w:rsidRPr="00C01A14" w:rsidRDefault="00485094" w:rsidP="003A5E2D">
            <w:pPr>
              <w:pStyle w:val="tabletext1"/>
              <w:jc w:val="center"/>
              <w:rPr>
                <w:b/>
                <w:i/>
              </w:rPr>
            </w:pPr>
            <w:r w:rsidRPr="00C01A14">
              <w:rPr>
                <w:b/>
                <w:i/>
              </w:rPr>
              <w:t>N</w:t>
            </w:r>
            <w:r w:rsidR="003A5E2D">
              <w:rPr>
                <w:b/>
                <w:i/>
              </w:rPr>
              <w:t>a</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proofErr w:type="spellStart"/>
            <w:r w:rsidRPr="00C01A14">
              <w:rPr>
                <w:b/>
                <w:i/>
              </w:rPr>
              <w:t>C</w:t>
            </w:r>
            <w:r w:rsidR="00542E8A">
              <w:rPr>
                <w:b/>
                <w:i/>
              </w:rPr>
              <w:t>l</w:t>
            </w:r>
            <w:proofErr w:type="spellEnd"/>
          </w:p>
        </w:tc>
        <w:tc>
          <w:tcPr>
            <w:tcW w:w="745" w:type="dxa"/>
            <w:tcBorders>
              <w:bottom w:val="double" w:sz="4" w:space="0" w:color="auto"/>
            </w:tcBorders>
            <w:shd w:val="clear" w:color="auto" w:fill="BDFFFF"/>
            <w:vAlign w:val="center"/>
          </w:tcPr>
          <w:p w:rsidR="00485094" w:rsidRPr="00C01A14" w:rsidRDefault="00485094" w:rsidP="00542E8A">
            <w:pPr>
              <w:pStyle w:val="tabletext1"/>
              <w:jc w:val="center"/>
              <w:rPr>
                <w:b/>
                <w:i/>
              </w:rPr>
            </w:pPr>
            <w:r w:rsidRPr="00C01A14">
              <w:rPr>
                <w:b/>
                <w:i/>
              </w:rPr>
              <w:t>C</w:t>
            </w:r>
            <w:r w:rsidR="00542E8A">
              <w:rPr>
                <w:b/>
                <w:i/>
              </w:rPr>
              <w:t>a</w:t>
            </w:r>
          </w:p>
        </w:tc>
        <w:tc>
          <w:tcPr>
            <w:tcW w:w="745" w:type="dxa"/>
            <w:tcBorders>
              <w:bottom w:val="double" w:sz="4" w:space="0" w:color="auto"/>
            </w:tcBorders>
            <w:shd w:val="clear" w:color="auto" w:fill="BDFFFF"/>
            <w:vAlign w:val="center"/>
          </w:tcPr>
          <w:p w:rsidR="00485094" w:rsidRPr="00C01A14" w:rsidRDefault="00485094" w:rsidP="003A5E2D">
            <w:pPr>
              <w:pStyle w:val="tabletext1"/>
              <w:jc w:val="center"/>
              <w:rPr>
                <w:b/>
                <w:i/>
              </w:rPr>
            </w:pPr>
            <w:r w:rsidRPr="00C01A14">
              <w:rPr>
                <w:b/>
                <w:i/>
              </w:rPr>
              <w:t>M</w:t>
            </w:r>
            <w:r w:rsidR="003A5E2D">
              <w:rPr>
                <w:b/>
                <w:i/>
              </w:rPr>
              <w:t>g</w:t>
            </w:r>
          </w:p>
        </w:tc>
        <w:tc>
          <w:tcPr>
            <w:tcW w:w="820"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ALK</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TC</w:t>
            </w:r>
          </w:p>
        </w:tc>
        <w:tc>
          <w:tcPr>
            <w:tcW w:w="745" w:type="dxa"/>
            <w:tcBorders>
              <w:bottom w:val="double" w:sz="4" w:space="0" w:color="auto"/>
            </w:tcBorders>
            <w:shd w:val="clear" w:color="auto" w:fill="BDFFFF"/>
            <w:vAlign w:val="center"/>
          </w:tcPr>
          <w:p w:rsidR="00485094" w:rsidRPr="00C01A14" w:rsidRDefault="00485094" w:rsidP="00453E80">
            <w:pPr>
              <w:pStyle w:val="tabletext1"/>
              <w:jc w:val="center"/>
              <w:rPr>
                <w:b/>
                <w:i/>
              </w:rPr>
            </w:pPr>
            <w:r w:rsidRPr="00C01A14">
              <w:rPr>
                <w:b/>
                <w:i/>
              </w:rPr>
              <w:t>FC</w:t>
            </w:r>
          </w:p>
        </w:tc>
      </w:tr>
      <w:tr w:rsidR="00485094" w:rsidRPr="00745496" w:rsidTr="00453E80">
        <w:trPr>
          <w:trHeight w:val="288"/>
          <w:jc w:val="center"/>
        </w:trPr>
        <w:tc>
          <w:tcPr>
            <w:tcW w:w="1161" w:type="dxa"/>
            <w:tcBorders>
              <w:top w:val="double" w:sz="4" w:space="0" w:color="auto"/>
            </w:tcBorders>
            <w:shd w:val="clear" w:color="auto" w:fill="FFFFAF"/>
            <w:vAlign w:val="center"/>
          </w:tcPr>
          <w:p w:rsidR="00485094" w:rsidRDefault="00485094" w:rsidP="00453E80">
            <w:pPr>
              <w:pStyle w:val="tabletext1"/>
              <w:jc w:val="center"/>
              <w:rPr>
                <w:color w:val="000000"/>
              </w:rPr>
            </w:pPr>
            <w:r>
              <w:rPr>
                <w:color w:val="000000"/>
              </w:rPr>
              <w:t>243</w:t>
            </w:r>
          </w:p>
        </w:tc>
        <w:tc>
          <w:tcPr>
            <w:tcW w:w="750" w:type="dxa"/>
            <w:tcBorders>
              <w:top w:val="double" w:sz="4" w:space="0" w:color="auto"/>
            </w:tcBorders>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tcBorders>
              <w:top w:val="double" w:sz="4" w:space="0" w:color="auto"/>
            </w:tcBorders>
            <w:vAlign w:val="center"/>
          </w:tcPr>
          <w:p w:rsidR="00485094" w:rsidRPr="00745496" w:rsidRDefault="00485094" w:rsidP="00453E80">
            <w:pPr>
              <w:pStyle w:val="tabletext1"/>
              <w:jc w:val="center"/>
            </w:pPr>
            <w:r>
              <w:t>0</w:t>
            </w:r>
          </w:p>
        </w:tc>
        <w:tc>
          <w:tcPr>
            <w:tcW w:w="723" w:type="dxa"/>
            <w:tcBorders>
              <w:top w:val="double" w:sz="4" w:space="0" w:color="auto"/>
            </w:tcBorders>
            <w:vAlign w:val="center"/>
          </w:tcPr>
          <w:p w:rsidR="00485094" w:rsidRPr="00745496" w:rsidRDefault="00485094" w:rsidP="00453E80">
            <w:pPr>
              <w:pStyle w:val="tabletext1"/>
              <w:jc w:val="center"/>
            </w:pPr>
            <w:r>
              <w:t>-</w:t>
            </w:r>
          </w:p>
        </w:tc>
        <w:tc>
          <w:tcPr>
            <w:tcW w:w="745" w:type="dxa"/>
            <w:tcBorders>
              <w:top w:val="double" w:sz="4" w:space="0" w:color="auto"/>
            </w:tcBorders>
            <w:vAlign w:val="center"/>
          </w:tcPr>
          <w:p w:rsidR="00485094" w:rsidRDefault="00485094" w:rsidP="00453E80">
            <w:pPr>
              <w:pStyle w:val="tabletext1"/>
              <w:jc w:val="center"/>
            </w:pPr>
            <w:r>
              <w:t>0</w:t>
            </w:r>
          </w:p>
        </w:tc>
        <w:tc>
          <w:tcPr>
            <w:tcW w:w="80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w:t>
            </w:r>
          </w:p>
        </w:tc>
        <w:tc>
          <w:tcPr>
            <w:tcW w:w="745" w:type="dxa"/>
            <w:tcBorders>
              <w:top w:val="double" w:sz="4" w:space="0" w:color="auto"/>
            </w:tcBorders>
            <w:vAlign w:val="center"/>
          </w:tcPr>
          <w:p w:rsidR="00485094" w:rsidRDefault="00485094" w:rsidP="00453E80">
            <w:pPr>
              <w:pStyle w:val="tabletext1"/>
              <w:jc w:val="center"/>
            </w:pPr>
            <w:r>
              <w:t>0</w:t>
            </w:r>
          </w:p>
        </w:tc>
        <w:tc>
          <w:tcPr>
            <w:tcW w:w="745" w:type="dxa"/>
            <w:tcBorders>
              <w:top w:val="double" w:sz="4" w:space="0" w:color="auto"/>
            </w:tcBorders>
            <w:vAlign w:val="center"/>
          </w:tcPr>
          <w:p w:rsidR="00485094" w:rsidRPr="00745496" w:rsidRDefault="00485094" w:rsidP="00453E80">
            <w:pPr>
              <w:pStyle w:val="tabletext1"/>
              <w:jc w:val="center"/>
            </w:pPr>
            <w:r>
              <w:t>0</w:t>
            </w:r>
          </w:p>
        </w:tc>
        <w:tc>
          <w:tcPr>
            <w:tcW w:w="745" w:type="dxa"/>
            <w:tcBorders>
              <w:top w:val="double" w:sz="4" w:space="0" w:color="auto"/>
            </w:tcBorders>
            <w:vAlign w:val="center"/>
          </w:tcPr>
          <w:p w:rsidR="00485094" w:rsidRPr="009749E0" w:rsidRDefault="00485094" w:rsidP="00453E80">
            <w:pPr>
              <w:pStyle w:val="tabletext1"/>
              <w:jc w:val="center"/>
            </w:pPr>
            <w:r>
              <w:t>+</w:t>
            </w:r>
          </w:p>
        </w:tc>
        <w:tc>
          <w:tcPr>
            <w:tcW w:w="820" w:type="dxa"/>
            <w:tcBorders>
              <w:top w:val="double" w:sz="4" w:space="0" w:color="auto"/>
            </w:tcBorders>
            <w:vAlign w:val="center"/>
          </w:tcPr>
          <w:p w:rsidR="00485094" w:rsidRDefault="00485094" w:rsidP="00453E80">
            <w:pPr>
              <w:pStyle w:val="tabletext1"/>
              <w:jc w:val="center"/>
            </w:pPr>
            <w:r>
              <w:t>+</w:t>
            </w:r>
          </w:p>
        </w:tc>
        <w:tc>
          <w:tcPr>
            <w:tcW w:w="745" w:type="dxa"/>
            <w:tcBorders>
              <w:top w:val="double" w:sz="4" w:space="0" w:color="auto"/>
            </w:tcBorders>
            <w:vAlign w:val="center"/>
          </w:tcPr>
          <w:p w:rsidR="00485094" w:rsidRPr="009749E0" w:rsidRDefault="00485094" w:rsidP="00453E80">
            <w:pPr>
              <w:pStyle w:val="tabletext1"/>
              <w:jc w:val="center"/>
            </w:pPr>
            <w:r>
              <w:t>0</w:t>
            </w:r>
          </w:p>
        </w:tc>
        <w:tc>
          <w:tcPr>
            <w:tcW w:w="745" w:type="dxa"/>
            <w:tcBorders>
              <w:top w:val="double" w:sz="4" w:space="0" w:color="auto"/>
            </w:tcBorders>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312</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615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ISD</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707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737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775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997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1420</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1674</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1762</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1763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1779</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1780</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2187</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Default="00485094" w:rsidP="00453E80">
            <w:pPr>
              <w:pStyle w:val="tabletext1"/>
              <w:jc w:val="center"/>
            </w:pPr>
            <w:r>
              <w:t>ISD</w:t>
            </w:r>
          </w:p>
        </w:tc>
        <w:tc>
          <w:tcPr>
            <w:tcW w:w="745" w:type="dxa"/>
            <w:vAlign w:val="center"/>
          </w:tcPr>
          <w:p w:rsidR="00485094" w:rsidRPr="00745496"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c>
          <w:tcPr>
            <w:tcW w:w="820" w:type="dxa"/>
            <w:vAlign w:val="center"/>
          </w:tcPr>
          <w:p w:rsidR="00485094"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c>
          <w:tcPr>
            <w:tcW w:w="745" w:type="dxa"/>
            <w:vAlign w:val="center"/>
          </w:tcPr>
          <w:p w:rsidR="00485094" w:rsidRPr="009749E0" w:rsidRDefault="00485094" w:rsidP="00453E80">
            <w:pPr>
              <w:pStyle w:val="tabletext1"/>
              <w:jc w:val="center"/>
            </w:pPr>
            <w:r>
              <w:t>ISD</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2353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2404</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2585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2675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2873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3108</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3433</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ISD</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1" w:type="dxa"/>
            <w:shd w:val="clear" w:color="auto" w:fill="FFFFAF"/>
            <w:vAlign w:val="center"/>
          </w:tcPr>
          <w:p w:rsidR="00485094" w:rsidRDefault="00485094" w:rsidP="00453E80">
            <w:pPr>
              <w:pStyle w:val="tabletext1"/>
              <w:jc w:val="center"/>
              <w:rPr>
                <w:color w:val="000000"/>
              </w:rPr>
            </w:pPr>
            <w:r>
              <w:rPr>
                <w:color w:val="000000"/>
              </w:rPr>
              <w:t>7935</w:t>
            </w:r>
          </w:p>
        </w:tc>
        <w:tc>
          <w:tcPr>
            <w:tcW w:w="750" w:type="dxa"/>
          </w:tcPr>
          <w:p w:rsidR="00485094" w:rsidRPr="003341BA" w:rsidRDefault="00485094" w:rsidP="00453E80">
            <w:pPr>
              <w:spacing w:line="240" w:lineRule="atLeast"/>
              <w:jc w:val="center"/>
              <w:rPr>
                <w:rFonts w:ascii="Arial" w:hAnsi="Arial" w:cs="Arial"/>
                <w:sz w:val="18"/>
                <w:szCs w:val="18"/>
              </w:rPr>
            </w:pPr>
            <w:r w:rsidRPr="003341BA">
              <w:rPr>
                <w:rFonts w:ascii="Arial" w:hAnsi="Arial" w:cs="Arial"/>
                <w:sz w:val="18"/>
                <w:szCs w:val="18"/>
              </w:rPr>
              <w:t>0</w:t>
            </w:r>
          </w:p>
        </w:tc>
        <w:tc>
          <w:tcPr>
            <w:tcW w:w="728" w:type="dxa"/>
            <w:vAlign w:val="center"/>
          </w:tcPr>
          <w:p w:rsidR="00485094" w:rsidRPr="00745496" w:rsidRDefault="00485094" w:rsidP="00453E80">
            <w:pPr>
              <w:pStyle w:val="tabletext1"/>
              <w:jc w:val="center"/>
            </w:pPr>
            <w:r>
              <w:t>0</w:t>
            </w:r>
          </w:p>
        </w:tc>
        <w:tc>
          <w:tcPr>
            <w:tcW w:w="723"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0</w:t>
            </w:r>
          </w:p>
        </w:tc>
        <w:tc>
          <w:tcPr>
            <w:tcW w:w="80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0</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Default="00485094" w:rsidP="00453E80">
            <w:pPr>
              <w:pStyle w:val="tabletext1"/>
              <w:jc w:val="center"/>
            </w:pPr>
            <w:r>
              <w:t>+</w:t>
            </w:r>
          </w:p>
        </w:tc>
        <w:tc>
          <w:tcPr>
            <w:tcW w:w="745" w:type="dxa"/>
            <w:vAlign w:val="center"/>
          </w:tcPr>
          <w:p w:rsidR="00485094" w:rsidRPr="00745496" w:rsidRDefault="00485094" w:rsidP="00453E80">
            <w:pPr>
              <w:pStyle w:val="tabletext1"/>
              <w:jc w:val="center"/>
            </w:pPr>
            <w:r>
              <w:t>+</w:t>
            </w:r>
          </w:p>
        </w:tc>
        <w:tc>
          <w:tcPr>
            <w:tcW w:w="745" w:type="dxa"/>
            <w:vAlign w:val="center"/>
          </w:tcPr>
          <w:p w:rsidR="00485094" w:rsidRPr="009749E0" w:rsidRDefault="00485094" w:rsidP="00453E80">
            <w:pPr>
              <w:pStyle w:val="tabletext1"/>
              <w:jc w:val="center"/>
            </w:pPr>
            <w:r>
              <w:t>0</w:t>
            </w:r>
          </w:p>
        </w:tc>
        <w:tc>
          <w:tcPr>
            <w:tcW w:w="820" w:type="dxa"/>
            <w:vAlign w:val="center"/>
          </w:tcPr>
          <w:p w:rsidR="00485094"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c>
          <w:tcPr>
            <w:tcW w:w="745" w:type="dxa"/>
            <w:vAlign w:val="center"/>
          </w:tcPr>
          <w:p w:rsidR="00485094" w:rsidRPr="009749E0" w:rsidRDefault="00485094" w:rsidP="00453E80">
            <w:pPr>
              <w:pStyle w:val="tabletext1"/>
              <w:jc w:val="center"/>
            </w:pPr>
            <w:r>
              <w:t>0</w:t>
            </w:r>
          </w:p>
        </w:tc>
      </w:tr>
    </w:tbl>
    <w:p w:rsidR="00485094" w:rsidRDefault="00485094" w:rsidP="00692F31">
      <w:pPr>
        <w:pStyle w:val="Bodytextreduced"/>
      </w:pPr>
      <w:r>
        <w:rPr>
          <w:b/>
        </w:rPr>
        <w:br w:type="page"/>
      </w:r>
    </w:p>
    <w:p w:rsidR="00F25CEA" w:rsidRDefault="00F25CEA" w:rsidP="00F25CEA">
      <w:pPr>
        <w:pStyle w:val="Bodytextreduced"/>
      </w:pPr>
      <w:bookmarkStart w:id="499" w:name="_Toc262464263"/>
    </w:p>
    <w:p w:rsidR="00485094" w:rsidRDefault="00485094" w:rsidP="00692F31">
      <w:pPr>
        <w:pStyle w:val="Tableheading"/>
      </w:pPr>
      <w:bookmarkStart w:id="500" w:name="_Toc271889857"/>
      <w:r w:rsidRPr="00285A18">
        <w:t xml:space="preserve">Table </w:t>
      </w:r>
      <w:r>
        <w:t xml:space="preserve">6.9c.  </w:t>
      </w:r>
      <w:r w:rsidRPr="00285A18">
        <w:t xml:space="preserve">Trends for </w:t>
      </w:r>
      <w:r>
        <w:t>S</w:t>
      </w:r>
      <w:r w:rsidRPr="00285A18">
        <w:t xml:space="preserve">pecified </w:t>
      </w:r>
      <w:r>
        <w:t>A</w:t>
      </w:r>
      <w:r w:rsidRPr="00285A18">
        <w:t xml:space="preserve">nalytes for </w:t>
      </w:r>
      <w:r>
        <w:t>S</w:t>
      </w:r>
      <w:r w:rsidRPr="00285A18">
        <w:t xml:space="preserve">tations </w:t>
      </w:r>
      <w:r>
        <w:t>in the</w:t>
      </w:r>
      <w:r w:rsidRPr="00285A18">
        <w:t xml:space="preserve"> Ground Water Trend Monitoring Network, Unconfined Aquifer</w:t>
      </w:r>
      <w:r>
        <w:t>s</w:t>
      </w:r>
      <w:bookmarkEnd w:id="499"/>
      <w:bookmarkEnd w:id="500"/>
    </w:p>
    <w:p w:rsidR="00485094" w:rsidRDefault="00485094" w:rsidP="00692F31">
      <w:pPr>
        <w:pStyle w:val="TabledescriptionBF"/>
      </w:pPr>
      <w:r>
        <w:t>This is a 17-column table.  Column 1 lists the stations and Columns 2 through 17 list the analytes.</w:t>
      </w:r>
    </w:p>
    <w:p w:rsidR="00485094" w:rsidRDefault="00485094" w:rsidP="00692F31">
      <w:pPr>
        <w:pStyle w:val="Bodytextreduced"/>
      </w:pPr>
    </w:p>
    <w:p w:rsidR="00485094" w:rsidRDefault="00485094" w:rsidP="00692F31">
      <w:pPr>
        <w:pStyle w:val="Bodytextreduced"/>
      </w:pPr>
      <w:r w:rsidRPr="00225579">
        <w:rPr>
          <w:b/>
        </w:rPr>
        <w:t>Note:</w:t>
      </w:r>
      <w:r>
        <w:t xml:space="preserve">  A p</w:t>
      </w:r>
      <w:r w:rsidRPr="001763DC">
        <w:t xml:space="preserve">ositive trend </w:t>
      </w:r>
      <w:r>
        <w:t>is</w:t>
      </w:r>
      <w:r w:rsidRPr="001763DC">
        <w:t xml:space="preserve"> indicated with a plus sign (+), </w:t>
      </w:r>
      <w:r>
        <w:t xml:space="preserve">a </w:t>
      </w:r>
      <w:r w:rsidRPr="001763DC">
        <w:t>negative trend</w:t>
      </w:r>
      <w:r>
        <w:t xml:space="preserve"> is</w:t>
      </w:r>
      <w:r w:rsidRPr="001763DC">
        <w:t xml:space="preserve"> indicated with a minus sign (-),</w:t>
      </w:r>
      <w:r w:rsidRPr="009355D6">
        <w:t xml:space="preserve"> no trend</w:t>
      </w:r>
      <w:r>
        <w:t xml:space="preserve"> is</w:t>
      </w:r>
      <w:r w:rsidRPr="009355D6">
        <w:t xml:space="preserve"> indicated by zero</w:t>
      </w:r>
      <w:r>
        <w:t xml:space="preserve"> (o), </w:t>
      </w:r>
      <w:r w:rsidRPr="009355D6">
        <w:t xml:space="preserve">and </w:t>
      </w:r>
      <w:r>
        <w:t>insufficient data to determine a trend is indicated by (ISD).</w:t>
      </w:r>
    </w:p>
    <w:tbl>
      <w:tblPr>
        <w:tblW w:w="13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66"/>
        <w:gridCol w:w="830"/>
        <w:gridCol w:w="830"/>
        <w:gridCol w:w="772"/>
        <w:gridCol w:w="875"/>
        <w:gridCol w:w="888"/>
        <w:gridCol w:w="706"/>
        <w:gridCol w:w="695"/>
        <w:gridCol w:w="706"/>
        <w:gridCol w:w="656"/>
        <w:gridCol w:w="831"/>
        <w:gridCol w:w="770"/>
        <w:gridCol w:w="791"/>
        <w:gridCol w:w="860"/>
        <w:gridCol w:w="836"/>
        <w:gridCol w:w="811"/>
        <w:gridCol w:w="820"/>
      </w:tblGrid>
      <w:tr w:rsidR="003A5E2D" w:rsidRPr="000F2909" w:rsidTr="000F2909">
        <w:trPr>
          <w:trHeight w:val="288"/>
          <w:jc w:val="center"/>
        </w:trPr>
        <w:tc>
          <w:tcPr>
            <w:tcW w:w="116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Station</w:t>
            </w:r>
          </w:p>
        </w:tc>
        <w:tc>
          <w:tcPr>
            <w:tcW w:w="830" w:type="dxa"/>
            <w:tcBorders>
              <w:bottom w:val="double" w:sz="4" w:space="0" w:color="auto"/>
            </w:tcBorders>
            <w:shd w:val="clear" w:color="auto" w:fill="BDFFFF"/>
            <w:vAlign w:val="center"/>
          </w:tcPr>
          <w:p w:rsidR="003A5E2D" w:rsidRPr="003341BA" w:rsidRDefault="003A5E2D" w:rsidP="003A5E2D">
            <w:pPr>
              <w:jc w:val="center"/>
              <w:rPr>
                <w:rFonts w:ascii="Arial" w:hAnsi="Arial" w:cs="Arial"/>
                <w:b/>
                <w:sz w:val="18"/>
                <w:szCs w:val="18"/>
              </w:rPr>
            </w:pPr>
            <w:r w:rsidRPr="003341BA">
              <w:rPr>
                <w:rFonts w:ascii="Arial" w:hAnsi="Arial" w:cs="Arial"/>
                <w:b/>
                <w:sz w:val="18"/>
                <w:szCs w:val="18"/>
              </w:rPr>
              <w:t>Temp</w:t>
            </w:r>
          </w:p>
        </w:tc>
        <w:tc>
          <w:tcPr>
            <w:tcW w:w="83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SC</w:t>
            </w:r>
          </w:p>
        </w:tc>
        <w:tc>
          <w:tcPr>
            <w:tcW w:w="772"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pH</w:t>
            </w:r>
          </w:p>
        </w:tc>
        <w:tc>
          <w:tcPr>
            <w:tcW w:w="875"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WL</w:t>
            </w:r>
          </w:p>
        </w:tc>
        <w:tc>
          <w:tcPr>
            <w:tcW w:w="888"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TDS</w:t>
            </w:r>
          </w:p>
        </w:tc>
        <w:tc>
          <w:tcPr>
            <w:tcW w:w="70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N</w:t>
            </w:r>
            <w:r>
              <w:rPr>
                <w:b/>
                <w:i/>
              </w:rPr>
              <w:t>O</w:t>
            </w:r>
            <w:r w:rsidRPr="003A5E2D">
              <w:rPr>
                <w:b/>
                <w:i/>
                <w:vertAlign w:val="subscript"/>
              </w:rPr>
              <w:t>X</w:t>
            </w:r>
          </w:p>
        </w:tc>
        <w:tc>
          <w:tcPr>
            <w:tcW w:w="695"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P</w:t>
            </w:r>
          </w:p>
        </w:tc>
        <w:tc>
          <w:tcPr>
            <w:tcW w:w="70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K</w:t>
            </w:r>
          </w:p>
        </w:tc>
        <w:tc>
          <w:tcPr>
            <w:tcW w:w="65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S</w:t>
            </w:r>
            <w:r>
              <w:rPr>
                <w:b/>
                <w:i/>
              </w:rPr>
              <w:t>O</w:t>
            </w:r>
            <w:r w:rsidRPr="003A5E2D">
              <w:rPr>
                <w:b/>
                <w:i/>
                <w:vertAlign w:val="subscript"/>
              </w:rPr>
              <w:t>4</w:t>
            </w:r>
          </w:p>
        </w:tc>
        <w:tc>
          <w:tcPr>
            <w:tcW w:w="83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N</w:t>
            </w:r>
            <w:r>
              <w:rPr>
                <w:b/>
                <w:i/>
              </w:rPr>
              <w:t>a</w:t>
            </w:r>
          </w:p>
        </w:tc>
        <w:tc>
          <w:tcPr>
            <w:tcW w:w="770" w:type="dxa"/>
            <w:tcBorders>
              <w:bottom w:val="double" w:sz="4" w:space="0" w:color="auto"/>
            </w:tcBorders>
            <w:shd w:val="clear" w:color="auto" w:fill="BDFFFF"/>
            <w:vAlign w:val="center"/>
          </w:tcPr>
          <w:p w:rsidR="003A5E2D" w:rsidRPr="00C01A14" w:rsidRDefault="003A5E2D" w:rsidP="003A5E2D">
            <w:pPr>
              <w:pStyle w:val="tabletext1"/>
              <w:jc w:val="center"/>
              <w:rPr>
                <w:b/>
                <w:i/>
              </w:rPr>
            </w:pPr>
            <w:proofErr w:type="spellStart"/>
            <w:r w:rsidRPr="00C01A14">
              <w:rPr>
                <w:b/>
                <w:i/>
              </w:rPr>
              <w:t>C</w:t>
            </w:r>
            <w:r>
              <w:rPr>
                <w:b/>
                <w:i/>
              </w:rPr>
              <w:t>l</w:t>
            </w:r>
            <w:proofErr w:type="spellEnd"/>
          </w:p>
        </w:tc>
        <w:tc>
          <w:tcPr>
            <w:tcW w:w="79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C</w:t>
            </w:r>
            <w:r>
              <w:rPr>
                <w:b/>
                <w:i/>
              </w:rPr>
              <w:t>a</w:t>
            </w:r>
          </w:p>
        </w:tc>
        <w:tc>
          <w:tcPr>
            <w:tcW w:w="86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M</w:t>
            </w:r>
            <w:r>
              <w:rPr>
                <w:b/>
                <w:i/>
              </w:rPr>
              <w:t>g</w:t>
            </w:r>
          </w:p>
        </w:tc>
        <w:tc>
          <w:tcPr>
            <w:tcW w:w="836"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ALK</w:t>
            </w:r>
          </w:p>
        </w:tc>
        <w:tc>
          <w:tcPr>
            <w:tcW w:w="811"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TC</w:t>
            </w:r>
          </w:p>
        </w:tc>
        <w:tc>
          <w:tcPr>
            <w:tcW w:w="820" w:type="dxa"/>
            <w:tcBorders>
              <w:bottom w:val="double" w:sz="4" w:space="0" w:color="auto"/>
            </w:tcBorders>
            <w:shd w:val="clear" w:color="auto" w:fill="BDFFFF"/>
            <w:vAlign w:val="center"/>
          </w:tcPr>
          <w:p w:rsidR="003A5E2D" w:rsidRPr="00C01A14" w:rsidRDefault="003A5E2D" w:rsidP="003A5E2D">
            <w:pPr>
              <w:pStyle w:val="tabletext1"/>
              <w:jc w:val="center"/>
              <w:rPr>
                <w:b/>
                <w:i/>
              </w:rPr>
            </w:pPr>
            <w:r w:rsidRPr="00C01A14">
              <w:rPr>
                <w:b/>
                <w:i/>
              </w:rPr>
              <w:t>FC</w:t>
            </w:r>
          </w:p>
        </w:tc>
      </w:tr>
      <w:tr w:rsidR="00485094" w:rsidRPr="00745496" w:rsidTr="00453E80">
        <w:trPr>
          <w:trHeight w:val="288"/>
          <w:jc w:val="center"/>
        </w:trPr>
        <w:tc>
          <w:tcPr>
            <w:tcW w:w="1166" w:type="dxa"/>
            <w:tcBorders>
              <w:top w:val="double" w:sz="4" w:space="0" w:color="auto"/>
            </w:tcBorders>
            <w:shd w:val="clear" w:color="auto" w:fill="FFFFAF"/>
            <w:vAlign w:val="center"/>
          </w:tcPr>
          <w:p w:rsidR="00485094" w:rsidRDefault="00485094" w:rsidP="00453E80">
            <w:pPr>
              <w:pStyle w:val="tabletext1"/>
              <w:jc w:val="center"/>
              <w:rPr>
                <w:color w:val="000000"/>
              </w:rPr>
            </w:pPr>
            <w:r>
              <w:rPr>
                <w:color w:val="000000"/>
              </w:rPr>
              <w:t>67</w:t>
            </w:r>
          </w:p>
        </w:tc>
        <w:tc>
          <w:tcPr>
            <w:tcW w:w="830" w:type="dxa"/>
            <w:tcBorders>
              <w:top w:val="double" w:sz="4" w:space="0" w:color="auto"/>
            </w:tcBorders>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tcBorders>
              <w:top w:val="double" w:sz="4" w:space="0" w:color="auto"/>
            </w:tcBorders>
            <w:vAlign w:val="center"/>
          </w:tcPr>
          <w:p w:rsidR="00485094" w:rsidRDefault="00485094" w:rsidP="00453E80">
            <w:pPr>
              <w:pStyle w:val="tabletext1"/>
              <w:jc w:val="center"/>
            </w:pPr>
            <w:r>
              <w:t>0</w:t>
            </w:r>
          </w:p>
        </w:tc>
        <w:tc>
          <w:tcPr>
            <w:tcW w:w="772" w:type="dxa"/>
            <w:tcBorders>
              <w:top w:val="double" w:sz="4" w:space="0" w:color="auto"/>
            </w:tcBorders>
            <w:vAlign w:val="center"/>
          </w:tcPr>
          <w:p w:rsidR="00485094" w:rsidRDefault="00485094" w:rsidP="00453E80">
            <w:pPr>
              <w:pStyle w:val="tabletext1"/>
              <w:jc w:val="center"/>
            </w:pPr>
            <w:r>
              <w:t>0</w:t>
            </w:r>
          </w:p>
        </w:tc>
        <w:tc>
          <w:tcPr>
            <w:tcW w:w="875" w:type="dxa"/>
            <w:tcBorders>
              <w:top w:val="double" w:sz="4" w:space="0" w:color="auto"/>
            </w:tcBorders>
            <w:vAlign w:val="center"/>
          </w:tcPr>
          <w:p w:rsidR="00485094" w:rsidRDefault="00485094" w:rsidP="00453E80">
            <w:pPr>
              <w:pStyle w:val="tabletext1"/>
              <w:jc w:val="center"/>
            </w:pPr>
            <w:r>
              <w:t>ISD</w:t>
            </w:r>
          </w:p>
        </w:tc>
        <w:tc>
          <w:tcPr>
            <w:tcW w:w="888" w:type="dxa"/>
            <w:tcBorders>
              <w:top w:val="double" w:sz="4" w:space="0" w:color="auto"/>
            </w:tcBorders>
            <w:vAlign w:val="center"/>
          </w:tcPr>
          <w:p w:rsidR="00485094" w:rsidRDefault="00485094" w:rsidP="00453E80">
            <w:pPr>
              <w:pStyle w:val="tabletext1"/>
              <w:jc w:val="center"/>
            </w:pPr>
            <w:r>
              <w:t>0</w:t>
            </w:r>
          </w:p>
        </w:tc>
        <w:tc>
          <w:tcPr>
            <w:tcW w:w="706" w:type="dxa"/>
            <w:tcBorders>
              <w:top w:val="double" w:sz="4" w:space="0" w:color="auto"/>
            </w:tcBorders>
            <w:vAlign w:val="center"/>
          </w:tcPr>
          <w:p w:rsidR="00485094" w:rsidRDefault="00485094" w:rsidP="00453E80">
            <w:pPr>
              <w:pStyle w:val="tabletext1"/>
              <w:jc w:val="center"/>
            </w:pPr>
            <w:r>
              <w:t>-</w:t>
            </w:r>
          </w:p>
        </w:tc>
        <w:tc>
          <w:tcPr>
            <w:tcW w:w="695" w:type="dxa"/>
            <w:tcBorders>
              <w:top w:val="double" w:sz="4" w:space="0" w:color="auto"/>
            </w:tcBorders>
            <w:vAlign w:val="center"/>
          </w:tcPr>
          <w:p w:rsidR="00485094" w:rsidRDefault="00485094" w:rsidP="00453E80">
            <w:pPr>
              <w:pStyle w:val="tabletext1"/>
              <w:jc w:val="center"/>
            </w:pPr>
            <w:r>
              <w:t>0</w:t>
            </w:r>
          </w:p>
        </w:tc>
        <w:tc>
          <w:tcPr>
            <w:tcW w:w="706" w:type="dxa"/>
            <w:tcBorders>
              <w:top w:val="double" w:sz="4" w:space="0" w:color="auto"/>
            </w:tcBorders>
            <w:vAlign w:val="center"/>
          </w:tcPr>
          <w:p w:rsidR="00485094" w:rsidRDefault="00485094" w:rsidP="00453E80">
            <w:pPr>
              <w:pStyle w:val="tabletext1"/>
              <w:jc w:val="center"/>
            </w:pPr>
            <w:r>
              <w:t>0</w:t>
            </w:r>
          </w:p>
        </w:tc>
        <w:tc>
          <w:tcPr>
            <w:tcW w:w="656" w:type="dxa"/>
            <w:tcBorders>
              <w:top w:val="double" w:sz="4" w:space="0" w:color="auto"/>
            </w:tcBorders>
            <w:vAlign w:val="center"/>
          </w:tcPr>
          <w:p w:rsidR="00485094" w:rsidRDefault="00485094" w:rsidP="00453E80">
            <w:pPr>
              <w:pStyle w:val="tabletext1"/>
              <w:jc w:val="center"/>
            </w:pPr>
            <w:r>
              <w:t>0</w:t>
            </w:r>
          </w:p>
        </w:tc>
        <w:tc>
          <w:tcPr>
            <w:tcW w:w="831" w:type="dxa"/>
            <w:tcBorders>
              <w:top w:val="double" w:sz="4" w:space="0" w:color="auto"/>
            </w:tcBorders>
            <w:vAlign w:val="center"/>
          </w:tcPr>
          <w:p w:rsidR="00485094" w:rsidRDefault="00485094" w:rsidP="00453E80">
            <w:pPr>
              <w:pStyle w:val="tabletext1"/>
              <w:jc w:val="center"/>
            </w:pPr>
            <w:r>
              <w:t>0</w:t>
            </w:r>
          </w:p>
        </w:tc>
        <w:tc>
          <w:tcPr>
            <w:tcW w:w="770" w:type="dxa"/>
            <w:tcBorders>
              <w:top w:val="double" w:sz="4" w:space="0" w:color="auto"/>
            </w:tcBorders>
            <w:vAlign w:val="center"/>
          </w:tcPr>
          <w:p w:rsidR="00485094" w:rsidRDefault="00485094" w:rsidP="00453E80">
            <w:pPr>
              <w:pStyle w:val="tabletext1"/>
              <w:jc w:val="center"/>
            </w:pPr>
            <w:r>
              <w:t>+</w:t>
            </w:r>
          </w:p>
        </w:tc>
        <w:tc>
          <w:tcPr>
            <w:tcW w:w="791" w:type="dxa"/>
            <w:tcBorders>
              <w:top w:val="double" w:sz="4" w:space="0" w:color="auto"/>
            </w:tcBorders>
            <w:vAlign w:val="center"/>
          </w:tcPr>
          <w:p w:rsidR="00485094" w:rsidRDefault="00485094" w:rsidP="00453E80">
            <w:pPr>
              <w:pStyle w:val="tabletext1"/>
              <w:jc w:val="center"/>
            </w:pPr>
            <w:r>
              <w:t>0</w:t>
            </w:r>
          </w:p>
        </w:tc>
        <w:tc>
          <w:tcPr>
            <w:tcW w:w="860" w:type="dxa"/>
            <w:tcBorders>
              <w:top w:val="double" w:sz="4" w:space="0" w:color="auto"/>
            </w:tcBorders>
            <w:vAlign w:val="center"/>
          </w:tcPr>
          <w:p w:rsidR="00485094" w:rsidRDefault="00485094" w:rsidP="00453E80">
            <w:pPr>
              <w:pStyle w:val="tabletext1"/>
              <w:jc w:val="center"/>
            </w:pPr>
            <w:r>
              <w:t>0</w:t>
            </w:r>
          </w:p>
        </w:tc>
        <w:tc>
          <w:tcPr>
            <w:tcW w:w="836" w:type="dxa"/>
            <w:tcBorders>
              <w:top w:val="double" w:sz="4" w:space="0" w:color="auto"/>
            </w:tcBorders>
            <w:vAlign w:val="center"/>
          </w:tcPr>
          <w:p w:rsidR="00485094" w:rsidRDefault="00485094" w:rsidP="00453E80">
            <w:pPr>
              <w:pStyle w:val="tabletext1"/>
              <w:jc w:val="center"/>
            </w:pPr>
            <w:r>
              <w:t>0</w:t>
            </w:r>
          </w:p>
        </w:tc>
        <w:tc>
          <w:tcPr>
            <w:tcW w:w="811" w:type="dxa"/>
            <w:tcBorders>
              <w:top w:val="double" w:sz="4" w:space="0" w:color="auto"/>
            </w:tcBorders>
            <w:vAlign w:val="center"/>
          </w:tcPr>
          <w:p w:rsidR="00485094" w:rsidRDefault="00485094" w:rsidP="00453E80">
            <w:pPr>
              <w:pStyle w:val="tabletext1"/>
              <w:jc w:val="center"/>
            </w:pPr>
            <w:r>
              <w:t>0</w:t>
            </w:r>
          </w:p>
        </w:tc>
        <w:tc>
          <w:tcPr>
            <w:tcW w:w="820" w:type="dxa"/>
            <w:tcBorders>
              <w:top w:val="double" w:sz="4" w:space="0" w:color="auto"/>
            </w:tcBorders>
            <w:vAlign w:val="center"/>
          </w:tcPr>
          <w:p w:rsidR="00485094"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91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129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131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245</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313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736</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996</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1087</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1100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1417</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1764</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1781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1931</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1943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2003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0</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6E1CD4" w:rsidRDefault="00485094" w:rsidP="00453E80">
            <w:pPr>
              <w:pStyle w:val="tabletext1"/>
              <w:jc w:val="center"/>
            </w:pPr>
            <w:r w:rsidRPr="006E1CD4">
              <w:t>+</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2259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2465</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2793</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2872</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3109</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3398</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0</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w:t>
            </w:r>
          </w:p>
        </w:tc>
        <w:tc>
          <w:tcPr>
            <w:tcW w:w="875" w:type="dxa"/>
            <w:vAlign w:val="center"/>
          </w:tcPr>
          <w:p w:rsidR="00485094" w:rsidRDefault="00485094" w:rsidP="00453E80">
            <w:pPr>
              <w:pStyle w:val="tabletext1"/>
              <w:jc w:val="center"/>
            </w:pPr>
            <w:r>
              <w:t>+</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w:t>
            </w:r>
          </w:p>
        </w:tc>
        <w:tc>
          <w:tcPr>
            <w:tcW w:w="831" w:type="dxa"/>
            <w:vAlign w:val="center"/>
          </w:tcPr>
          <w:p w:rsidR="00485094" w:rsidRPr="00745496" w:rsidRDefault="00485094" w:rsidP="00453E80">
            <w:pPr>
              <w:pStyle w:val="tabletext1"/>
              <w:jc w:val="center"/>
            </w:pPr>
            <w:r>
              <w:t>0</w:t>
            </w:r>
          </w:p>
        </w:tc>
        <w:tc>
          <w:tcPr>
            <w:tcW w:w="770" w:type="dxa"/>
            <w:vAlign w:val="center"/>
          </w:tcPr>
          <w:p w:rsidR="00485094" w:rsidRDefault="00485094" w:rsidP="00453E80">
            <w:pPr>
              <w:pStyle w:val="tabletext1"/>
              <w:jc w:val="center"/>
            </w:pPr>
            <w:r>
              <w:t>0</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3490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6490</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w:t>
            </w:r>
          </w:p>
        </w:tc>
        <w:tc>
          <w:tcPr>
            <w:tcW w:w="836" w:type="dxa"/>
            <w:vAlign w:val="center"/>
          </w:tcPr>
          <w:p w:rsidR="00485094" w:rsidRDefault="00485094" w:rsidP="00453E80">
            <w:pPr>
              <w:pStyle w:val="tabletext1"/>
              <w:jc w:val="center"/>
            </w:pPr>
            <w:r>
              <w:t>+</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r w:rsidR="00485094" w:rsidRPr="00745496" w:rsidTr="00453E80">
        <w:trPr>
          <w:trHeight w:val="288"/>
          <w:jc w:val="center"/>
        </w:trPr>
        <w:tc>
          <w:tcPr>
            <w:tcW w:w="1166" w:type="dxa"/>
            <w:shd w:val="clear" w:color="auto" w:fill="FFFFAF"/>
            <w:vAlign w:val="center"/>
          </w:tcPr>
          <w:p w:rsidR="00485094" w:rsidRDefault="00485094" w:rsidP="00453E80">
            <w:pPr>
              <w:pStyle w:val="tabletext1"/>
              <w:jc w:val="center"/>
              <w:rPr>
                <w:color w:val="000000"/>
              </w:rPr>
            </w:pPr>
            <w:r>
              <w:rPr>
                <w:color w:val="000000"/>
              </w:rPr>
              <w:t>7934</w:t>
            </w:r>
          </w:p>
        </w:tc>
        <w:tc>
          <w:tcPr>
            <w:tcW w:w="830" w:type="dxa"/>
            <w:vAlign w:val="center"/>
          </w:tcPr>
          <w:p w:rsidR="00485094" w:rsidRPr="00D253B2" w:rsidRDefault="00485094" w:rsidP="00453E80">
            <w:pPr>
              <w:spacing w:line="240" w:lineRule="atLeast"/>
              <w:jc w:val="center"/>
              <w:rPr>
                <w:rFonts w:ascii="Arial" w:hAnsi="Arial" w:cs="Arial"/>
                <w:sz w:val="18"/>
                <w:szCs w:val="18"/>
              </w:rPr>
            </w:pPr>
            <w:r w:rsidRPr="00D253B2">
              <w:rPr>
                <w:rFonts w:ascii="Arial" w:hAnsi="Arial" w:cs="Arial"/>
                <w:sz w:val="18"/>
                <w:szCs w:val="18"/>
              </w:rPr>
              <w:t>+</w:t>
            </w:r>
          </w:p>
        </w:tc>
        <w:tc>
          <w:tcPr>
            <w:tcW w:w="830" w:type="dxa"/>
            <w:vAlign w:val="center"/>
          </w:tcPr>
          <w:p w:rsidR="00485094" w:rsidRPr="00745496" w:rsidRDefault="00485094" w:rsidP="00453E80">
            <w:pPr>
              <w:pStyle w:val="tabletext1"/>
              <w:jc w:val="center"/>
            </w:pPr>
            <w:r>
              <w:t>-</w:t>
            </w:r>
          </w:p>
        </w:tc>
        <w:tc>
          <w:tcPr>
            <w:tcW w:w="772" w:type="dxa"/>
            <w:vAlign w:val="center"/>
          </w:tcPr>
          <w:p w:rsidR="00485094" w:rsidRPr="00745496" w:rsidRDefault="00485094" w:rsidP="00453E80">
            <w:pPr>
              <w:pStyle w:val="tabletext1"/>
              <w:jc w:val="center"/>
            </w:pPr>
            <w:r>
              <w:t>0</w:t>
            </w:r>
          </w:p>
        </w:tc>
        <w:tc>
          <w:tcPr>
            <w:tcW w:w="875" w:type="dxa"/>
            <w:vAlign w:val="center"/>
          </w:tcPr>
          <w:p w:rsidR="00485094" w:rsidRDefault="00485094" w:rsidP="00453E80">
            <w:pPr>
              <w:pStyle w:val="tabletext1"/>
              <w:jc w:val="center"/>
            </w:pPr>
            <w:r>
              <w:t>0</w:t>
            </w:r>
          </w:p>
        </w:tc>
        <w:tc>
          <w:tcPr>
            <w:tcW w:w="888"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95" w:type="dxa"/>
            <w:vAlign w:val="center"/>
          </w:tcPr>
          <w:p w:rsidR="00485094" w:rsidRPr="00745496" w:rsidRDefault="00485094" w:rsidP="00453E80">
            <w:pPr>
              <w:pStyle w:val="tabletext1"/>
              <w:jc w:val="center"/>
            </w:pPr>
            <w:r>
              <w:t>0</w:t>
            </w:r>
          </w:p>
        </w:tc>
        <w:tc>
          <w:tcPr>
            <w:tcW w:w="706" w:type="dxa"/>
            <w:vAlign w:val="center"/>
          </w:tcPr>
          <w:p w:rsidR="00485094" w:rsidRPr="00745496" w:rsidRDefault="00485094" w:rsidP="00453E80">
            <w:pPr>
              <w:pStyle w:val="tabletext1"/>
              <w:jc w:val="center"/>
            </w:pPr>
            <w:r>
              <w:t>0</w:t>
            </w:r>
          </w:p>
        </w:tc>
        <w:tc>
          <w:tcPr>
            <w:tcW w:w="656" w:type="dxa"/>
            <w:vAlign w:val="center"/>
          </w:tcPr>
          <w:p w:rsidR="00485094" w:rsidRPr="00745496" w:rsidRDefault="00485094" w:rsidP="00453E80">
            <w:pPr>
              <w:pStyle w:val="tabletext1"/>
              <w:jc w:val="center"/>
            </w:pPr>
            <w:r>
              <w:t>0</w:t>
            </w:r>
          </w:p>
        </w:tc>
        <w:tc>
          <w:tcPr>
            <w:tcW w:w="831" w:type="dxa"/>
            <w:vAlign w:val="center"/>
          </w:tcPr>
          <w:p w:rsidR="00485094" w:rsidRPr="00745496" w:rsidRDefault="00485094" w:rsidP="00453E80">
            <w:pPr>
              <w:pStyle w:val="tabletext1"/>
              <w:jc w:val="center"/>
            </w:pPr>
            <w:r>
              <w:t>-</w:t>
            </w:r>
          </w:p>
        </w:tc>
        <w:tc>
          <w:tcPr>
            <w:tcW w:w="770" w:type="dxa"/>
            <w:vAlign w:val="center"/>
          </w:tcPr>
          <w:p w:rsidR="00485094" w:rsidRDefault="00485094" w:rsidP="00453E80">
            <w:pPr>
              <w:pStyle w:val="tabletext1"/>
              <w:jc w:val="center"/>
            </w:pPr>
            <w:r>
              <w:t>-</w:t>
            </w:r>
          </w:p>
        </w:tc>
        <w:tc>
          <w:tcPr>
            <w:tcW w:w="791" w:type="dxa"/>
            <w:vAlign w:val="center"/>
          </w:tcPr>
          <w:p w:rsidR="00485094" w:rsidRPr="00745496" w:rsidRDefault="00485094" w:rsidP="00453E80">
            <w:pPr>
              <w:pStyle w:val="tabletext1"/>
              <w:jc w:val="center"/>
            </w:pPr>
            <w:r>
              <w:t>0</w:t>
            </w:r>
          </w:p>
        </w:tc>
        <w:tc>
          <w:tcPr>
            <w:tcW w:w="860" w:type="dxa"/>
            <w:vAlign w:val="center"/>
          </w:tcPr>
          <w:p w:rsidR="00485094" w:rsidRPr="009749E0" w:rsidRDefault="00485094" w:rsidP="00453E80">
            <w:pPr>
              <w:pStyle w:val="tabletext1"/>
              <w:jc w:val="center"/>
            </w:pPr>
            <w:r>
              <w:t>0</w:t>
            </w:r>
          </w:p>
        </w:tc>
        <w:tc>
          <w:tcPr>
            <w:tcW w:w="836" w:type="dxa"/>
            <w:vAlign w:val="center"/>
          </w:tcPr>
          <w:p w:rsidR="00485094" w:rsidRDefault="00485094" w:rsidP="00453E80">
            <w:pPr>
              <w:pStyle w:val="tabletext1"/>
              <w:jc w:val="center"/>
            </w:pPr>
            <w:r>
              <w:t>0</w:t>
            </w:r>
          </w:p>
        </w:tc>
        <w:tc>
          <w:tcPr>
            <w:tcW w:w="811" w:type="dxa"/>
            <w:vAlign w:val="center"/>
          </w:tcPr>
          <w:p w:rsidR="00485094" w:rsidRPr="009749E0" w:rsidRDefault="00485094" w:rsidP="00453E80">
            <w:pPr>
              <w:pStyle w:val="tabletext1"/>
              <w:jc w:val="center"/>
            </w:pPr>
            <w:r>
              <w:t>0</w:t>
            </w:r>
          </w:p>
        </w:tc>
        <w:tc>
          <w:tcPr>
            <w:tcW w:w="820" w:type="dxa"/>
            <w:vAlign w:val="center"/>
          </w:tcPr>
          <w:p w:rsidR="00485094" w:rsidRPr="009749E0" w:rsidRDefault="00485094" w:rsidP="00453E80">
            <w:pPr>
              <w:pStyle w:val="tabletext1"/>
              <w:jc w:val="center"/>
            </w:pPr>
            <w:r>
              <w:t>0</w:t>
            </w:r>
          </w:p>
        </w:tc>
      </w:tr>
    </w:tbl>
    <w:p w:rsidR="00485094" w:rsidRDefault="00485094" w:rsidP="00692F31">
      <w:pPr>
        <w:pStyle w:val="BodyText2"/>
        <w:jc w:val="both"/>
        <w:rPr>
          <w:rFonts w:cs="Arial"/>
          <w:b/>
          <w:szCs w:val="22"/>
        </w:rPr>
      </w:pPr>
    </w:p>
    <w:p w:rsidR="00485094" w:rsidRDefault="00485094" w:rsidP="00692F31">
      <w:pPr>
        <w:pStyle w:val="BodyText2"/>
        <w:jc w:val="both"/>
        <w:rPr>
          <w:rFonts w:cs="Arial"/>
          <w:b/>
          <w:szCs w:val="22"/>
        </w:rPr>
        <w:sectPr w:rsidR="00485094" w:rsidSect="009876F8">
          <w:pgSz w:w="15840" w:h="12240" w:orient="landscape" w:code="1"/>
          <w:pgMar w:top="1440" w:right="1440" w:bottom="1440" w:left="1440" w:header="720" w:footer="720" w:gutter="0"/>
          <w:paperSrc w:first="261"/>
          <w:cols w:space="720"/>
          <w:docGrid w:linePitch="360"/>
        </w:sectPr>
      </w:pPr>
    </w:p>
    <w:p w:rsidR="00485094" w:rsidRDefault="00485094" w:rsidP="00692F31">
      <w:pPr>
        <w:pStyle w:val="Caption"/>
      </w:pPr>
      <w:bookmarkStart w:id="501" w:name="_Toc262464315"/>
      <w:bookmarkStart w:id="502" w:name="_Toc271280167"/>
      <w:r w:rsidRPr="00F30D85">
        <w:lastRenderedPageBreak/>
        <w:t xml:space="preserve">Figure </w:t>
      </w:r>
      <w:r>
        <w:t>6.22</w:t>
      </w:r>
      <w:r w:rsidRPr="00F30D85">
        <w:t xml:space="preserve">.  </w:t>
      </w:r>
      <w:r>
        <w:t>Ground</w:t>
      </w:r>
      <w:r w:rsidRPr="00F30D85">
        <w:t xml:space="preserve"> </w:t>
      </w:r>
      <w:r>
        <w:t>W</w:t>
      </w:r>
      <w:r w:rsidRPr="00F30D85">
        <w:t xml:space="preserve">ater </w:t>
      </w:r>
      <w:r>
        <w:t>T</w:t>
      </w:r>
      <w:r w:rsidRPr="00F30D85">
        <w:t xml:space="preserve">rends for </w:t>
      </w:r>
      <w:r>
        <w:t xml:space="preserve">Temperature, </w:t>
      </w:r>
      <w:r w:rsidRPr="00F30D85">
        <w:t>1999</w:t>
      </w:r>
      <w:r>
        <w:t>–</w:t>
      </w:r>
      <w:r w:rsidRPr="00F30D85">
        <w:t>2</w:t>
      </w:r>
      <w:r>
        <w:t>008</w:t>
      </w:r>
      <w:bookmarkEnd w:id="501"/>
      <w:bookmarkEnd w:id="502"/>
    </w:p>
    <w:p w:rsidR="00485094" w:rsidRDefault="00485094" w:rsidP="00692F31">
      <w:pPr>
        <w:pStyle w:val="BodyText2"/>
        <w:ind w:right="1440"/>
        <w:jc w:val="both"/>
        <w:rPr>
          <w:rFonts w:cs="Arial"/>
          <w:b/>
          <w:szCs w:val="22"/>
        </w:rPr>
      </w:pPr>
    </w:p>
    <w:p w:rsidR="00485094" w:rsidRDefault="001717CD" w:rsidP="00692F31">
      <w:pPr>
        <w:pStyle w:val="BodyText2"/>
        <w:ind w:right="1440"/>
        <w:jc w:val="both"/>
        <w:rPr>
          <w:rFonts w:cs="Arial"/>
          <w:b/>
          <w:szCs w:val="22"/>
        </w:rPr>
      </w:pPr>
      <w:r>
        <w:rPr>
          <w:rFonts w:cs="Arial"/>
          <w:b/>
          <w:noProof/>
          <w:szCs w:val="22"/>
        </w:rPr>
        <w:drawing>
          <wp:inline distT="0" distB="0" distL="0" distR="0">
            <wp:extent cx="5305425" cy="5943600"/>
            <wp:effectExtent l="19050" t="0" r="9525" b="0"/>
            <wp:docPr id="13" name="Picture 1" descr="Figure 6.22.  Ground Water Trends for Temperature, 1999–2008.  This is a map of the state of Florida showing the statewide ground water temperatur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22.  Ground Water Trends for Temperature, 1999–2008"/>
                    <pic:cNvPicPr>
                      <a:picLocks noChangeAspect="1" noChangeArrowheads="1"/>
                    </pic:cNvPicPr>
                  </pic:nvPicPr>
                  <pic:blipFill>
                    <a:blip r:embed="rId108"/>
                    <a:srcRect/>
                    <a:stretch>
                      <a:fillRect/>
                    </a:stretch>
                  </pic:blipFill>
                  <pic:spPr bwMode="auto">
                    <a:xfrm>
                      <a:off x="0" y="0"/>
                      <a:ext cx="5305425"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2 stations with a decreasing trend</w:t>
      </w:r>
      <w:r w:rsidRPr="00640A14">
        <w:t xml:space="preserve"> </w:t>
      </w:r>
      <w:r>
        <w:t xml:space="preserve">for temperature (Temp).  </w:t>
      </w:r>
    </w:p>
    <w:p w:rsidR="00485094" w:rsidRDefault="00485094" w:rsidP="00692F31">
      <w:pPr>
        <w:pStyle w:val="ListBullet"/>
        <w:rPr>
          <w:b/>
        </w:rPr>
      </w:pPr>
      <w:r>
        <w:t>There were 7 stations with increasing trends in the unconfined aquifer wells and 6 stations with a decreasing trend</w:t>
      </w:r>
      <w:r w:rsidRPr="00F30D85">
        <w:t>.</w:t>
      </w:r>
    </w:p>
    <w:p w:rsidR="00485094" w:rsidRDefault="00485094" w:rsidP="00692F31">
      <w:pPr>
        <w:rPr>
          <w:rFonts w:ascii="Arial" w:hAnsi="Arial" w:cs="Arial"/>
          <w:sz w:val="22"/>
          <w:szCs w:val="22"/>
        </w:rPr>
      </w:pPr>
      <w:r>
        <w:rPr>
          <w:rFonts w:ascii="Arial" w:hAnsi="Arial" w:cs="Arial"/>
          <w:sz w:val="22"/>
          <w:szCs w:val="22"/>
        </w:rPr>
        <w:br w:type="page"/>
      </w:r>
    </w:p>
    <w:p w:rsidR="00485094" w:rsidRDefault="00485094">
      <w:pPr>
        <w:pStyle w:val="Caption"/>
        <w:rPr>
          <w:rFonts w:cs="Arial"/>
          <w:szCs w:val="22"/>
        </w:rPr>
      </w:pPr>
      <w:bookmarkStart w:id="503" w:name="_Toc262464316"/>
      <w:bookmarkStart w:id="504" w:name="_Toc271280168"/>
      <w:r w:rsidRPr="00F30D85">
        <w:lastRenderedPageBreak/>
        <w:t xml:space="preserve">Figure </w:t>
      </w:r>
      <w:r>
        <w:t>6.23</w:t>
      </w:r>
      <w:r w:rsidRPr="00F30D85">
        <w:t xml:space="preserve">.  </w:t>
      </w:r>
      <w:r>
        <w:t>Ground</w:t>
      </w:r>
      <w:r w:rsidRPr="00F30D85">
        <w:t xml:space="preserve"> </w:t>
      </w:r>
      <w:r>
        <w:t>W</w:t>
      </w:r>
      <w:r w:rsidRPr="00F30D85">
        <w:t xml:space="preserve">ater </w:t>
      </w:r>
      <w:r>
        <w:t>T</w:t>
      </w:r>
      <w:r w:rsidRPr="00F30D85">
        <w:t xml:space="preserve">rends for </w:t>
      </w:r>
      <w:r>
        <w:t xml:space="preserve">Specific Conductance, </w:t>
      </w:r>
      <w:r w:rsidRPr="00F30D85">
        <w:t>1999</w:t>
      </w:r>
      <w:r>
        <w:t>–</w:t>
      </w:r>
      <w:r w:rsidRPr="00F30D85">
        <w:t>2</w:t>
      </w:r>
      <w:r>
        <w:t>008</w:t>
      </w:r>
      <w:bookmarkEnd w:id="503"/>
      <w:bookmarkEnd w:id="504"/>
    </w:p>
    <w:p w:rsidR="00485094" w:rsidRPr="00F847F0" w:rsidRDefault="00485094" w:rsidP="00F847F0">
      <w:pPr>
        <w:ind w:left="720"/>
        <w:rPr>
          <w:rFonts w:ascii="Arial" w:hAnsi="Arial" w:cs="Arial"/>
          <w:sz w:val="18"/>
          <w:szCs w:val="18"/>
        </w:rPr>
      </w:pPr>
    </w:p>
    <w:p w:rsidR="00485094" w:rsidRDefault="001717CD" w:rsidP="00692F31">
      <w:pPr>
        <w:rPr>
          <w:rFonts w:ascii="Arial" w:hAnsi="Arial" w:cs="Arial"/>
          <w:sz w:val="22"/>
          <w:szCs w:val="22"/>
        </w:rPr>
      </w:pPr>
      <w:r>
        <w:rPr>
          <w:rFonts w:ascii="Arial" w:hAnsi="Arial" w:cs="Arial"/>
          <w:noProof/>
          <w:sz w:val="22"/>
          <w:szCs w:val="22"/>
        </w:rPr>
        <w:drawing>
          <wp:inline distT="0" distB="0" distL="0" distR="0">
            <wp:extent cx="5495290" cy="6141720"/>
            <wp:effectExtent l="19050" t="0" r="0" b="0"/>
            <wp:docPr id="14" name="Picture 0" descr="Figure 6.23.  Ground Water Trends for Specific Conductance, 1999–2008.  This is a map of the state of Florida showing the statewide ground water specific conductanc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6.23.  Ground Water Trends for Specific Conductance, 1999–2008"/>
                    <pic:cNvPicPr>
                      <a:picLocks noChangeAspect="1" noChangeArrowheads="1"/>
                    </pic:cNvPicPr>
                  </pic:nvPicPr>
                  <pic:blipFill>
                    <a:blip r:embed="rId109"/>
                    <a:srcRect/>
                    <a:stretch>
                      <a:fillRect/>
                    </a:stretch>
                  </pic:blipFill>
                  <pic:spPr bwMode="auto">
                    <a:xfrm>
                      <a:off x="0" y="0"/>
                      <a:ext cx="5495290" cy="6141720"/>
                    </a:xfrm>
                    <a:prstGeom prst="rect">
                      <a:avLst/>
                    </a:prstGeom>
                    <a:noFill/>
                    <a:ln w="9525">
                      <a:noFill/>
                      <a:miter lim="800000"/>
                      <a:headEnd/>
                      <a:tailEnd/>
                    </a:ln>
                  </pic:spPr>
                </pic:pic>
              </a:graphicData>
            </a:graphic>
          </wp:inline>
        </w:drawing>
      </w:r>
    </w:p>
    <w:p w:rsidR="00485094" w:rsidRDefault="00485094" w:rsidP="00692F31">
      <w:pPr>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3 stations with a decreasing trend</w:t>
      </w:r>
      <w:r w:rsidRPr="00640A14">
        <w:t xml:space="preserve"> </w:t>
      </w:r>
      <w:r>
        <w:t xml:space="preserve">for specific conductance (SC).  </w:t>
      </w:r>
    </w:p>
    <w:p w:rsidR="00485094" w:rsidRDefault="00485094" w:rsidP="00692F31">
      <w:pPr>
        <w:pStyle w:val="ListBullet"/>
        <w:rPr>
          <w:b/>
        </w:rPr>
      </w:pPr>
      <w:r>
        <w:t>There were 12 stations with increasing trends in the unconfined aquifer wells and 6 stations with a decreasing trend</w:t>
      </w:r>
      <w:r w:rsidRPr="00F30D85">
        <w:t>.</w:t>
      </w:r>
    </w:p>
    <w:p w:rsidR="00485094" w:rsidRDefault="00485094" w:rsidP="00692F31">
      <w:pPr>
        <w:rPr>
          <w:rFonts w:ascii="Arial" w:hAnsi="Arial" w:cs="Arial"/>
          <w:sz w:val="22"/>
          <w:szCs w:val="22"/>
        </w:rPr>
      </w:pPr>
      <w:r>
        <w:rPr>
          <w:rFonts w:ascii="Arial" w:hAnsi="Arial" w:cs="Arial"/>
          <w:sz w:val="22"/>
          <w:szCs w:val="22"/>
        </w:rPr>
        <w:br w:type="page"/>
      </w:r>
    </w:p>
    <w:p w:rsidR="00485094" w:rsidRDefault="00485094" w:rsidP="00692F31">
      <w:pPr>
        <w:pStyle w:val="Caption"/>
      </w:pPr>
      <w:bookmarkStart w:id="505" w:name="_Toc262464317"/>
      <w:bookmarkStart w:id="506" w:name="_Toc271280169"/>
      <w:r w:rsidRPr="00F30D85">
        <w:lastRenderedPageBreak/>
        <w:t xml:space="preserve">Figure </w:t>
      </w:r>
      <w:r>
        <w:t>6.24.</w:t>
      </w:r>
      <w:r w:rsidRPr="00F30D85">
        <w:t xml:space="preserve">  </w:t>
      </w:r>
      <w:r>
        <w:t>Ground</w:t>
      </w:r>
      <w:r w:rsidRPr="00F30D85">
        <w:t xml:space="preserve"> </w:t>
      </w:r>
      <w:r>
        <w:t>W</w:t>
      </w:r>
      <w:r w:rsidRPr="00F30D85">
        <w:t xml:space="preserve">ater </w:t>
      </w:r>
      <w:r>
        <w:t>T</w:t>
      </w:r>
      <w:r w:rsidRPr="00F30D85">
        <w:t xml:space="preserve">rends for </w:t>
      </w:r>
      <w:r>
        <w:t>pH,</w:t>
      </w:r>
      <w:r w:rsidRPr="00F30D85">
        <w:t xml:space="preserve"> 1999</w:t>
      </w:r>
      <w:r>
        <w:t>–2008</w:t>
      </w:r>
      <w:bookmarkEnd w:id="505"/>
      <w:bookmarkEnd w:id="506"/>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5" name="Picture 3" descr="Figure 6.24.  Ground Water Trends for pH, 1999–2008.  This is a map of the state of Florida showing the statewide ground water pH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24.  Ground Water Trends for pH, 1999–2008"/>
                    <pic:cNvPicPr>
                      <a:picLocks noChangeAspect="1" noChangeArrowheads="1"/>
                    </pic:cNvPicPr>
                  </pic:nvPicPr>
                  <pic:blipFill>
                    <a:blip r:embed="rId110"/>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A001D8" w:rsidRDefault="00485094" w:rsidP="00692F31">
      <w:pPr>
        <w:pStyle w:val="ListBullet"/>
        <w:rPr>
          <w:b/>
        </w:rPr>
      </w:pPr>
      <w:r>
        <w:t>The trend</w:t>
      </w:r>
      <w:r w:rsidRPr="00F30D85">
        <w:t xml:space="preserve"> </w:t>
      </w:r>
      <w:r>
        <w:t>analysis for the confined aquifer wells reported none of the stations with an increasing trend and 9 stations with a decreasing trend for pH.</w:t>
      </w:r>
    </w:p>
    <w:p w:rsidR="00485094" w:rsidRDefault="00485094" w:rsidP="00692F31">
      <w:pPr>
        <w:pStyle w:val="ListBullet"/>
        <w:rPr>
          <w:b/>
        </w:rPr>
      </w:pPr>
      <w:r>
        <w:t>There were 2 stations with increasing trends in the unconfined aquifer wells and 5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07" w:name="_Toc262464318"/>
      <w:bookmarkStart w:id="508" w:name="_Toc271280170"/>
      <w:r w:rsidRPr="00F30D85">
        <w:lastRenderedPageBreak/>
        <w:t xml:space="preserve">Figure </w:t>
      </w:r>
      <w:r>
        <w:t>6.25.</w:t>
      </w:r>
      <w:r w:rsidRPr="00F30D85">
        <w:t xml:space="preserve">  </w:t>
      </w:r>
      <w:r>
        <w:t>Ground</w:t>
      </w:r>
      <w:r w:rsidRPr="00F30D85">
        <w:t xml:space="preserve"> </w:t>
      </w:r>
      <w:r>
        <w:t>W</w:t>
      </w:r>
      <w:r w:rsidRPr="00F30D85">
        <w:t xml:space="preserve">ater </w:t>
      </w:r>
      <w:r>
        <w:t>T</w:t>
      </w:r>
      <w:r w:rsidRPr="00F30D85">
        <w:t xml:space="preserve">rends for </w:t>
      </w:r>
      <w:r>
        <w:t>Depth to Water,</w:t>
      </w:r>
      <w:r w:rsidRPr="00F30D85">
        <w:t xml:space="preserve"> 1999</w:t>
      </w:r>
      <w:r>
        <w:t>–2008</w:t>
      </w:r>
      <w:bookmarkEnd w:id="507"/>
      <w:bookmarkEnd w:id="508"/>
    </w:p>
    <w:p w:rsidR="00485094" w:rsidRPr="00F847F0" w:rsidRDefault="00485094" w:rsidP="00692F31">
      <w:pPr>
        <w:ind w:left="720"/>
        <w:rPr>
          <w:rFonts w:ascii="Arial" w:hAnsi="Arial" w:cs="Arial"/>
          <w:sz w:val="18"/>
          <w:szCs w:val="18"/>
        </w:rPr>
      </w:pPr>
    </w:p>
    <w:p w:rsidR="00485094" w:rsidRDefault="001717CD" w:rsidP="00692F31">
      <w:pPr>
        <w:ind w:left="720"/>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16" name="Picture 4" descr="Figure 6.25.  Ground Water Trends for Depth to Water, 1999–2008.  This is a map of the state of Florida showing the statewide ground water depth to water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25.  Ground Water Trends for Depth to Water, 1999–2008 "/>
                    <pic:cNvPicPr>
                      <a:picLocks noChangeAspect="1" noChangeArrowheads="1"/>
                    </pic:cNvPicPr>
                  </pic:nvPicPr>
                  <pic:blipFill>
                    <a:blip r:embed="rId111"/>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
        <w:rPr>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rPr>
          <w:b/>
          <w:bCs/>
        </w:rPr>
      </w:pPr>
      <w:r>
        <w:t>The trend analysis for the confined aquifer wells reported 2 stations with an increasing trend and 2 stations with a decreasing trend for depth to water (water level [WL]).  Two stations did not have enough data to determine if a trend exists (ISD).  An increasing trend indicates the water level in the well is decreasing; a decreasing trend indicates the water level in the well is increasing.</w:t>
      </w:r>
    </w:p>
    <w:p w:rsidR="00485094" w:rsidRDefault="00485094" w:rsidP="00692F31">
      <w:pPr>
        <w:pStyle w:val="ListBullet"/>
      </w:pPr>
      <w:r>
        <w:t>There were 2 stations with an increasing trend in the unconfined aquifer wells and 4 stations with a decreasing trend.  One station did not have enough data to determine if a trend exists.</w:t>
      </w:r>
      <w:r w:rsidRPr="00D9080F">
        <w:rPr>
          <w:rFonts w:cs="Arial"/>
          <w:szCs w:val="22"/>
        </w:rPr>
        <w:br w:type="page"/>
      </w:r>
    </w:p>
    <w:p w:rsidR="00485094" w:rsidRDefault="00485094" w:rsidP="00692F31">
      <w:pPr>
        <w:pStyle w:val="Caption"/>
      </w:pPr>
      <w:bookmarkStart w:id="509" w:name="_Toc262464319"/>
      <w:bookmarkStart w:id="510" w:name="_Toc271280171"/>
      <w:r w:rsidRPr="00F30D85">
        <w:lastRenderedPageBreak/>
        <w:t xml:space="preserve">Figure </w:t>
      </w:r>
      <w:r>
        <w:t>6.26.</w:t>
      </w:r>
      <w:r w:rsidRPr="00F30D85">
        <w:t xml:space="preserve">  </w:t>
      </w:r>
      <w:r>
        <w:t>Ground</w:t>
      </w:r>
      <w:r w:rsidRPr="00F30D85">
        <w:t xml:space="preserve"> </w:t>
      </w:r>
      <w:r>
        <w:t>W</w:t>
      </w:r>
      <w:r w:rsidRPr="00F30D85">
        <w:t xml:space="preserve">ater </w:t>
      </w:r>
      <w:r>
        <w:t>T</w:t>
      </w:r>
      <w:r w:rsidRPr="00F30D85">
        <w:t xml:space="preserve">rends for </w:t>
      </w:r>
      <w:r>
        <w:t>Total Dissolved Solids,</w:t>
      </w:r>
      <w:r w:rsidRPr="00F30D85">
        <w:t xml:space="preserve"> 1999</w:t>
      </w:r>
      <w:r>
        <w:t>–2008</w:t>
      </w:r>
      <w:bookmarkEnd w:id="509"/>
      <w:bookmarkEnd w:id="510"/>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7" name="Picture 1" descr="Figure 6.26.  Ground Water Trends for Total Dissolved Solids, 1999–2008.  This is a map of the state of Florida showing the statewide ground water total dissolved solid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gure 6.26.  Ground Water Trends for Total Dissolved Solids, 1999–2008"/>
                    <pic:cNvPicPr>
                      <a:picLocks noChangeAspect="1" noChangeArrowheads="1"/>
                    </pic:cNvPicPr>
                  </pic:nvPicPr>
                  <pic:blipFill>
                    <a:blip r:embed="rId112"/>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b/>
        </w:rPr>
      </w:pPr>
      <w:r>
        <w:t>The trend</w:t>
      </w:r>
      <w:r w:rsidRPr="00F30D85">
        <w:t xml:space="preserve"> </w:t>
      </w:r>
      <w:r>
        <w:t xml:space="preserve">analysis for the confined aquifer wells reported none of the stations with an increasing trend and 2 stations with a decreasing trend for total dissolved solids (TDS).  </w:t>
      </w:r>
    </w:p>
    <w:p w:rsidR="00485094" w:rsidRPr="005D5FAC" w:rsidRDefault="00485094" w:rsidP="00692F31">
      <w:pPr>
        <w:pStyle w:val="ListBullet"/>
        <w:ind w:left="720"/>
        <w:rPr>
          <w:rFonts w:cs="Arial"/>
          <w:szCs w:val="22"/>
        </w:rPr>
      </w:pPr>
      <w:r>
        <w:t>There were 3 stations with an increasing trend in the unconfined aquifer wells and 2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11" w:name="_Toc262464320"/>
      <w:bookmarkStart w:id="512" w:name="_Toc271280172"/>
      <w:r w:rsidRPr="00F30D85">
        <w:lastRenderedPageBreak/>
        <w:t xml:space="preserve">Figure </w:t>
      </w:r>
      <w:r>
        <w:t>6.27.</w:t>
      </w:r>
      <w:r w:rsidRPr="00F30D85">
        <w:t xml:space="preserve">  </w:t>
      </w:r>
      <w:r>
        <w:t>Ground</w:t>
      </w:r>
      <w:r w:rsidRPr="00F30D85">
        <w:t xml:space="preserve"> </w:t>
      </w:r>
      <w:r>
        <w:t>W</w:t>
      </w:r>
      <w:r w:rsidRPr="00F30D85">
        <w:t xml:space="preserve">ater </w:t>
      </w:r>
      <w:r>
        <w:t>T</w:t>
      </w:r>
      <w:r w:rsidRPr="00F30D85">
        <w:t xml:space="preserve">rends for </w:t>
      </w:r>
      <w:r>
        <w:t>Nitrate + Nitrite,</w:t>
      </w:r>
      <w:r w:rsidRPr="00F30D85">
        <w:t xml:space="preserve"> 1999</w:t>
      </w:r>
      <w:r>
        <w:t>–2008</w:t>
      </w:r>
      <w:bookmarkEnd w:id="511"/>
      <w:bookmarkEnd w:id="512"/>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13680" cy="5943600"/>
            <wp:effectExtent l="19050" t="0" r="1270" b="0"/>
            <wp:docPr id="18" name="Picture 5" descr="Figure 6.27.  Ground Water Trends for Nitrate + Nitrite, 1999–2008.  This is a map of the state of Florida showing the statewide ground water nitrate plus nitri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27.  Ground Water Trends for Nitrate + Nitrite, 1999–2008"/>
                    <pic:cNvPicPr>
                      <a:picLocks noChangeAspect="1" noChangeArrowheads="1"/>
                    </pic:cNvPicPr>
                  </pic:nvPicPr>
                  <pic:blipFill>
                    <a:blip r:embed="rId113"/>
                    <a:srcRect/>
                    <a:stretch>
                      <a:fillRect/>
                    </a:stretch>
                  </pic:blipFill>
                  <pic:spPr bwMode="auto">
                    <a:xfrm>
                      <a:off x="0" y="0"/>
                      <a:ext cx="531368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none of the stations with an increasing or decreasing trend for nitrate + nitrite (N</w:t>
      </w:r>
      <w:r w:rsidR="003A5E2D">
        <w:t>O</w:t>
      </w:r>
      <w:r w:rsidR="003A5E2D" w:rsidRPr="003A5E2D">
        <w:rPr>
          <w:vertAlign w:val="subscript"/>
        </w:rPr>
        <w:t>X</w:t>
      </w:r>
      <w:r>
        <w:t>).</w:t>
      </w:r>
    </w:p>
    <w:p w:rsidR="00485094" w:rsidRDefault="00485094" w:rsidP="00692F31">
      <w:pPr>
        <w:pStyle w:val="ListBullet"/>
        <w:rPr>
          <w:b/>
        </w:rPr>
      </w:pPr>
      <w:r>
        <w:t>There were 4 stations with an increasing trend in the unconfined aquifer wells and 2 stations with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3" w:name="_Toc262464321"/>
      <w:bookmarkStart w:id="514" w:name="_Toc271280173"/>
      <w:r w:rsidRPr="00F30D85">
        <w:lastRenderedPageBreak/>
        <w:t xml:space="preserve">Figure </w:t>
      </w:r>
      <w:r>
        <w:t>6.28.</w:t>
      </w:r>
      <w:r w:rsidRPr="00F30D85">
        <w:t xml:space="preserve">  </w:t>
      </w:r>
      <w:r>
        <w:t>Ground</w:t>
      </w:r>
      <w:r w:rsidRPr="00F30D85">
        <w:t xml:space="preserve"> </w:t>
      </w:r>
      <w:r>
        <w:t>W</w:t>
      </w:r>
      <w:r w:rsidRPr="00F30D85">
        <w:t xml:space="preserve">ater </w:t>
      </w:r>
      <w:r>
        <w:t>T</w:t>
      </w:r>
      <w:r w:rsidRPr="00F30D85">
        <w:t xml:space="preserve">rends for </w:t>
      </w:r>
      <w:r>
        <w:t>Phosphorus,</w:t>
      </w:r>
      <w:r w:rsidRPr="00F30D85">
        <w:t xml:space="preserve"> 1999</w:t>
      </w:r>
      <w:r>
        <w:t>–2008</w:t>
      </w:r>
      <w:bookmarkEnd w:id="513"/>
      <w:bookmarkEnd w:id="514"/>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34710"/>
            <wp:effectExtent l="19050" t="0" r="0" b="0"/>
            <wp:docPr id="19" name="Picture 3" descr="Figure 6.28.  Ground Water Trends for Phosphorus, 1999–2008.  This is a map of the state of Florida showing the statewide ground water phosphorus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6.28.  Ground Water Trends for Phosphorus, 1999–2008"/>
                    <pic:cNvPicPr>
                      <a:picLocks noChangeAspect="1" noChangeArrowheads="1"/>
                    </pic:cNvPicPr>
                  </pic:nvPicPr>
                  <pic:blipFill>
                    <a:blip r:embed="rId114"/>
                    <a:srcRect/>
                    <a:stretch>
                      <a:fillRect/>
                    </a:stretch>
                  </pic:blipFill>
                  <pic:spPr bwMode="auto">
                    <a:xfrm>
                      <a:off x="0" y="0"/>
                      <a:ext cx="5322570" cy="593471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b/>
        </w:rPr>
      </w:pPr>
      <w:r>
        <w:t>The trend</w:t>
      </w:r>
      <w:r w:rsidRPr="00F30D85">
        <w:t xml:space="preserve"> </w:t>
      </w:r>
      <w:r>
        <w:t xml:space="preserve">analysis for the confined aquifer wells reported 1 station with an increasing trend and 1 station with a decreasing trend for phosphorus (P).  </w:t>
      </w:r>
    </w:p>
    <w:p w:rsidR="00485094" w:rsidRDefault="00485094" w:rsidP="00692F31">
      <w:pPr>
        <w:pStyle w:val="ListBullet"/>
        <w:rPr>
          <w:b/>
        </w:rPr>
      </w:pPr>
      <w:r>
        <w:t>There were 2 stations with an increasing trend in the unconfined aquifer wells and 4 stations with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5" w:name="_Toc262464322"/>
      <w:bookmarkStart w:id="516" w:name="_Toc271280174"/>
      <w:r w:rsidRPr="00F30D85">
        <w:lastRenderedPageBreak/>
        <w:t xml:space="preserve">Figure </w:t>
      </w:r>
      <w:r>
        <w:t>6.29.</w:t>
      </w:r>
      <w:r w:rsidRPr="00F30D85">
        <w:t xml:space="preserve">  </w:t>
      </w:r>
      <w:r>
        <w:t>Ground</w:t>
      </w:r>
      <w:r w:rsidRPr="00F30D85">
        <w:t xml:space="preserve"> </w:t>
      </w:r>
      <w:r>
        <w:t>W</w:t>
      </w:r>
      <w:r w:rsidRPr="00F30D85">
        <w:t xml:space="preserve">ater </w:t>
      </w:r>
      <w:r>
        <w:t>T</w:t>
      </w:r>
      <w:r w:rsidRPr="00F30D85">
        <w:t xml:space="preserve">rends for </w:t>
      </w:r>
      <w:r>
        <w:t>Potassium,</w:t>
      </w:r>
      <w:r w:rsidRPr="00F30D85">
        <w:t xml:space="preserve"> 1999</w:t>
      </w:r>
      <w:r>
        <w:t>–2008</w:t>
      </w:r>
      <w:bookmarkEnd w:id="515"/>
      <w:bookmarkEnd w:id="516"/>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20" name="Picture 4" descr="Figure 6.29.  Ground Water Trends for Potassium, 1999–2008.  This is a map of the state of Florida showing the statewide ground water potas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6.29.  Ground Water Trends for Potassium, 1999–2008"/>
                    <pic:cNvPicPr>
                      <a:picLocks noChangeAspect="1" noChangeArrowheads="1"/>
                    </pic:cNvPicPr>
                  </pic:nvPicPr>
                  <pic:blipFill>
                    <a:blip r:embed="rId115"/>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 xml:space="preserve">analysis for the confined aquifer wells reported 8 stations with increasing trends and 1 station with a decreasing trend for potassium (K).  </w:t>
      </w:r>
    </w:p>
    <w:p w:rsidR="00485094" w:rsidRDefault="00485094" w:rsidP="00692F31">
      <w:pPr>
        <w:pStyle w:val="ListBullet"/>
        <w:rPr>
          <w:b/>
        </w:rPr>
      </w:pPr>
      <w:r>
        <w:t>There were 4 stations with an increasing trend in the unconfined aquifer wells, and no stations had a decreasing trend</w:t>
      </w:r>
      <w:r w:rsidRPr="00F30D85">
        <w:t>.</w:t>
      </w:r>
    </w:p>
    <w:p w:rsidR="00485094" w:rsidRDefault="00485094" w:rsidP="00692F31">
      <w:pPr>
        <w:ind w:left="720"/>
        <w:rPr>
          <w:rFonts w:ascii="Arial" w:hAnsi="Arial" w:cs="Arial"/>
          <w:sz w:val="22"/>
          <w:szCs w:val="22"/>
        </w:rPr>
      </w:pPr>
    </w:p>
    <w:p w:rsidR="00485094" w:rsidRDefault="00485094" w:rsidP="00692F31">
      <w:pPr>
        <w:pStyle w:val="Bodytextreduced"/>
      </w:pPr>
      <w:r>
        <w:br w:type="page"/>
      </w:r>
    </w:p>
    <w:p w:rsidR="00485094" w:rsidRDefault="00485094" w:rsidP="00692F31">
      <w:pPr>
        <w:pStyle w:val="Caption"/>
      </w:pPr>
      <w:bookmarkStart w:id="517" w:name="_Toc262464323"/>
      <w:bookmarkStart w:id="518" w:name="_Toc271280175"/>
      <w:r w:rsidRPr="00F30D85">
        <w:lastRenderedPageBreak/>
        <w:t xml:space="preserve">Figure </w:t>
      </w:r>
      <w:r>
        <w:t>6.30.</w:t>
      </w:r>
      <w:r w:rsidRPr="00F30D85">
        <w:t xml:space="preserve">  </w:t>
      </w:r>
      <w:r>
        <w:t>Ground</w:t>
      </w:r>
      <w:r w:rsidRPr="00F30D85">
        <w:t xml:space="preserve"> </w:t>
      </w:r>
      <w:r>
        <w:t>W</w:t>
      </w:r>
      <w:r w:rsidRPr="00F30D85">
        <w:t xml:space="preserve">ater </w:t>
      </w:r>
      <w:r>
        <w:t>T</w:t>
      </w:r>
      <w:r w:rsidRPr="00F30D85">
        <w:t xml:space="preserve">rends for </w:t>
      </w:r>
      <w:r>
        <w:t>Sulfate,</w:t>
      </w:r>
      <w:r w:rsidRPr="00F30D85">
        <w:t xml:space="preserve"> 1999</w:t>
      </w:r>
      <w:r>
        <w:t>–2008</w:t>
      </w:r>
      <w:bookmarkEnd w:id="517"/>
      <w:bookmarkEnd w:id="518"/>
    </w:p>
    <w:p w:rsidR="00485094" w:rsidRPr="00F847F0" w:rsidRDefault="00485094" w:rsidP="00692F31">
      <w:pPr>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52490"/>
            <wp:effectExtent l="19050" t="0" r="0" b="0"/>
            <wp:docPr id="21" name="Picture 5" descr="Figure 6.30.  Ground Water Trends for Sulfate, 1999–2008.  This is a map of the state of Florida showing the statewide ground water sulfat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6.30.  Ground Water Trends for Sulfate, 1999–2008"/>
                    <pic:cNvPicPr>
                      <a:picLocks noChangeAspect="1" noChangeArrowheads="1"/>
                    </pic:cNvPicPr>
                  </pic:nvPicPr>
                  <pic:blipFill>
                    <a:blip r:embed="rId116"/>
                    <a:srcRect/>
                    <a:stretch>
                      <a:fillRect/>
                    </a:stretch>
                  </pic:blipFill>
                  <pic:spPr bwMode="auto">
                    <a:xfrm>
                      <a:off x="0" y="0"/>
                      <a:ext cx="5322570" cy="595249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3 stations with an increasing trend and none of the stations with a decreasing trend for sulfate (S</w:t>
      </w:r>
      <w:r w:rsidR="003A5E2D">
        <w:t>O</w:t>
      </w:r>
      <w:r w:rsidR="003A5E2D" w:rsidRPr="003A5E2D">
        <w:rPr>
          <w:vertAlign w:val="subscript"/>
        </w:rPr>
        <w:t>4</w:t>
      </w:r>
      <w:r>
        <w:t xml:space="preserve">).  </w:t>
      </w:r>
    </w:p>
    <w:p w:rsidR="00485094" w:rsidRDefault="00485094" w:rsidP="00692F31">
      <w:pPr>
        <w:pStyle w:val="ListBullet"/>
      </w:pPr>
      <w:r>
        <w:t>There were 4 stations with an increasing trend in the unconfined aquifer wells and 7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19" w:name="_Toc262464324"/>
      <w:bookmarkStart w:id="520" w:name="_Toc271280176"/>
      <w:r w:rsidRPr="00F30D85">
        <w:lastRenderedPageBreak/>
        <w:t xml:space="preserve">Figure </w:t>
      </w:r>
      <w:r>
        <w:t>6.31.</w:t>
      </w:r>
      <w:r w:rsidRPr="00F30D85">
        <w:t xml:space="preserve">  </w:t>
      </w:r>
      <w:r>
        <w:t>Ground</w:t>
      </w:r>
      <w:r w:rsidRPr="00F30D85">
        <w:t xml:space="preserve"> </w:t>
      </w:r>
      <w:r>
        <w:t>Water T</w:t>
      </w:r>
      <w:r w:rsidRPr="00F30D85">
        <w:t xml:space="preserve">rends for </w:t>
      </w:r>
      <w:r>
        <w:t>Sodium,</w:t>
      </w:r>
      <w:r w:rsidRPr="00F30D85">
        <w:t xml:space="preserve"> 1999</w:t>
      </w:r>
      <w:r>
        <w:t>–2008</w:t>
      </w:r>
      <w:bookmarkEnd w:id="519"/>
      <w:bookmarkEnd w:id="520"/>
    </w:p>
    <w:p w:rsidR="00485094" w:rsidRPr="00F847F0" w:rsidRDefault="00485094" w:rsidP="00692F31">
      <w:pPr>
        <w:ind w:left="720"/>
        <w:rPr>
          <w:rFonts w:ascii="Arial" w:hAnsi="Arial" w:cs="Arial"/>
          <w:sz w:val="18"/>
          <w:szCs w:val="18"/>
        </w:rPr>
      </w:pPr>
    </w:p>
    <w:p w:rsidR="00485094" w:rsidRDefault="001717CD" w:rsidP="00692F31">
      <w:pPr>
        <w:ind w:left="720"/>
        <w:jc w:val="center"/>
        <w:rPr>
          <w:rFonts w:ascii="Arial" w:hAnsi="Arial" w:cs="Arial"/>
          <w:sz w:val="22"/>
          <w:szCs w:val="22"/>
        </w:rPr>
      </w:pPr>
      <w:r>
        <w:rPr>
          <w:rFonts w:ascii="Arial" w:hAnsi="Arial" w:cs="Arial"/>
          <w:noProof/>
          <w:sz w:val="22"/>
          <w:szCs w:val="22"/>
        </w:rPr>
        <w:drawing>
          <wp:inline distT="0" distB="0" distL="0" distR="0">
            <wp:extent cx="5322570" cy="5943600"/>
            <wp:effectExtent l="19050" t="0" r="0" b="0"/>
            <wp:docPr id="22" name="Picture 6" descr="Figure 6.31.  Ground Water Trends for Sodium, 1999–2008.  This is a map of the state of Florida showing the statewide ground water sod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31.  Ground Water Trends for Sodium, 1999–2008"/>
                    <pic:cNvPicPr>
                      <a:picLocks noChangeAspect="1" noChangeArrowheads="1"/>
                    </pic:cNvPicPr>
                  </pic:nvPicPr>
                  <pic:blipFill>
                    <a:blip r:embed="rId117"/>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ind w:left="720"/>
        <w:rPr>
          <w:rFonts w:ascii="Arial" w:hAnsi="Arial" w:cs="Arial"/>
          <w:sz w:val="22"/>
          <w:szCs w:val="22"/>
        </w:rPr>
      </w:pPr>
    </w:p>
    <w:p w:rsidR="00485094" w:rsidRDefault="00485094" w:rsidP="00692F31">
      <w:pPr>
        <w:ind w:left="720"/>
        <w:rPr>
          <w:rFonts w:ascii="Arial" w:hAnsi="Arial" w:cs="Arial"/>
          <w:sz w:val="22"/>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w:t>
      </w:r>
      <w:r w:rsidRPr="00F30D85">
        <w:t xml:space="preserve">rend </w:t>
      </w:r>
      <w:r>
        <w:t>analysis for the confined aquifer wells reported 5 stations with an increasing trend and none of the stations with a decreasing trend for sodium (N</w:t>
      </w:r>
      <w:r w:rsidR="003A5E2D">
        <w:t>a</w:t>
      </w:r>
      <w:r>
        <w:t xml:space="preserve">).  </w:t>
      </w:r>
    </w:p>
    <w:p w:rsidR="00485094" w:rsidRDefault="00485094" w:rsidP="00692F31">
      <w:pPr>
        <w:pStyle w:val="ListBullet"/>
      </w:pPr>
      <w:r>
        <w:t>There were 7 stations with an increasing trend in the unconfined aquifer wells and 6 stations with a decreasing trend</w:t>
      </w:r>
      <w:r w:rsidRPr="00F30D85">
        <w:t>.</w:t>
      </w:r>
    </w:p>
    <w:p w:rsidR="00485094" w:rsidRDefault="00485094" w:rsidP="00692F31">
      <w:pPr>
        <w:pStyle w:val="Bodytextreduced"/>
      </w:pPr>
      <w:r>
        <w:br w:type="page"/>
      </w:r>
    </w:p>
    <w:p w:rsidR="00485094" w:rsidRDefault="00485094" w:rsidP="00692F31">
      <w:pPr>
        <w:pStyle w:val="Caption"/>
      </w:pPr>
      <w:bookmarkStart w:id="521" w:name="_Toc262464325"/>
      <w:bookmarkStart w:id="522" w:name="_Toc271280177"/>
      <w:r w:rsidRPr="00F30D85">
        <w:lastRenderedPageBreak/>
        <w:t xml:space="preserve">Figure </w:t>
      </w:r>
      <w:r>
        <w:t>6.32.</w:t>
      </w:r>
      <w:r w:rsidRPr="00F30D85">
        <w:t xml:space="preserve">  </w:t>
      </w:r>
      <w:r>
        <w:t>Ground</w:t>
      </w:r>
      <w:r w:rsidRPr="00F30D85">
        <w:t xml:space="preserve"> </w:t>
      </w:r>
      <w:r>
        <w:t>Water T</w:t>
      </w:r>
      <w:r w:rsidRPr="00F30D85">
        <w:t xml:space="preserve">rends for </w:t>
      </w:r>
      <w:r>
        <w:t>Chloride,</w:t>
      </w:r>
      <w:r w:rsidRPr="00F30D85">
        <w:t xml:space="preserve"> 1999</w:t>
      </w:r>
      <w:r>
        <w:t>–2008</w:t>
      </w:r>
      <w:bookmarkEnd w:id="521"/>
      <w:bookmarkEnd w:id="522"/>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3" name="Picture 6" descr="Figure 6.32.  Ground Water Trends for Chloride, 1999–2008.  This is a map of the state of Florida showing the statewide ground water chloride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6.32.  Ground Water Trends for Chloride, 1999–2008"/>
                    <pic:cNvPicPr>
                      <a:picLocks noChangeAspect="1" noChangeArrowheads="1"/>
                    </pic:cNvPicPr>
                  </pic:nvPicPr>
                  <pic:blipFill>
                    <a:blip r:embed="rId118"/>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w:t>
      </w:r>
      <w:r w:rsidRPr="00F30D85">
        <w:t xml:space="preserve">rend </w:t>
      </w:r>
      <w:r>
        <w:t>analysis for the confined aquifer wells reported 9 stations with an increasing trend and 1 station with a decreasing trend for chloride (</w:t>
      </w:r>
      <w:proofErr w:type="spellStart"/>
      <w:r>
        <w:t>C</w:t>
      </w:r>
      <w:r w:rsidR="003A5E2D">
        <w:t>l</w:t>
      </w:r>
      <w:proofErr w:type="spellEnd"/>
      <w:r>
        <w:t>).</w:t>
      </w:r>
    </w:p>
    <w:p w:rsidR="00485094" w:rsidRDefault="00485094" w:rsidP="00692F31">
      <w:pPr>
        <w:pStyle w:val="ListBullet"/>
        <w:rPr>
          <w:b/>
        </w:rPr>
      </w:pPr>
      <w:r>
        <w:t>There were 7 stations with an increasing trend in the unconfined aquifer wells and 4 stations with a decreasing trend</w:t>
      </w:r>
      <w:r w:rsidRPr="00F30D85">
        <w:t>.</w:t>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r>
        <w:rPr>
          <w:rFonts w:cs="Arial"/>
          <w:b/>
          <w:szCs w:val="22"/>
        </w:rPr>
        <w:br w:type="page"/>
      </w:r>
    </w:p>
    <w:p w:rsidR="00485094" w:rsidRDefault="00485094" w:rsidP="00692F31">
      <w:pPr>
        <w:pStyle w:val="Caption"/>
      </w:pPr>
      <w:bookmarkStart w:id="523" w:name="_Toc262464326"/>
      <w:bookmarkStart w:id="524" w:name="_Toc271280178"/>
      <w:r w:rsidRPr="00F30D85">
        <w:lastRenderedPageBreak/>
        <w:t xml:space="preserve">Figure </w:t>
      </w:r>
      <w:r>
        <w:t>6.33.</w:t>
      </w:r>
      <w:r w:rsidRPr="00F30D85">
        <w:t xml:space="preserve">  </w:t>
      </w:r>
      <w:r>
        <w:t>Ground</w:t>
      </w:r>
      <w:r w:rsidRPr="00F30D85">
        <w:t xml:space="preserve"> </w:t>
      </w:r>
      <w:r>
        <w:t>W</w:t>
      </w:r>
      <w:r w:rsidRPr="00F30D85">
        <w:t xml:space="preserve">ater </w:t>
      </w:r>
      <w:r>
        <w:t>T</w:t>
      </w:r>
      <w:r w:rsidRPr="00F30D85">
        <w:t xml:space="preserve">rends for </w:t>
      </w:r>
      <w:r>
        <w:t>Calcium,</w:t>
      </w:r>
      <w:r w:rsidRPr="00F30D85">
        <w:t xml:space="preserve"> 1999</w:t>
      </w:r>
      <w:r>
        <w:t>–2008</w:t>
      </w:r>
      <w:bookmarkEnd w:id="523"/>
      <w:bookmarkEnd w:id="524"/>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4" name="Picture 7" descr="Figure 6.33.  Ground Water Trends for Calcium, 1999–2008.  This is a map of the state of Florida showing the statewide ground water calc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igure 6.33.  Ground Water Trends for Calcium, 1999–2008"/>
                    <pic:cNvPicPr>
                      <a:picLocks noChangeAspect="1" noChangeArrowheads="1"/>
                    </pic:cNvPicPr>
                  </pic:nvPicPr>
                  <pic:blipFill>
                    <a:blip r:embed="rId119"/>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5D5FAC" w:rsidRDefault="00485094" w:rsidP="00692F31">
      <w:pPr>
        <w:pStyle w:val="ListBullet"/>
        <w:rPr>
          <w:szCs w:val="22"/>
        </w:rPr>
      </w:pPr>
      <w:r>
        <w:rPr>
          <w:szCs w:val="22"/>
        </w:rPr>
        <w:t>The trend</w:t>
      </w:r>
      <w:r w:rsidRPr="005D5FAC">
        <w:rPr>
          <w:szCs w:val="22"/>
        </w:rPr>
        <w:t xml:space="preserve"> analysis for the confined aquifer wells reported </w:t>
      </w:r>
      <w:r>
        <w:rPr>
          <w:szCs w:val="22"/>
        </w:rPr>
        <w:t>3</w:t>
      </w:r>
      <w:r w:rsidRPr="005D5FAC">
        <w:rPr>
          <w:szCs w:val="22"/>
        </w:rPr>
        <w:t xml:space="preserve"> stations with an increasing trend and none of the stations with a decr</w:t>
      </w:r>
      <w:r w:rsidRPr="005D5FAC">
        <w:t>easing trend for calcium (C</w:t>
      </w:r>
      <w:r w:rsidR="003A5E2D">
        <w:t>a</w:t>
      </w:r>
      <w:r w:rsidRPr="005D5FAC">
        <w:t>).</w:t>
      </w:r>
    </w:p>
    <w:p w:rsidR="00485094" w:rsidRPr="005D5FAC" w:rsidRDefault="00485094" w:rsidP="00692F31">
      <w:pPr>
        <w:pStyle w:val="ListBullet"/>
        <w:rPr>
          <w:szCs w:val="22"/>
        </w:rPr>
      </w:pPr>
      <w:r w:rsidRPr="005D5FAC">
        <w:rPr>
          <w:szCs w:val="22"/>
        </w:rPr>
        <w:t xml:space="preserve">There were </w:t>
      </w:r>
      <w:r>
        <w:rPr>
          <w:szCs w:val="22"/>
        </w:rPr>
        <w:t xml:space="preserve">7 </w:t>
      </w:r>
      <w:r w:rsidRPr="005D5FAC">
        <w:rPr>
          <w:szCs w:val="22"/>
        </w:rPr>
        <w:t xml:space="preserve">stations with </w:t>
      </w:r>
      <w:r>
        <w:rPr>
          <w:szCs w:val="22"/>
        </w:rPr>
        <w:t xml:space="preserve">an </w:t>
      </w:r>
      <w:r w:rsidRPr="005D5FAC">
        <w:rPr>
          <w:szCs w:val="22"/>
        </w:rPr>
        <w:t xml:space="preserve">increasing trend in the unconfined aquifer </w:t>
      </w:r>
      <w:r>
        <w:rPr>
          <w:szCs w:val="22"/>
        </w:rPr>
        <w:t xml:space="preserve">wells </w:t>
      </w:r>
      <w:r w:rsidRPr="005D5FAC">
        <w:rPr>
          <w:szCs w:val="22"/>
        </w:rPr>
        <w:t>and no</w:t>
      </w:r>
      <w:r>
        <w:rPr>
          <w:szCs w:val="22"/>
        </w:rPr>
        <w:t>ne of the</w:t>
      </w:r>
      <w:r w:rsidRPr="005D5FAC">
        <w:rPr>
          <w:szCs w:val="22"/>
        </w:rPr>
        <w:t xml:space="preserve"> stations with a decreasing trend.</w:t>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szCs w:val="22"/>
        </w:rPr>
      </w:pPr>
      <w:r>
        <w:rPr>
          <w:rFonts w:cs="Arial"/>
          <w:b/>
          <w:szCs w:val="22"/>
        </w:rPr>
        <w:br w:type="page"/>
      </w:r>
    </w:p>
    <w:p w:rsidR="00485094" w:rsidRDefault="00485094" w:rsidP="00692F31">
      <w:pPr>
        <w:pStyle w:val="Caption"/>
      </w:pPr>
      <w:bookmarkStart w:id="525" w:name="_Toc262464327"/>
      <w:bookmarkStart w:id="526" w:name="_Toc271280179"/>
      <w:r w:rsidRPr="00F30D85">
        <w:lastRenderedPageBreak/>
        <w:t xml:space="preserve">Figure </w:t>
      </w:r>
      <w:r>
        <w:t>6.34.</w:t>
      </w:r>
      <w:r w:rsidRPr="00F30D85">
        <w:t xml:space="preserve">  </w:t>
      </w:r>
      <w:r>
        <w:t>Ground</w:t>
      </w:r>
      <w:r w:rsidRPr="00F30D85">
        <w:t xml:space="preserve"> </w:t>
      </w:r>
      <w:r>
        <w:t>Water T</w:t>
      </w:r>
      <w:r w:rsidRPr="00F30D85">
        <w:t xml:space="preserve">rends for </w:t>
      </w:r>
      <w:r>
        <w:t>Magnesium,</w:t>
      </w:r>
      <w:r w:rsidRPr="00F30D85">
        <w:t xml:space="preserve"> 1999</w:t>
      </w:r>
      <w:r>
        <w:t>–2008</w:t>
      </w:r>
      <w:bookmarkEnd w:id="525"/>
      <w:bookmarkEnd w:id="526"/>
    </w:p>
    <w:p w:rsidR="00485094" w:rsidRDefault="00485094" w:rsidP="00692F31">
      <w:pPr>
        <w:pStyle w:val="BodyText2"/>
        <w:ind w:left="720" w:right="1440"/>
        <w:jc w:val="both"/>
        <w:rPr>
          <w:rFonts w:cs="Arial"/>
          <w:b/>
          <w:szCs w:val="22"/>
        </w:rPr>
      </w:pPr>
    </w:p>
    <w:p w:rsidR="00485094" w:rsidRDefault="001717CD" w:rsidP="00692F31">
      <w:pPr>
        <w:pStyle w:val="BodyText2"/>
        <w:ind w:left="720" w:right="1440"/>
        <w:jc w:val="center"/>
        <w:rPr>
          <w:rFonts w:cs="Arial"/>
          <w:b/>
          <w:szCs w:val="22"/>
        </w:rPr>
      </w:pPr>
      <w:r>
        <w:rPr>
          <w:rFonts w:cs="Arial"/>
          <w:b/>
          <w:noProof/>
          <w:szCs w:val="22"/>
        </w:rPr>
        <w:drawing>
          <wp:inline distT="0" distB="0" distL="0" distR="0">
            <wp:extent cx="5322570" cy="5943600"/>
            <wp:effectExtent l="19050" t="0" r="0" b="0"/>
            <wp:docPr id="25" name="Picture 9" descr="Figure 6.34.  Ground Water Trends for Magnesium, 1999–2008.  This is a map of the state of Florida showing the statewide ground water magnesiu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34.  Ground Water Trends for Magnesium, 1999–2008"/>
                    <pic:cNvPicPr>
                      <a:picLocks noChangeAspect="1" noChangeArrowheads="1"/>
                    </pic:cNvPicPr>
                  </pic:nvPicPr>
                  <pic:blipFill>
                    <a:blip r:embed="rId120"/>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left="720" w:right="1440"/>
        <w:jc w:val="both"/>
        <w:rPr>
          <w:rFonts w:cs="Arial"/>
          <w:b/>
          <w:szCs w:val="22"/>
        </w:rPr>
      </w:pPr>
    </w:p>
    <w:p w:rsidR="00485094" w:rsidRDefault="00485094" w:rsidP="00692F31">
      <w:pPr>
        <w:pStyle w:val="BodyText2"/>
        <w:ind w:left="720"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analysis for the confined aquifer wells reported 5 stations with an increasing trend and no stations with a decreasing trend for magnesium (M</w:t>
      </w:r>
      <w:r w:rsidR="003A5E2D">
        <w:t>g</w:t>
      </w:r>
      <w:r>
        <w:t xml:space="preserve">).  </w:t>
      </w:r>
    </w:p>
    <w:p w:rsidR="00485094" w:rsidRDefault="00485094" w:rsidP="00692F31">
      <w:pPr>
        <w:pStyle w:val="ListBullet"/>
        <w:rPr>
          <w:b/>
        </w:rPr>
      </w:pPr>
      <w:r>
        <w:t xml:space="preserve">There were 10 stations with an increasing trend in the unconfined aquifer </w:t>
      </w:r>
      <w:r>
        <w:rPr>
          <w:szCs w:val="22"/>
        </w:rPr>
        <w:t xml:space="preserve">wells </w:t>
      </w:r>
      <w:r>
        <w:t>and 2 stations with a decreasing trend</w:t>
      </w:r>
      <w:r w:rsidRPr="00F30D85">
        <w:t>.</w:t>
      </w:r>
    </w:p>
    <w:p w:rsidR="00485094" w:rsidRDefault="00485094" w:rsidP="00692F31">
      <w:pPr>
        <w:pStyle w:val="BodyText2"/>
        <w:ind w:left="720" w:right="1440"/>
        <w:jc w:val="both"/>
        <w:rPr>
          <w:rFonts w:cs="Arial"/>
          <w:b/>
          <w:szCs w:val="22"/>
        </w:rPr>
      </w:pPr>
    </w:p>
    <w:p w:rsidR="00485094" w:rsidRPr="00BA565D" w:rsidRDefault="00485094" w:rsidP="00692F31">
      <w:pPr>
        <w:pStyle w:val="Bodytextreduced"/>
      </w:pPr>
      <w:r>
        <w:rPr>
          <w:b/>
        </w:rPr>
        <w:br w:type="page"/>
      </w:r>
    </w:p>
    <w:p w:rsidR="00485094" w:rsidRDefault="00485094" w:rsidP="00692F31">
      <w:pPr>
        <w:pStyle w:val="Caption"/>
      </w:pPr>
      <w:bookmarkStart w:id="527" w:name="_Toc262464328"/>
      <w:bookmarkStart w:id="528" w:name="_Toc271280180"/>
      <w:r w:rsidRPr="00F30D85">
        <w:lastRenderedPageBreak/>
        <w:t xml:space="preserve">Figure </w:t>
      </w:r>
      <w:r>
        <w:t>6.35.</w:t>
      </w:r>
      <w:r w:rsidRPr="00F30D85">
        <w:t xml:space="preserve">  </w:t>
      </w:r>
      <w:r>
        <w:t>Ground</w:t>
      </w:r>
      <w:r w:rsidRPr="00F30D85">
        <w:t xml:space="preserve"> </w:t>
      </w:r>
      <w:r>
        <w:t>W</w:t>
      </w:r>
      <w:r w:rsidRPr="00F30D85">
        <w:t xml:space="preserve">ater </w:t>
      </w:r>
      <w:r>
        <w:t>T</w:t>
      </w:r>
      <w:r w:rsidRPr="00F30D85">
        <w:t xml:space="preserve">rends for </w:t>
      </w:r>
      <w:r>
        <w:t>Alkalinity,</w:t>
      </w:r>
      <w:r w:rsidRPr="00F30D85">
        <w:t xml:space="preserve"> 1999</w:t>
      </w:r>
      <w:r>
        <w:rPr>
          <w:rFonts w:ascii="Times New Roman" w:hAnsi="Times New Roman"/>
        </w:rPr>
        <w:t>–</w:t>
      </w:r>
      <w:r>
        <w:t>2008</w:t>
      </w:r>
      <w:bookmarkEnd w:id="527"/>
      <w:bookmarkEnd w:id="528"/>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05425" cy="5943600"/>
            <wp:effectExtent l="19050" t="0" r="9525" b="0"/>
            <wp:docPr id="26" name="Picture 11" descr="Figure 6.35.  Ground Water Trends for Alkalinity, 1999–2008.  This is a map of the state of Florida showing the statewide ground water alkalinity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6.35.  Ground Water Trends for Alkalinity, 1999–2008"/>
                    <pic:cNvPicPr>
                      <a:picLocks noChangeAspect="1" noChangeArrowheads="1"/>
                    </pic:cNvPicPr>
                  </pic:nvPicPr>
                  <pic:blipFill>
                    <a:blip r:embed="rId121"/>
                    <a:srcRect/>
                    <a:stretch>
                      <a:fillRect/>
                    </a:stretch>
                  </pic:blipFill>
                  <pic:spPr bwMode="auto">
                    <a:xfrm>
                      <a:off x="0" y="0"/>
                      <a:ext cx="5305425"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Default="00485094" w:rsidP="00692F31">
      <w:pPr>
        <w:pStyle w:val="ListBullet"/>
      </w:pPr>
      <w:r>
        <w:t>The trend</w:t>
      </w:r>
      <w:r w:rsidRPr="00F30D85">
        <w:t xml:space="preserve"> </w:t>
      </w:r>
      <w:r>
        <w:t xml:space="preserve">analysis for the confined aquifer wells reported 4 stations with an increasing trend and 1 station with a decreasing trend for alkalinity (ALK).  </w:t>
      </w:r>
    </w:p>
    <w:p w:rsidR="00485094" w:rsidRDefault="00485094" w:rsidP="00692F31">
      <w:pPr>
        <w:pStyle w:val="ListBullet"/>
        <w:rPr>
          <w:b/>
        </w:rPr>
      </w:pPr>
      <w:r>
        <w:t>There were 8 stations with an increasing trend in the unconfined aquifer wells and 2 stations with a decreasing trend</w:t>
      </w:r>
      <w:r w:rsidRPr="00F30D85">
        <w:t>.</w:t>
      </w:r>
    </w:p>
    <w:p w:rsidR="00485094" w:rsidRDefault="00485094" w:rsidP="00692F31">
      <w:pPr>
        <w:pStyle w:val="BodyText2"/>
        <w:ind w:right="1440"/>
        <w:jc w:val="both"/>
        <w:rPr>
          <w:rFonts w:cs="Arial"/>
          <w:b/>
          <w:szCs w:val="22"/>
        </w:rPr>
      </w:pPr>
    </w:p>
    <w:p w:rsidR="00485094" w:rsidRPr="00BA565D" w:rsidRDefault="00485094" w:rsidP="00692F31">
      <w:pPr>
        <w:pStyle w:val="Bodytextreduced"/>
      </w:pPr>
      <w:r>
        <w:rPr>
          <w:b/>
        </w:rPr>
        <w:br w:type="page"/>
      </w:r>
    </w:p>
    <w:p w:rsidR="00485094" w:rsidRDefault="00485094" w:rsidP="00692F31">
      <w:pPr>
        <w:pStyle w:val="Caption"/>
      </w:pPr>
      <w:bookmarkStart w:id="529" w:name="_Toc262464329"/>
      <w:bookmarkStart w:id="530" w:name="_Toc271280181"/>
      <w:r w:rsidRPr="00F30D85">
        <w:lastRenderedPageBreak/>
        <w:t xml:space="preserve">Figure </w:t>
      </w:r>
      <w:r>
        <w:t>6.36.</w:t>
      </w:r>
      <w:r w:rsidRPr="00F30D85">
        <w:t xml:space="preserve">  </w:t>
      </w:r>
      <w:r>
        <w:t>Ground</w:t>
      </w:r>
      <w:r w:rsidRPr="00F30D85">
        <w:t xml:space="preserve"> </w:t>
      </w:r>
      <w:r>
        <w:t>Water T</w:t>
      </w:r>
      <w:r w:rsidRPr="00F30D85">
        <w:t xml:space="preserve">rends for </w:t>
      </w:r>
      <w:r>
        <w:t>Total Coliform,</w:t>
      </w:r>
      <w:r w:rsidRPr="00F30D85">
        <w:t xml:space="preserve"> 1999</w:t>
      </w:r>
      <w:r>
        <w:t>–2008</w:t>
      </w:r>
      <w:bookmarkEnd w:id="529"/>
      <w:bookmarkEnd w:id="530"/>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22570" cy="5943600"/>
            <wp:effectExtent l="19050" t="0" r="0" b="0"/>
            <wp:docPr id="27" name="Picture 8" descr="Figure 6.36.  Ground Water Trends for Total Coliform, 1999–2008.  This is a map of the state of Florida showing the statewide ground water tot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Figure 6.36.  Ground Water Trends for Total Coliform, 1999–2008"/>
                    <pic:cNvPicPr>
                      <a:picLocks noChangeAspect="1" noChangeArrowheads="1"/>
                    </pic:cNvPicPr>
                  </pic:nvPicPr>
                  <pic:blipFill>
                    <a:blip r:embed="rId122"/>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BA565D" w:rsidRDefault="00485094" w:rsidP="00692F31">
      <w:pPr>
        <w:pStyle w:val="ListBullet"/>
        <w:rPr>
          <w:b/>
        </w:rPr>
      </w:pPr>
      <w:r>
        <w:t>The trend</w:t>
      </w:r>
      <w:r w:rsidRPr="00F30D85">
        <w:t xml:space="preserve"> </w:t>
      </w:r>
      <w:r>
        <w:t xml:space="preserve">analysis for the confined aquifer wells reported 2 stations with an increasing trend and none of the stations with a decreasing trend for total coliform (TC).  </w:t>
      </w:r>
    </w:p>
    <w:p w:rsidR="00485094" w:rsidRDefault="00485094" w:rsidP="00692F31">
      <w:pPr>
        <w:pStyle w:val="ListBullet"/>
        <w:rPr>
          <w:b/>
        </w:rPr>
      </w:pPr>
      <w:r>
        <w:t>There were 5 stations with an increasing trend in the unconfined aquifer wells and none of the stations with a decreasing trend</w:t>
      </w:r>
      <w:r w:rsidRPr="00F30D85">
        <w:t>.</w:t>
      </w:r>
    </w:p>
    <w:p w:rsidR="00485094" w:rsidRDefault="00485094" w:rsidP="00692F31">
      <w:pPr>
        <w:pStyle w:val="BodyText2"/>
        <w:ind w:right="1440"/>
        <w:jc w:val="both"/>
        <w:rPr>
          <w:rFonts w:cs="Arial"/>
          <w:b/>
          <w:szCs w:val="22"/>
        </w:rPr>
      </w:pPr>
    </w:p>
    <w:p w:rsidR="00485094" w:rsidRDefault="00485094" w:rsidP="00692F31">
      <w:pPr>
        <w:pStyle w:val="Bodytextreduced"/>
      </w:pPr>
      <w:r>
        <w:br w:type="page"/>
      </w:r>
    </w:p>
    <w:p w:rsidR="00485094" w:rsidRDefault="00485094" w:rsidP="00692F31">
      <w:pPr>
        <w:pStyle w:val="Caption"/>
      </w:pPr>
      <w:bookmarkStart w:id="531" w:name="_Toc262464330"/>
      <w:bookmarkStart w:id="532" w:name="_Toc271280182"/>
      <w:r w:rsidRPr="00F30D85">
        <w:lastRenderedPageBreak/>
        <w:t xml:space="preserve">Figure </w:t>
      </w:r>
      <w:r>
        <w:t>6.37.</w:t>
      </w:r>
      <w:r w:rsidRPr="00F30D85">
        <w:t xml:space="preserve">  </w:t>
      </w:r>
      <w:r>
        <w:t>Ground</w:t>
      </w:r>
      <w:r w:rsidRPr="00F30D85">
        <w:t xml:space="preserve"> </w:t>
      </w:r>
      <w:r>
        <w:t>Water T</w:t>
      </w:r>
      <w:r w:rsidRPr="00F30D85">
        <w:t xml:space="preserve">rends for </w:t>
      </w:r>
      <w:r>
        <w:t xml:space="preserve">Fecal Coliform, </w:t>
      </w:r>
      <w:r w:rsidRPr="00F30D85">
        <w:t>1999</w:t>
      </w:r>
      <w:r>
        <w:t>–2008</w:t>
      </w:r>
      <w:bookmarkEnd w:id="531"/>
      <w:bookmarkEnd w:id="532"/>
    </w:p>
    <w:p w:rsidR="00485094" w:rsidRDefault="00485094" w:rsidP="00692F31">
      <w:pPr>
        <w:pStyle w:val="BodyText2"/>
        <w:ind w:right="1440"/>
        <w:jc w:val="both"/>
        <w:rPr>
          <w:rFonts w:cs="Arial"/>
          <w:b/>
          <w:szCs w:val="22"/>
        </w:rPr>
      </w:pPr>
    </w:p>
    <w:p w:rsidR="00485094" w:rsidRDefault="001717CD" w:rsidP="00692F31">
      <w:pPr>
        <w:pStyle w:val="BodyText2"/>
        <w:ind w:right="1440"/>
        <w:jc w:val="center"/>
        <w:rPr>
          <w:rFonts w:cs="Arial"/>
          <w:b/>
          <w:szCs w:val="22"/>
        </w:rPr>
      </w:pPr>
      <w:r>
        <w:rPr>
          <w:rFonts w:cs="Arial"/>
          <w:b/>
          <w:noProof/>
          <w:szCs w:val="22"/>
        </w:rPr>
        <w:drawing>
          <wp:inline distT="0" distB="0" distL="0" distR="0">
            <wp:extent cx="5322570" cy="5943600"/>
            <wp:effectExtent l="19050" t="0" r="0" b="0"/>
            <wp:docPr id="28" name="Picture 9" descr="Figure 6.37.  Ground Water Trends for Fecal Coliform, 1999–2008.  This is a map of the state of Florida showing the statewide ground water fecal coliform trend results as up arrows for increasing trends, down arrows for decreasing trends or dots where no trend exis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igure 6.37.  Ground Water Trends for Fecal Coliform, 1999–2008"/>
                    <pic:cNvPicPr>
                      <a:picLocks noChangeAspect="1" noChangeArrowheads="1"/>
                    </pic:cNvPicPr>
                  </pic:nvPicPr>
                  <pic:blipFill>
                    <a:blip r:embed="rId123"/>
                    <a:srcRect/>
                    <a:stretch>
                      <a:fillRect/>
                    </a:stretch>
                  </pic:blipFill>
                  <pic:spPr bwMode="auto">
                    <a:xfrm>
                      <a:off x="0" y="0"/>
                      <a:ext cx="5322570" cy="5943600"/>
                    </a:xfrm>
                    <a:prstGeom prst="rect">
                      <a:avLst/>
                    </a:prstGeom>
                    <a:noFill/>
                    <a:ln w="9525">
                      <a:noFill/>
                      <a:miter lim="800000"/>
                      <a:headEnd/>
                      <a:tailEnd/>
                    </a:ln>
                  </pic:spPr>
                </pic:pic>
              </a:graphicData>
            </a:graphic>
          </wp:inline>
        </w:drawing>
      </w:r>
    </w:p>
    <w:p w:rsidR="00485094" w:rsidRDefault="00485094" w:rsidP="00692F31">
      <w:pPr>
        <w:pStyle w:val="BodyText2"/>
        <w:ind w:right="1440"/>
        <w:jc w:val="both"/>
        <w:rPr>
          <w:rFonts w:cs="Arial"/>
          <w:b/>
          <w:szCs w:val="22"/>
        </w:rPr>
      </w:pPr>
    </w:p>
    <w:p w:rsidR="00485094" w:rsidRDefault="00485094" w:rsidP="00692F31">
      <w:pPr>
        <w:pStyle w:val="BodyText2"/>
        <w:ind w:right="1440"/>
        <w:jc w:val="both"/>
        <w:rPr>
          <w:rFonts w:cs="Arial"/>
          <w:b/>
          <w:szCs w:val="22"/>
        </w:rPr>
      </w:pPr>
    </w:p>
    <w:p w:rsidR="00485094" w:rsidRPr="00A001D8" w:rsidRDefault="00485094" w:rsidP="00692F31">
      <w:pPr>
        <w:pStyle w:val="Bodytext"/>
        <w:rPr>
          <w:b/>
          <w:szCs w:val="22"/>
        </w:rPr>
      </w:pPr>
      <w:r w:rsidRPr="00A001D8">
        <w:rPr>
          <w:b/>
          <w:szCs w:val="22"/>
        </w:rPr>
        <w:t>Highlights:</w:t>
      </w:r>
    </w:p>
    <w:p w:rsidR="00485094" w:rsidRDefault="00485094" w:rsidP="00692F31">
      <w:pPr>
        <w:pStyle w:val="Bodytextreduced"/>
      </w:pPr>
    </w:p>
    <w:p w:rsidR="00485094" w:rsidRPr="00BA565D" w:rsidRDefault="00485094" w:rsidP="00692F31">
      <w:pPr>
        <w:pStyle w:val="ListBullet"/>
        <w:rPr>
          <w:b/>
        </w:rPr>
      </w:pPr>
      <w:r>
        <w:t>The trend</w:t>
      </w:r>
      <w:r w:rsidRPr="00F30D85">
        <w:t xml:space="preserve"> </w:t>
      </w:r>
      <w:r>
        <w:t xml:space="preserve">analysis for the confined aquifer wells reported 3 stations with an increasing trend and none of the stations with a decreasing trend for fecal coliform (FC).  </w:t>
      </w:r>
    </w:p>
    <w:p w:rsidR="00485094" w:rsidRDefault="00485094" w:rsidP="00692F31">
      <w:pPr>
        <w:pStyle w:val="ListBullet"/>
        <w:rPr>
          <w:b/>
        </w:rPr>
      </w:pPr>
      <w:r>
        <w:t>There were 3 stations with an increasing trend in the unconfined aquifer wells and none of the stations with a decreasing trend</w:t>
      </w:r>
      <w:r w:rsidRPr="00F30D85">
        <w:t>.</w:t>
      </w:r>
    </w:p>
    <w:bookmarkEnd w:id="492"/>
    <w:p w:rsidR="00485094" w:rsidRDefault="00485094" w:rsidP="00692F31">
      <w:pPr>
        <w:pStyle w:val="BodyText2"/>
        <w:ind w:right="1440"/>
        <w:jc w:val="both"/>
      </w:pPr>
    </w:p>
    <w:p w:rsidR="00485094" w:rsidRDefault="00485094" w:rsidP="00692F31">
      <w:pPr>
        <w:pStyle w:val="Bodytextreduced"/>
      </w:pPr>
      <w:r>
        <w:br w:type="page"/>
      </w:r>
    </w:p>
    <w:p w:rsidR="00FC6EE0" w:rsidRDefault="00FC6EE0" w:rsidP="00FC6EE0">
      <w:pPr>
        <w:pStyle w:val="Bodytextreduced"/>
      </w:pPr>
      <w:bookmarkStart w:id="533" w:name="_Chapter_7.__1"/>
      <w:bookmarkEnd w:id="533"/>
    </w:p>
    <w:p w:rsidR="00485094" w:rsidRDefault="00485094" w:rsidP="00E0259A">
      <w:pPr>
        <w:pStyle w:val="Heading1"/>
      </w:pPr>
      <w:bookmarkStart w:id="534" w:name="_Toc271794351"/>
      <w:r>
        <w:t xml:space="preserve">Chapter 7.  Introduction to Strategic Monitoring </w:t>
      </w:r>
      <w:bookmarkEnd w:id="469"/>
      <w:r>
        <w:t>and assessment</w:t>
      </w:r>
      <w:bookmarkEnd w:id="534"/>
    </w:p>
    <w:p w:rsidR="00485094" w:rsidRDefault="00485094" w:rsidP="00923878"/>
    <w:p w:rsidR="00485094" w:rsidRDefault="00485094" w:rsidP="004449BF">
      <w:pPr>
        <w:pStyle w:val="Heading2"/>
      </w:pPr>
      <w:bookmarkStart w:id="535" w:name="_Toc254269884"/>
      <w:bookmarkStart w:id="536" w:name="_Toc255822539"/>
      <w:bookmarkStart w:id="537" w:name="_Toc271794352"/>
      <w:r>
        <w:t>Approach to the Comprehensive Assessment:  Sections 305(b) and 303(d)</w:t>
      </w:r>
      <w:bookmarkEnd w:id="535"/>
      <w:bookmarkEnd w:id="536"/>
      <w:bookmarkEnd w:id="537"/>
    </w:p>
    <w:p w:rsidR="00485094" w:rsidRDefault="00485094" w:rsidP="005F5866">
      <w:pPr>
        <w:pStyle w:val="Bodytext"/>
        <w:rPr>
          <w:color w:val="000000"/>
          <w:szCs w:val="22"/>
        </w:rPr>
      </w:pPr>
      <w:r w:rsidRPr="003A021B">
        <w:t xml:space="preserve">The EPA has requested that the states merge their reporting requirements under the </w:t>
      </w:r>
      <w:r>
        <w:t>CWA</w:t>
      </w:r>
      <w:r w:rsidRPr="003A021B">
        <w:t xml:space="preserve"> for Section 305(b) surface water quality reports and Section 303(d) lists of impaired waters into an Integrated Water Quality Monitoring and Assessment Report (Wayland, 2001).  </w:t>
      </w:r>
      <w:r w:rsidRPr="003A021B">
        <w:rPr>
          <w:color w:val="000000"/>
          <w:szCs w:val="22"/>
        </w:rPr>
        <w:t xml:space="preserve">Following the EPA’s guidance, </w:t>
      </w:r>
      <w:r>
        <w:rPr>
          <w:color w:val="000000"/>
          <w:szCs w:val="22"/>
        </w:rPr>
        <w:t>FDEP</w:t>
      </w:r>
      <w:r w:rsidRPr="003A021B">
        <w:rPr>
          <w:color w:val="000000"/>
          <w:szCs w:val="22"/>
        </w:rPr>
        <w:t xml:space="preserve"> delineated waterbodies or waterbody segments in each basin, assessed them for impairment based on individual parameters, and then placed </w:t>
      </w:r>
      <w:r>
        <w:rPr>
          <w:color w:val="000000"/>
          <w:szCs w:val="22"/>
        </w:rPr>
        <w:t>each assessment</w:t>
      </w:r>
      <w:r w:rsidRPr="003A021B">
        <w:rPr>
          <w:color w:val="000000"/>
          <w:szCs w:val="22"/>
        </w:rPr>
        <w:t xml:space="preserve"> into one of five major assessment categories and subcategories.  These categories provide information on a waterbody’s status based on water quality, sufficiency of data, and the need for </w:t>
      </w:r>
      <w:r w:rsidRPr="00213E18">
        <w:rPr>
          <w:color w:val="000000"/>
          <w:szCs w:val="22"/>
        </w:rPr>
        <w:t xml:space="preserve">TMDL development </w:t>
      </w:r>
      <w:r w:rsidRPr="00213E18">
        <w:rPr>
          <w:i/>
          <w:color w:val="000000"/>
          <w:szCs w:val="22"/>
        </w:rPr>
        <w:t>(</w:t>
      </w:r>
      <w:r w:rsidRPr="00213E18">
        <w:rPr>
          <w:b/>
          <w:i/>
          <w:color w:val="000000"/>
          <w:szCs w:val="22"/>
        </w:rPr>
        <w:t>Table 7.1</w:t>
      </w:r>
      <w:r w:rsidRPr="00213E18">
        <w:rPr>
          <w:i/>
          <w:color w:val="000000"/>
          <w:szCs w:val="22"/>
        </w:rPr>
        <w:t>).</w:t>
      </w:r>
      <w:r w:rsidRPr="00213E18">
        <w:rPr>
          <w:color w:val="000000"/>
          <w:szCs w:val="22"/>
        </w:rPr>
        <w:t xml:space="preserve">  </w:t>
      </w:r>
    </w:p>
    <w:p w:rsidR="00485094" w:rsidRDefault="00485094" w:rsidP="005F5866">
      <w:pPr>
        <w:pStyle w:val="Bodytext"/>
        <w:rPr>
          <w:color w:val="000000"/>
          <w:szCs w:val="22"/>
        </w:rPr>
      </w:pPr>
    </w:p>
    <w:p w:rsidR="00485094" w:rsidRPr="00B106AA" w:rsidRDefault="00485094" w:rsidP="005F5866">
      <w:pPr>
        <w:pStyle w:val="Bodytext"/>
        <w:rPr>
          <w:color w:val="000000"/>
          <w:szCs w:val="22"/>
        </w:rPr>
      </w:pPr>
      <w:r w:rsidRPr="00213E18">
        <w:rPr>
          <w:color w:val="000000"/>
          <w:szCs w:val="22"/>
        </w:rPr>
        <w:t>The EPA allows states to develop individual subcategories to</w:t>
      </w:r>
      <w:r>
        <w:rPr>
          <w:color w:val="000000"/>
          <w:szCs w:val="22"/>
        </w:rPr>
        <w:t xml:space="preserve"> fit a unique or specialized set of circumstances.  These subcategories must be consistent with the purpose of the more general category and must be approved by the EPA during its review of each state’s methodology for developing lists of impaired waters.  In addition, EPA requires that states describe the categories and subcategories it applies to the public.  In Florida, these procedures are clearly presented during the development of each year’s group of impaired waters lists.  </w:t>
      </w:r>
    </w:p>
    <w:p w:rsidR="00485094" w:rsidRDefault="00485094" w:rsidP="005F5866">
      <w:pPr>
        <w:pStyle w:val="BodyText0"/>
        <w:rPr>
          <w:color w:val="000000"/>
        </w:rPr>
      </w:pPr>
    </w:p>
    <w:p w:rsidR="00485094" w:rsidRPr="003A021B" w:rsidRDefault="00485094" w:rsidP="000D304A">
      <w:pPr>
        <w:pStyle w:val="BodyText0"/>
        <w:rPr>
          <w:sz w:val="22"/>
          <w:szCs w:val="22"/>
        </w:rPr>
      </w:pPr>
      <w:r w:rsidRPr="003A021B">
        <w:rPr>
          <w:sz w:val="22"/>
          <w:szCs w:val="22"/>
        </w:rPr>
        <w:t xml:space="preserve">The primary purpose of the assessments for the </w:t>
      </w:r>
      <w:hyperlink r:id="rId124" w:history="1">
        <w:r w:rsidRPr="00FA7EAD">
          <w:rPr>
            <w:rStyle w:val="Hyperlink"/>
            <w:sz w:val="22"/>
            <w:szCs w:val="22"/>
          </w:rPr>
          <w:t>Watershed Assessment Program</w:t>
        </w:r>
      </w:hyperlink>
      <w:r>
        <w:rPr>
          <w:sz w:val="22"/>
          <w:szCs w:val="22"/>
        </w:rPr>
        <w:t xml:space="preserve"> and </w:t>
      </w:r>
      <w:hyperlink r:id="rId125" w:history="1">
        <w:r w:rsidRPr="00FA7EAD">
          <w:rPr>
            <w:rStyle w:val="Hyperlink"/>
            <w:sz w:val="22"/>
            <w:szCs w:val="22"/>
          </w:rPr>
          <w:t>TMDL Program</w:t>
        </w:r>
      </w:hyperlink>
      <w:r w:rsidRPr="003A021B">
        <w:rPr>
          <w:sz w:val="22"/>
          <w:szCs w:val="22"/>
        </w:rPr>
        <w:t xml:space="preserve"> is to determine if waterbodies or waterbody segments </w:t>
      </w:r>
      <w:r>
        <w:rPr>
          <w:sz w:val="22"/>
          <w:szCs w:val="22"/>
        </w:rPr>
        <w:t>should</w:t>
      </w:r>
      <w:r w:rsidRPr="003A021B">
        <w:rPr>
          <w:sz w:val="22"/>
          <w:szCs w:val="22"/>
        </w:rPr>
        <w:t xml:space="preserve"> be placed on the Verified List of impaired waterbodies.  The listings are made in accordance with evaluation thresholds and data sufficiency and data quality requirements in the IWR (</w:t>
      </w:r>
      <w:r>
        <w:rPr>
          <w:sz w:val="22"/>
          <w:szCs w:val="22"/>
        </w:rPr>
        <w:t>Chapter</w:t>
      </w:r>
      <w:r w:rsidRPr="003A021B">
        <w:rPr>
          <w:sz w:val="22"/>
          <w:szCs w:val="22"/>
        </w:rPr>
        <w:t xml:space="preserve"> 62-303, F.A.C.).  The results of the assessment are used to identify waters in each basin for which TMDLs will be developed.</w:t>
      </w:r>
    </w:p>
    <w:p w:rsidR="00485094" w:rsidRPr="003A021B" w:rsidRDefault="00485094" w:rsidP="000D304A">
      <w:pPr>
        <w:pStyle w:val="BodyText0"/>
        <w:rPr>
          <w:color w:val="000000"/>
          <w:sz w:val="22"/>
          <w:szCs w:val="22"/>
        </w:rPr>
      </w:pPr>
    </w:p>
    <w:p w:rsidR="00485094" w:rsidRPr="003A021B" w:rsidRDefault="00485094" w:rsidP="000D304A">
      <w:pPr>
        <w:pStyle w:val="BodyText0"/>
        <w:rPr>
          <w:color w:val="000000"/>
          <w:sz w:val="22"/>
          <w:szCs w:val="22"/>
        </w:rPr>
      </w:pPr>
      <w:r w:rsidRPr="003A021B">
        <w:rPr>
          <w:color w:val="000000"/>
          <w:sz w:val="22"/>
          <w:szCs w:val="22"/>
        </w:rPr>
        <w:t xml:space="preserve">Determining impairment in individual waterbodies takes place in two phases.  First, in each river basin FDEP evaluates the existing water quality data, using the methodology prescribed in the IWR, to determine whether waters are potentially impaired.  </w:t>
      </w:r>
      <w:r w:rsidRPr="003A021B">
        <w:rPr>
          <w:sz w:val="22"/>
          <w:szCs w:val="22"/>
        </w:rPr>
        <w:t xml:space="preserve">Waters found to be potentially impaired </w:t>
      </w:r>
      <w:r w:rsidRPr="003A021B">
        <w:rPr>
          <w:color w:val="000000"/>
          <w:sz w:val="22"/>
          <w:szCs w:val="22"/>
        </w:rPr>
        <w:t xml:space="preserve">are included on a </w:t>
      </w:r>
      <w:r w:rsidRPr="003A021B">
        <w:rPr>
          <w:i/>
          <w:color w:val="000000"/>
          <w:sz w:val="22"/>
          <w:szCs w:val="22"/>
        </w:rPr>
        <w:t>Planning List</w:t>
      </w:r>
      <w:r w:rsidRPr="003A021B">
        <w:rPr>
          <w:color w:val="000000"/>
          <w:sz w:val="22"/>
          <w:szCs w:val="22"/>
        </w:rPr>
        <w:t xml:space="preserve"> for further assessment under Subsections 403.067(2) and (3), F.S.  As required by Subsection 403.067(2), F.S., the Planning List is </w:t>
      </w:r>
      <w:r>
        <w:rPr>
          <w:color w:val="000000"/>
          <w:sz w:val="22"/>
          <w:szCs w:val="22"/>
        </w:rPr>
        <w:t xml:space="preserve">included as part of the master list, but it is </w:t>
      </w:r>
      <w:r w:rsidRPr="003A021B">
        <w:rPr>
          <w:color w:val="000000"/>
          <w:sz w:val="22"/>
          <w:szCs w:val="22"/>
        </w:rPr>
        <w:t>not used to administer or implement any regulatory program</w:t>
      </w:r>
      <w:r>
        <w:rPr>
          <w:color w:val="000000"/>
          <w:sz w:val="22"/>
          <w:szCs w:val="22"/>
        </w:rPr>
        <w:t xml:space="preserve"> and is submitted to the EPA for informational purposes only.</w:t>
      </w:r>
    </w:p>
    <w:p w:rsidR="00485094" w:rsidRPr="003A021B" w:rsidRDefault="00485094" w:rsidP="000D304A">
      <w:pPr>
        <w:pStyle w:val="BodyText0"/>
        <w:rPr>
          <w:color w:val="000000"/>
          <w:sz w:val="22"/>
          <w:szCs w:val="22"/>
        </w:rPr>
      </w:pPr>
    </w:p>
    <w:p w:rsidR="00485094" w:rsidRPr="003A021B" w:rsidRDefault="00485094" w:rsidP="000D304A">
      <w:pPr>
        <w:pStyle w:val="BodyText0"/>
        <w:rPr>
          <w:color w:val="000000"/>
          <w:sz w:val="22"/>
          <w:szCs w:val="22"/>
        </w:rPr>
      </w:pPr>
      <w:r w:rsidRPr="003A021B">
        <w:rPr>
          <w:color w:val="000000"/>
          <w:sz w:val="22"/>
          <w:szCs w:val="22"/>
        </w:rPr>
        <w:t>The second step is to assess waters on the Planning List under Subsection 403.067(3), F.S., as part of FDEP’s watershed management approach.  FDEP carries out additional data gathering and strategic monitoring, focusing on these potentially impaired waters, and determines—using the methodology in the IWR—if a waterbody is, in fact, impaired and if the impairment is caused by pollutant discharges.</w:t>
      </w:r>
    </w:p>
    <w:p w:rsidR="00485094" w:rsidRPr="005F26C1" w:rsidRDefault="00485094" w:rsidP="000D304A">
      <w:pPr>
        <w:pStyle w:val="Bodytextreduced"/>
      </w:pPr>
      <w:r>
        <w:br w:type="page"/>
      </w:r>
    </w:p>
    <w:p w:rsidR="00485094" w:rsidRDefault="00485094" w:rsidP="005F5866">
      <w:pPr>
        <w:pStyle w:val="Tableheading"/>
      </w:pPr>
      <w:bookmarkStart w:id="538" w:name="_Toc254267130"/>
      <w:bookmarkStart w:id="539" w:name="_Toc255807505"/>
      <w:bookmarkStart w:id="540" w:name="_Toc271889858"/>
      <w:r w:rsidRPr="005F26C1">
        <w:lastRenderedPageBreak/>
        <w:t xml:space="preserve">Table </w:t>
      </w:r>
      <w:r>
        <w:t>7.1.</w:t>
      </w:r>
      <w:r w:rsidRPr="005F26C1">
        <w:t xml:space="preserve">  Categories for Waterbodies or Waterbody Segments in the 20</w:t>
      </w:r>
      <w:r>
        <w:t xml:space="preserve">10 </w:t>
      </w:r>
      <w:r w:rsidRPr="005F26C1">
        <w:t>Integrated Report</w:t>
      </w:r>
      <w:bookmarkEnd w:id="538"/>
      <w:bookmarkEnd w:id="539"/>
      <w:bookmarkEnd w:id="540"/>
    </w:p>
    <w:p w:rsidR="00485094" w:rsidRDefault="00485094" w:rsidP="00FE4395">
      <w:pPr>
        <w:pStyle w:val="TabledescriptionBF"/>
      </w:pPr>
      <w:r>
        <w:t>This is a three-column table.  Column 1 lists the waterbody categories, Column 2 provides a description, and Column 3 provides comments.</w:t>
      </w:r>
    </w:p>
    <w:p w:rsidR="00485094" w:rsidRPr="00FE4395" w:rsidRDefault="00485094" w:rsidP="00FE4395">
      <w:pPr>
        <w:pStyle w:val="Bodytextreduced"/>
        <w:rPr>
          <w:szCs w:val="16"/>
        </w:rPr>
      </w:pPr>
    </w:p>
    <w:p w:rsidR="00485094" w:rsidRPr="00FE4395" w:rsidRDefault="00485094" w:rsidP="00FE4395">
      <w:pPr>
        <w:pStyle w:val="Bodytextreduced"/>
        <w:rPr>
          <w:szCs w:val="16"/>
        </w:rPr>
      </w:pPr>
      <w:r w:rsidRPr="00FE4395">
        <w:rPr>
          <w:b/>
          <w:szCs w:val="16"/>
        </w:rPr>
        <w:t>Note:</w:t>
      </w:r>
      <w:r w:rsidRPr="00FE4395">
        <w:rPr>
          <w:szCs w:val="16"/>
        </w:rPr>
        <w:t xml:space="preserve">  The descriptions in this table are consistent with the EPA’s integrated assessment categories.  In the </w:t>
      </w:r>
      <w:r>
        <w:rPr>
          <w:szCs w:val="16"/>
        </w:rPr>
        <w:t>Basin</w:t>
      </w:r>
      <w:r w:rsidRPr="00FE4395">
        <w:rPr>
          <w:szCs w:val="16"/>
        </w:rPr>
        <w:t xml:space="preserve"> Status Reports for Groups 1 through 3 and in the Water Quality Assessment Reports for Groups 1 through 2 that were previously produced, Categories 4b and 4c were reversed.  That is, the description of Category 4b was previously listed as Category 4c, and the description of Category 4c was listed as Category 4b.</w:t>
      </w:r>
    </w:p>
    <w:p w:rsidR="00485094" w:rsidRPr="00FE4395" w:rsidRDefault="00485094" w:rsidP="00FE4395">
      <w:pPr>
        <w:pStyle w:val="Bodytextreduced"/>
        <w:rPr>
          <w:szCs w:val="16"/>
        </w:rPr>
      </w:pPr>
    </w:p>
    <w:p w:rsidR="00485094" w:rsidRPr="00FE4395" w:rsidRDefault="00485094" w:rsidP="00FE4395">
      <w:pPr>
        <w:pStyle w:val="Bodytextreduced"/>
        <w:rPr>
          <w:szCs w:val="22"/>
        </w:rPr>
      </w:pPr>
      <w:r w:rsidRPr="00FE4395">
        <w:rPr>
          <w:szCs w:val="16"/>
        </w:rPr>
        <w:t>Waterbodies that are verified impaired due to specified pollutants, and therefore require a TMDL, are listed under Category 5 in the Integrated Report; waterbodies with water quality impairments due to other causes, or unknown causes, are listed under Category 4c.  Although TMDLs are not established for Category 4c waterbodies, these waterbodies still may be addressed through a watershed management program (for example, the Kissimmee River restoration).</w:t>
      </w:r>
    </w:p>
    <w:p w:rsidR="00485094" w:rsidRPr="00FE4395" w:rsidRDefault="00485094" w:rsidP="00FE4395">
      <w:pPr>
        <w:pStyle w:val="Bodytextreduced"/>
      </w:pPr>
    </w:p>
    <w:p w:rsidR="00485094" w:rsidRPr="00FE4395" w:rsidRDefault="00485094" w:rsidP="00FE4395">
      <w:pPr>
        <w:pStyle w:val="Bodytextreduced"/>
        <w:rPr>
          <w:szCs w:val="16"/>
        </w:rPr>
      </w:pPr>
      <w:r w:rsidRPr="00FE4395">
        <w:rPr>
          <w:szCs w:val="16"/>
          <w:vertAlign w:val="superscript"/>
        </w:rPr>
        <w:t>1</w:t>
      </w:r>
      <w:r w:rsidRPr="00FE4395">
        <w:rPr>
          <w:szCs w:val="16"/>
        </w:rPr>
        <w:t xml:space="preserve"> For purposes of the TMDL Program, pollutants are chemical and biological constituents, introduced by humans into a waterbody, that may result in pollution (water quality impairment).  There are other causes of pollution, such as the physical alteration of a waterbody (for example, canals, dams, and ditches).  However, TMDLs are established only for impairments caused by pollutants (a TMDL quantifies how much of a given pollutant a waterbody can receive and still meet its designated uses).</w:t>
      </w:r>
    </w:p>
    <w:p w:rsidR="00485094" w:rsidRPr="00FE4395" w:rsidRDefault="00485094" w:rsidP="00FE4395">
      <w:pPr>
        <w:pStyle w:val="Bodytextreduced"/>
        <w:rPr>
          <w:szCs w:val="16"/>
        </w:rPr>
      </w:pPr>
    </w:p>
    <w:tbl>
      <w:tblPr>
        <w:tblW w:w="100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76"/>
        <w:gridCol w:w="3841"/>
        <w:gridCol w:w="5096"/>
      </w:tblGrid>
      <w:tr w:rsidR="00485094" w:rsidRPr="0054245F" w:rsidTr="00E86B70">
        <w:trPr>
          <w:trHeight w:val="350"/>
          <w:tblHeader/>
          <w:jc w:val="center"/>
        </w:trPr>
        <w:tc>
          <w:tcPr>
            <w:tcW w:w="1076"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Category</w:t>
            </w:r>
          </w:p>
        </w:tc>
        <w:tc>
          <w:tcPr>
            <w:tcW w:w="3841"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Description</w:t>
            </w:r>
          </w:p>
        </w:tc>
        <w:tc>
          <w:tcPr>
            <w:tcW w:w="5096"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Comments</w:t>
            </w:r>
          </w:p>
        </w:tc>
      </w:tr>
      <w:tr w:rsidR="00485094" w:rsidTr="00E86B70">
        <w:trPr>
          <w:jc w:val="center"/>
        </w:trPr>
        <w:tc>
          <w:tcPr>
            <w:tcW w:w="1076" w:type="dxa"/>
            <w:tcBorders>
              <w:top w:val="double" w:sz="4" w:space="0" w:color="auto"/>
            </w:tcBorders>
            <w:shd w:val="clear" w:color="auto" w:fill="FFFFCC"/>
            <w:vAlign w:val="center"/>
          </w:tcPr>
          <w:p w:rsidR="00485094" w:rsidRDefault="00485094" w:rsidP="005F5866">
            <w:pPr>
              <w:pStyle w:val="TableText"/>
              <w:jc w:val="center"/>
            </w:pPr>
            <w:r>
              <w:t>1</w:t>
            </w:r>
          </w:p>
        </w:tc>
        <w:tc>
          <w:tcPr>
            <w:tcW w:w="3841" w:type="dxa"/>
            <w:tcBorders>
              <w:top w:val="double" w:sz="4" w:space="0" w:color="auto"/>
            </w:tcBorders>
            <w:vAlign w:val="center"/>
          </w:tcPr>
          <w:p w:rsidR="00485094" w:rsidRDefault="00485094" w:rsidP="005F5866">
            <w:pPr>
              <w:pStyle w:val="TableText"/>
            </w:pPr>
            <w:r>
              <w:t>Attaining all designated uses</w:t>
            </w:r>
          </w:p>
        </w:tc>
        <w:tc>
          <w:tcPr>
            <w:tcW w:w="5096" w:type="dxa"/>
            <w:tcBorders>
              <w:top w:val="double" w:sz="4" w:space="0" w:color="auto"/>
            </w:tcBorders>
            <w:vAlign w:val="center"/>
          </w:tcPr>
          <w:p w:rsidR="00485094" w:rsidRDefault="00485094" w:rsidP="005F5866">
            <w:pPr>
              <w:pStyle w:val="TableText"/>
            </w:pPr>
            <w:r>
              <w:t>If use attainment is verified for a waterbody or segment that was previously listed as impaired, FDEP will propose that it be delisted.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2</w:t>
            </w:r>
          </w:p>
        </w:tc>
        <w:tc>
          <w:tcPr>
            <w:tcW w:w="3841" w:type="dxa"/>
            <w:vAlign w:val="center"/>
          </w:tcPr>
          <w:p w:rsidR="00485094" w:rsidRDefault="00485094" w:rsidP="005F5866">
            <w:pPr>
              <w:pStyle w:val="TableText"/>
            </w:pPr>
            <w:r>
              <w:t>Attaining some designated uses and insufficient or no information or data are present to determine if remaining uses are attained</w:t>
            </w:r>
          </w:p>
        </w:tc>
        <w:tc>
          <w:tcPr>
            <w:tcW w:w="5096" w:type="dxa"/>
            <w:vAlign w:val="center"/>
          </w:tcPr>
          <w:p w:rsidR="00485094" w:rsidRDefault="00485094" w:rsidP="005F5866">
            <w:pPr>
              <w:pStyle w:val="TableText"/>
            </w:pPr>
            <w:r>
              <w:t>If attainment is verified for some designated uses of a waterbody or segment, FDEP will propose partial delisting for the uses attained.  Future monitoring will be recommended to determine if remaining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3a</w:t>
            </w:r>
          </w:p>
        </w:tc>
        <w:tc>
          <w:tcPr>
            <w:tcW w:w="3841" w:type="dxa"/>
            <w:vAlign w:val="center"/>
          </w:tcPr>
          <w:p w:rsidR="00485094" w:rsidRDefault="00485094" w:rsidP="005F5866">
            <w:pPr>
              <w:pStyle w:val="TableText"/>
            </w:pPr>
            <w:r>
              <w:t>No data and information are present to determine if any designated use is attained</w:t>
            </w:r>
          </w:p>
        </w:tc>
        <w:tc>
          <w:tcPr>
            <w:tcW w:w="5096" w:type="dxa"/>
            <w:vAlign w:val="center"/>
          </w:tcPr>
          <w:p w:rsidR="00485094" w:rsidRDefault="00485094" w:rsidP="005F5866">
            <w:pPr>
              <w:pStyle w:val="TableText"/>
            </w:pPr>
            <w:r>
              <w:t>Future monitoring will be recommended to determine if designated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3b</w:t>
            </w:r>
          </w:p>
        </w:tc>
        <w:tc>
          <w:tcPr>
            <w:tcW w:w="3841" w:type="dxa"/>
            <w:vAlign w:val="center"/>
          </w:tcPr>
          <w:p w:rsidR="00485094" w:rsidRDefault="00485094" w:rsidP="005F5866">
            <w:pPr>
              <w:pStyle w:val="TableText"/>
            </w:pPr>
            <w:r>
              <w:t>Some data and information are present but not enough to determine if any designated use is attained</w:t>
            </w:r>
          </w:p>
        </w:tc>
        <w:tc>
          <w:tcPr>
            <w:tcW w:w="5096" w:type="dxa"/>
            <w:vAlign w:val="center"/>
          </w:tcPr>
          <w:p w:rsidR="00485094" w:rsidRDefault="00485094" w:rsidP="005F5866">
            <w:pPr>
              <w:pStyle w:val="TableText"/>
            </w:pPr>
            <w:r>
              <w:t>Future monitoring will be recommended to gather sufficient information and data to determine if designated uses are attained.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3c</w:t>
            </w:r>
          </w:p>
        </w:tc>
        <w:tc>
          <w:tcPr>
            <w:tcW w:w="3841" w:type="dxa"/>
            <w:vAlign w:val="center"/>
          </w:tcPr>
          <w:p w:rsidR="00485094" w:rsidRPr="00BD7EA0" w:rsidRDefault="00485094" w:rsidP="005F5866">
            <w:pPr>
              <w:rPr>
                <w:rFonts w:ascii="Arial" w:hAnsi="Arial"/>
                <w:sz w:val="18"/>
              </w:rPr>
            </w:pPr>
            <w:r w:rsidRPr="00BD7EA0">
              <w:rPr>
                <w:rStyle w:val="EndnoteReference"/>
                <w:rFonts w:ascii="Arial" w:hAnsi="Arial"/>
                <w:sz w:val="18"/>
                <w:vertAlign w:val="baseline"/>
              </w:rPr>
              <w:t xml:space="preserve">Enough data and information </w:t>
            </w:r>
            <w:r w:rsidRPr="00BD7EA0">
              <w:rPr>
                <w:rFonts w:ascii="Arial" w:hAnsi="Arial"/>
                <w:sz w:val="18"/>
              </w:rPr>
              <w:t xml:space="preserve">are present </w:t>
            </w:r>
            <w:r w:rsidRPr="00BD7EA0">
              <w:rPr>
                <w:rStyle w:val="EndnoteReference"/>
                <w:rFonts w:ascii="Arial" w:hAnsi="Arial"/>
                <w:sz w:val="18"/>
                <w:vertAlign w:val="baseline"/>
              </w:rPr>
              <w:t xml:space="preserve">to determine </w:t>
            </w:r>
            <w:r w:rsidRPr="00BD7EA0">
              <w:rPr>
                <w:rFonts w:ascii="Arial" w:hAnsi="Arial"/>
                <w:sz w:val="18"/>
              </w:rPr>
              <w:t>that one or more</w:t>
            </w:r>
            <w:r w:rsidRPr="00BD7EA0">
              <w:rPr>
                <w:rStyle w:val="EndnoteReference"/>
                <w:rFonts w:ascii="Arial" w:hAnsi="Arial"/>
                <w:sz w:val="18"/>
                <w:vertAlign w:val="baseline"/>
              </w:rPr>
              <w:t xml:space="preserve"> designated use</w:t>
            </w:r>
            <w:r w:rsidRPr="00BD7EA0">
              <w:rPr>
                <w:rFonts w:ascii="Arial" w:hAnsi="Arial"/>
                <w:sz w:val="18"/>
              </w:rPr>
              <w:t>s</w:t>
            </w:r>
            <w:r w:rsidRPr="00BD7EA0">
              <w:rPr>
                <w:rStyle w:val="EndnoteReference"/>
                <w:rFonts w:ascii="Arial" w:hAnsi="Arial"/>
                <w:sz w:val="18"/>
                <w:vertAlign w:val="baseline"/>
              </w:rPr>
              <w:t xml:space="preserve"> </w:t>
            </w:r>
            <w:r w:rsidRPr="00BD7EA0">
              <w:rPr>
                <w:rFonts w:ascii="Arial" w:hAnsi="Arial"/>
                <w:sz w:val="18"/>
              </w:rPr>
              <w:t>may not be attained according to</w:t>
            </w:r>
            <w:r w:rsidRPr="00BD7EA0">
              <w:rPr>
                <w:rStyle w:val="EndnoteReference"/>
                <w:rFonts w:ascii="Arial" w:hAnsi="Arial"/>
                <w:sz w:val="18"/>
                <w:vertAlign w:val="baseline"/>
              </w:rPr>
              <w:t xml:space="preserve"> the Planning List methodology</w:t>
            </w:r>
          </w:p>
        </w:tc>
        <w:tc>
          <w:tcPr>
            <w:tcW w:w="5096" w:type="dxa"/>
            <w:vAlign w:val="center"/>
          </w:tcPr>
          <w:p w:rsidR="00485094" w:rsidRDefault="00485094" w:rsidP="005F5866">
            <w:pPr>
              <w:pStyle w:val="TableText"/>
            </w:pPr>
            <w:r>
              <w:t>A waterbody or segment is potentially impaired for one or more designated uses.  These waters will be prioritized for future monitoring to verify use attainment or impaired status.</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3d</w:t>
            </w:r>
          </w:p>
        </w:tc>
        <w:tc>
          <w:tcPr>
            <w:tcW w:w="3841" w:type="dxa"/>
            <w:vAlign w:val="center"/>
          </w:tcPr>
          <w:p w:rsidR="00485094" w:rsidRDefault="00485094" w:rsidP="005F5866">
            <w:pPr>
              <w:pStyle w:val="TableText"/>
            </w:pPr>
            <w:r>
              <w:t>Enough data and information are present to determine that one or more designated uses are not attained according to the Verified List methodology</w:t>
            </w:r>
          </w:p>
        </w:tc>
        <w:tc>
          <w:tcPr>
            <w:tcW w:w="5096" w:type="dxa"/>
            <w:vAlign w:val="center"/>
          </w:tcPr>
          <w:p w:rsidR="00485094" w:rsidRDefault="00485094" w:rsidP="005F5866">
            <w:pPr>
              <w:pStyle w:val="TableText"/>
            </w:pPr>
            <w:r>
              <w:t>A waterbody or segment exceeds Verified List evaluation criteria and may be listed as impaired at the end of Phase 2 of the watershed management cycle.  However, the data have not yet been fully evaluated and the waters have not been formally verified as impaired.  Further monitoring and analysis may be necessary.</w:t>
            </w:r>
          </w:p>
          <w:p w:rsidR="00485094" w:rsidRDefault="00485094" w:rsidP="005F5866">
            <w:pPr>
              <w:pStyle w:val="TableText"/>
            </w:pPr>
            <w:r w:rsidRPr="00C45C80">
              <w:rPr>
                <w:b/>
              </w:rPr>
              <w:t>NOTE:</w:t>
            </w:r>
            <w:r>
              <w:t xml:space="preserve">  This category is applicable only to the Status Report.  Waters that pass the Verified List criteria at this stage of the process are placed in Category 5.</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4a</w:t>
            </w:r>
          </w:p>
        </w:tc>
        <w:tc>
          <w:tcPr>
            <w:tcW w:w="3841" w:type="dxa"/>
            <w:vAlign w:val="center"/>
          </w:tcPr>
          <w:p w:rsidR="00485094" w:rsidRDefault="00485094" w:rsidP="005F5866">
            <w:pPr>
              <w:pStyle w:val="TableText"/>
            </w:pPr>
            <w:r>
              <w:t>Impaired for one or more designated uses but does not require TMDL development because a TMDL has already been completed</w:t>
            </w:r>
          </w:p>
        </w:tc>
        <w:tc>
          <w:tcPr>
            <w:tcW w:w="5096" w:type="dxa"/>
            <w:vAlign w:val="center"/>
          </w:tcPr>
          <w:p w:rsidR="00485094" w:rsidRDefault="00485094" w:rsidP="00EE4CFE">
            <w:pPr>
              <w:pStyle w:val="TableText"/>
            </w:pPr>
            <w:r>
              <w:t>After the EPA approves a TMDL for the impaired waterbody or segment, it will be included in a B</w:t>
            </w:r>
            <w:r w:rsidR="00EE4CFE">
              <w:t>MAP</w:t>
            </w:r>
            <w:r>
              <w:t xml:space="preserve"> to reduce pollutant loading toward attainment of designated use(s).</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4b</w:t>
            </w:r>
          </w:p>
        </w:tc>
        <w:tc>
          <w:tcPr>
            <w:tcW w:w="3841" w:type="dxa"/>
            <w:vAlign w:val="center"/>
          </w:tcPr>
          <w:p w:rsidR="00485094" w:rsidRDefault="00485094" w:rsidP="005F5866">
            <w:pPr>
              <w:pStyle w:val="TableText"/>
            </w:pPr>
            <w:r>
              <w:t>Impaired for one or more designated uses but does not require TMDL development because the water will attain water quality standards due to existing or proposed measures</w:t>
            </w:r>
          </w:p>
        </w:tc>
        <w:tc>
          <w:tcPr>
            <w:tcW w:w="5096" w:type="dxa"/>
            <w:vAlign w:val="center"/>
          </w:tcPr>
          <w:p w:rsidR="00485094" w:rsidRDefault="00485094" w:rsidP="005F5866">
            <w:pPr>
              <w:pStyle w:val="TableText"/>
            </w:pPr>
            <w:r>
              <w:t>Pollutant control mechanisms designed to attain applicable water quality standards within a reasonable time frame are either proposed or in place.</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4c</w:t>
            </w:r>
          </w:p>
        </w:tc>
        <w:tc>
          <w:tcPr>
            <w:tcW w:w="3841" w:type="dxa"/>
            <w:vAlign w:val="center"/>
          </w:tcPr>
          <w:p w:rsidR="00485094" w:rsidRDefault="00485094" w:rsidP="005F5866">
            <w:pPr>
              <w:pStyle w:val="TableText"/>
            </w:pPr>
            <w:r>
              <w:t>Impaired for one or more criteria or designated uses but does not require TMDL development because impairment is not caused by a pollutant</w:t>
            </w:r>
          </w:p>
        </w:tc>
        <w:tc>
          <w:tcPr>
            <w:tcW w:w="5096" w:type="dxa"/>
            <w:vAlign w:val="center"/>
          </w:tcPr>
          <w:p w:rsidR="00485094" w:rsidRDefault="00485094">
            <w:pPr>
              <w:pStyle w:val="TableText"/>
            </w:pPr>
            <w:r w:rsidRPr="00D817CD">
              <w:t xml:space="preserve">This category includes waterbodies or segments that are impaired because of naturally occurring conditions or pollution.  This typically applies to impairments tied to low </w:t>
            </w:r>
            <w:r>
              <w:t xml:space="preserve">DO </w:t>
            </w:r>
            <w:r w:rsidRPr="00D817CD">
              <w:t>or elevated iron concentrations.  The impairment is not caused by specific pollutants, but is believed to be natural or caused by pollution.</w:t>
            </w:r>
            <w:r w:rsidRPr="00D817CD">
              <w:rPr>
                <w:vertAlign w:val="superscript"/>
              </w:rPr>
              <w:t>1</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4d</w:t>
            </w:r>
          </w:p>
        </w:tc>
        <w:tc>
          <w:tcPr>
            <w:tcW w:w="3841" w:type="dxa"/>
            <w:vAlign w:val="center"/>
          </w:tcPr>
          <w:p w:rsidR="00485094" w:rsidRDefault="00485094" w:rsidP="005F5866">
            <w:pPr>
              <w:pStyle w:val="TableText"/>
            </w:pPr>
            <w:r>
              <w:t>No causative pollutant has been identified</w:t>
            </w:r>
          </w:p>
        </w:tc>
        <w:tc>
          <w:tcPr>
            <w:tcW w:w="5096" w:type="dxa"/>
            <w:vAlign w:val="center"/>
          </w:tcPr>
          <w:p w:rsidR="00485094" w:rsidRPr="00D817CD" w:rsidRDefault="00485094" w:rsidP="00E22C45">
            <w:pPr>
              <w:pStyle w:val="TableText"/>
              <w:rPr>
                <w:highlight w:val="yellow"/>
              </w:rPr>
            </w:pPr>
            <w:r w:rsidRPr="00D817CD">
              <w:t xml:space="preserve">The waterbody does not meet its applicable criteria, but no causative pollutant has been identified.  This typically applies </w:t>
            </w:r>
            <w:r w:rsidRPr="00D817CD">
              <w:lastRenderedPageBreak/>
              <w:t xml:space="preserve">to low </w:t>
            </w:r>
            <w:r>
              <w:t>DO</w:t>
            </w:r>
            <w:r w:rsidRPr="00D817CD">
              <w:t xml:space="preserve"> or failed biological assessments.  All available </w:t>
            </w:r>
            <w:r>
              <w:t xml:space="preserve">biological data, </w:t>
            </w:r>
            <w:r w:rsidRPr="00D817CD">
              <w:t xml:space="preserve">TN, TP, </w:t>
            </w:r>
            <w:r>
              <w:t>and biological oxygen demand (</w:t>
            </w:r>
            <w:r w:rsidRPr="00D817CD">
              <w:t>BOD</w:t>
            </w:r>
            <w:r>
              <w:t>)</w:t>
            </w:r>
            <w:r w:rsidRPr="00D817CD">
              <w:t xml:space="preserve"> data</w:t>
            </w:r>
            <w:r>
              <w:t>,</w:t>
            </w:r>
            <w:r w:rsidRPr="00D817CD">
              <w:t xml:space="preserve"> and land use have been assessed.</w:t>
            </w:r>
          </w:p>
        </w:tc>
      </w:tr>
      <w:tr w:rsidR="00485094" w:rsidTr="00FE4395">
        <w:trPr>
          <w:jc w:val="center"/>
        </w:trPr>
        <w:tc>
          <w:tcPr>
            <w:tcW w:w="1076" w:type="dxa"/>
            <w:shd w:val="clear" w:color="auto" w:fill="FFFFCC"/>
            <w:vAlign w:val="center"/>
          </w:tcPr>
          <w:p w:rsidR="00485094" w:rsidRDefault="00485094" w:rsidP="005F5866">
            <w:pPr>
              <w:pStyle w:val="TableText"/>
              <w:jc w:val="center"/>
            </w:pPr>
            <w:r>
              <w:lastRenderedPageBreak/>
              <w:t>4e</w:t>
            </w:r>
          </w:p>
        </w:tc>
        <w:tc>
          <w:tcPr>
            <w:tcW w:w="3841" w:type="dxa"/>
            <w:vAlign w:val="center"/>
          </w:tcPr>
          <w:p w:rsidR="00485094" w:rsidRDefault="00485094" w:rsidP="005F5866">
            <w:pPr>
              <w:pStyle w:val="TableText"/>
            </w:pPr>
            <w:r>
              <w:t>Impaired, but recently completed or ongoing restoration activities should restore the designated uses of the waterbody</w:t>
            </w:r>
          </w:p>
        </w:tc>
        <w:tc>
          <w:tcPr>
            <w:tcW w:w="5096" w:type="dxa"/>
            <w:vAlign w:val="center"/>
          </w:tcPr>
          <w:p w:rsidR="00485094" w:rsidRPr="00D817CD" w:rsidRDefault="00485094" w:rsidP="005F5866">
            <w:pPr>
              <w:pStyle w:val="TableText"/>
              <w:rPr>
                <w:highlight w:val="yellow"/>
              </w:rPr>
            </w:pPr>
            <w:r>
              <w:t xml:space="preserve">Restoration activities for this waterbody have been completed or are ongoing, such that once the activities are completed or the waterbody has had a chance to stabilize, FDEP believes it will meet its designated uses.  </w:t>
            </w:r>
          </w:p>
        </w:tc>
      </w:tr>
      <w:tr w:rsidR="00485094" w:rsidTr="00FE4395">
        <w:trPr>
          <w:jc w:val="center"/>
        </w:trPr>
        <w:tc>
          <w:tcPr>
            <w:tcW w:w="1076" w:type="dxa"/>
            <w:shd w:val="clear" w:color="auto" w:fill="FFFFCC"/>
            <w:vAlign w:val="center"/>
          </w:tcPr>
          <w:p w:rsidR="00485094" w:rsidRDefault="00485094" w:rsidP="005F5866">
            <w:pPr>
              <w:pStyle w:val="TableText"/>
              <w:jc w:val="center"/>
            </w:pPr>
            <w:r>
              <w:t>5</w:t>
            </w:r>
          </w:p>
        </w:tc>
        <w:tc>
          <w:tcPr>
            <w:tcW w:w="3841" w:type="dxa"/>
            <w:vAlign w:val="center"/>
          </w:tcPr>
          <w:p w:rsidR="00485094" w:rsidRDefault="00485094" w:rsidP="005F5866">
            <w:pPr>
              <w:pStyle w:val="TableText"/>
            </w:pPr>
            <w:r>
              <w:t>One or more designated uses is not attained and a TMDL is required</w:t>
            </w:r>
          </w:p>
        </w:tc>
        <w:tc>
          <w:tcPr>
            <w:tcW w:w="5096" w:type="dxa"/>
            <w:vAlign w:val="center"/>
          </w:tcPr>
          <w:p w:rsidR="00485094" w:rsidRDefault="00485094" w:rsidP="005F5866">
            <w:pPr>
              <w:pStyle w:val="TableText"/>
            </w:pPr>
            <w:r>
              <w:t>Waterbodies or segments in this category are impaired for one or more designated uses by a pollutant or pollutants.  Waters in this category are included on the basin-specific Verified List adopted by FDEP’s Secretary as Florida’s impaired waters list and submitted to the EPA as Florida’s 303(d) list of impaired waters at the end of Phase 2.</w:t>
            </w:r>
          </w:p>
        </w:tc>
      </w:tr>
    </w:tbl>
    <w:p w:rsidR="00485094" w:rsidRDefault="00485094" w:rsidP="00FE4395">
      <w:pPr>
        <w:pStyle w:val="Bodytextreduced"/>
      </w:pPr>
    </w:p>
    <w:p w:rsidR="00485094" w:rsidRPr="000D304A" w:rsidRDefault="00485094" w:rsidP="000D304A">
      <w:pPr>
        <w:pStyle w:val="Bodytextreduced"/>
      </w:pPr>
    </w:p>
    <w:p w:rsidR="00485094" w:rsidRPr="003A021B" w:rsidRDefault="00485094" w:rsidP="005F5866">
      <w:pPr>
        <w:pStyle w:val="BodyText0"/>
        <w:rPr>
          <w:color w:val="000000"/>
          <w:sz w:val="22"/>
          <w:szCs w:val="22"/>
        </w:rPr>
      </w:pPr>
      <w:r w:rsidRPr="003A021B">
        <w:rPr>
          <w:color w:val="000000"/>
          <w:sz w:val="22"/>
          <w:szCs w:val="22"/>
        </w:rPr>
        <w:t xml:space="preserve">A </w:t>
      </w:r>
      <w:r w:rsidRPr="003A021B">
        <w:rPr>
          <w:i/>
          <w:color w:val="000000"/>
          <w:sz w:val="22"/>
          <w:szCs w:val="22"/>
        </w:rPr>
        <w:t>Verified List</w:t>
      </w:r>
      <w:r w:rsidRPr="003A021B">
        <w:rPr>
          <w:color w:val="000000"/>
          <w:sz w:val="22"/>
          <w:szCs w:val="22"/>
        </w:rPr>
        <w:t xml:space="preserve"> of impaired waters</w:t>
      </w:r>
      <w:r>
        <w:rPr>
          <w:color w:val="000000"/>
          <w:sz w:val="22"/>
          <w:szCs w:val="22"/>
        </w:rPr>
        <w:t xml:space="preserve"> is produced based on the results of this updated evaluation</w:t>
      </w:r>
      <w:r w:rsidRPr="003A021B">
        <w:rPr>
          <w:color w:val="000000"/>
          <w:sz w:val="22"/>
          <w:szCs w:val="22"/>
        </w:rPr>
        <w:t xml:space="preserve">.  The </w:t>
      </w:r>
      <w:r>
        <w:rPr>
          <w:color w:val="000000"/>
          <w:sz w:val="22"/>
          <w:szCs w:val="22"/>
        </w:rPr>
        <w:t xml:space="preserve">thresholds and data requirements </w:t>
      </w:r>
      <w:r w:rsidRPr="003A021B">
        <w:rPr>
          <w:color w:val="000000"/>
          <w:sz w:val="22"/>
          <w:szCs w:val="22"/>
        </w:rPr>
        <w:t xml:space="preserve">for the Verified List are </w:t>
      </w:r>
      <w:r>
        <w:rPr>
          <w:color w:val="000000"/>
          <w:sz w:val="22"/>
          <w:szCs w:val="22"/>
        </w:rPr>
        <w:t xml:space="preserve">generally </w:t>
      </w:r>
      <w:r w:rsidRPr="003A021B">
        <w:rPr>
          <w:color w:val="000000"/>
          <w:sz w:val="22"/>
          <w:szCs w:val="22"/>
        </w:rPr>
        <w:t xml:space="preserve">more stringent than those for the Planning List.  </w:t>
      </w:r>
    </w:p>
    <w:p w:rsidR="00485094" w:rsidRDefault="00485094" w:rsidP="006C41CE">
      <w:pPr>
        <w:pStyle w:val="BodyText0"/>
        <w:rPr>
          <w:color w:val="000000"/>
          <w:sz w:val="22"/>
          <w:szCs w:val="22"/>
        </w:rPr>
      </w:pPr>
    </w:p>
    <w:p w:rsidR="00485094" w:rsidRPr="003A021B" w:rsidRDefault="00485094" w:rsidP="006C41CE">
      <w:pPr>
        <w:pStyle w:val="BodyText0"/>
        <w:rPr>
          <w:color w:val="000000"/>
          <w:sz w:val="22"/>
          <w:szCs w:val="22"/>
        </w:rPr>
      </w:pPr>
      <w:r w:rsidRPr="003A021B">
        <w:rPr>
          <w:color w:val="000000"/>
          <w:sz w:val="22"/>
          <w:szCs w:val="22"/>
        </w:rPr>
        <w:t>The Verified List</w:t>
      </w:r>
      <w:r w:rsidRPr="003A021B">
        <w:rPr>
          <w:sz w:val="22"/>
          <w:szCs w:val="22"/>
        </w:rPr>
        <w:t xml:space="preserve"> is adopted by Secretarial Order in accordance with the FWRA.  Once adopted, the list is submitted to the EPA for approval as </w:t>
      </w:r>
      <w:r>
        <w:rPr>
          <w:sz w:val="22"/>
          <w:szCs w:val="22"/>
        </w:rPr>
        <w:t xml:space="preserve">an update to </w:t>
      </w:r>
      <w:r w:rsidRPr="003A021B">
        <w:rPr>
          <w:sz w:val="22"/>
          <w:szCs w:val="22"/>
        </w:rPr>
        <w:t>the state’s Section 303(d) list of impaired waters.</w:t>
      </w:r>
      <w:r>
        <w:rPr>
          <w:sz w:val="22"/>
          <w:szCs w:val="22"/>
        </w:rPr>
        <w:t xml:space="preserve">  </w:t>
      </w:r>
      <w:r w:rsidRPr="003A021B">
        <w:rPr>
          <w:color w:val="000000"/>
          <w:sz w:val="22"/>
          <w:szCs w:val="22"/>
        </w:rPr>
        <w:t>FDEP is required to develop TMDLs for waters on the Verified List under Subsection 403.067(4), F.S.  A w</w:t>
      </w:r>
      <w:r w:rsidRPr="003A021B">
        <w:rPr>
          <w:sz w:val="22"/>
          <w:szCs w:val="22"/>
        </w:rPr>
        <w:t xml:space="preserve">atershed management plan (called a Basin Management Action Plan, or BMAP) to reduce the amount of pollutants that cause impairments </w:t>
      </w:r>
      <w:r>
        <w:rPr>
          <w:sz w:val="22"/>
          <w:szCs w:val="22"/>
        </w:rPr>
        <w:t>may</w:t>
      </w:r>
      <w:r w:rsidRPr="003A021B">
        <w:rPr>
          <w:sz w:val="22"/>
          <w:szCs w:val="22"/>
        </w:rPr>
        <w:t xml:space="preserve"> also be produced and implemented</w:t>
      </w:r>
      <w:r w:rsidRPr="003A021B">
        <w:rPr>
          <w:color w:val="000000"/>
          <w:sz w:val="22"/>
          <w:szCs w:val="22"/>
        </w:rPr>
        <w:t>.</w:t>
      </w:r>
    </w:p>
    <w:p w:rsidR="00485094" w:rsidRDefault="00485094" w:rsidP="005F5866">
      <w:pPr>
        <w:pStyle w:val="Bodytext"/>
        <w:rPr>
          <w:snapToGrid w:val="0"/>
        </w:rPr>
      </w:pPr>
    </w:p>
    <w:p w:rsidR="00485094" w:rsidRPr="003F21F8" w:rsidRDefault="00485094" w:rsidP="00456F87">
      <w:pPr>
        <w:pStyle w:val="Bodytext"/>
        <w:rPr>
          <w:color w:val="000000"/>
        </w:rPr>
      </w:pPr>
      <w:r w:rsidRPr="003F21F8">
        <w:rPr>
          <w:snapToGrid w:val="0"/>
        </w:rPr>
        <w:t>To implement the watershed cycle, the state’s river basins have been divided into five groups within each of FDEP’s six districts statewide, and each district assess</w:t>
      </w:r>
      <w:r w:rsidR="00A03A97">
        <w:rPr>
          <w:snapToGrid w:val="0"/>
        </w:rPr>
        <w:t>es</w:t>
      </w:r>
      <w:r w:rsidRPr="003F21F8">
        <w:rPr>
          <w:snapToGrid w:val="0"/>
        </w:rPr>
        <w:t xml:space="preserve"> one basin each year.  </w:t>
      </w:r>
      <w:r w:rsidRPr="003F21F8">
        <w:rPr>
          <w:b/>
          <w:i/>
          <w:snapToGrid w:val="0"/>
        </w:rPr>
        <w:t xml:space="preserve">Table 7.2 </w:t>
      </w:r>
      <w:r w:rsidRPr="003F21F8">
        <w:rPr>
          <w:snapToGrid w:val="0"/>
        </w:rPr>
        <w:t xml:space="preserve">shows the basin groups for implementing the cycle in FDEP’s districts.  </w:t>
      </w:r>
      <w:r w:rsidRPr="003F21F8">
        <w:rPr>
          <w:b/>
          <w:i/>
          <w:snapToGrid w:val="0"/>
        </w:rPr>
        <w:t>Table 7.3,</w:t>
      </w:r>
      <w:r w:rsidRPr="003F21F8">
        <w:rPr>
          <w:b/>
          <w:snapToGrid w:val="0"/>
        </w:rPr>
        <w:t xml:space="preserve"> </w:t>
      </w:r>
      <w:r w:rsidRPr="003F21F8">
        <w:rPr>
          <w:snapToGrid w:val="0"/>
        </w:rPr>
        <w:t>which lists the basin rotation schedule for TMDL development and implementation, shows that it will take nine years to complete one full cycle of the state.  Over time, the 1998 303(d) listing, as</w:t>
      </w:r>
      <w:r>
        <w:rPr>
          <w:snapToGrid w:val="0"/>
        </w:rPr>
        <w:t xml:space="preserve"> </w:t>
      </w:r>
      <w:r w:rsidRPr="003F21F8">
        <w:rPr>
          <w:snapToGrid w:val="0"/>
        </w:rPr>
        <w:t>well as the listings for preceding cycles (Cycle 1, Cycle 2, etc.), are all taken into account in the subsequent cycle and result in an integrated assessment that includes consideration of the assessment in each cycle as well as an assessment of the entire period of record.  This results in a conservative approach to keeping problem waters on the list.</w:t>
      </w:r>
    </w:p>
    <w:p w:rsidR="00485094" w:rsidRPr="003F21F8" w:rsidRDefault="00485094" w:rsidP="00456F87">
      <w:pPr>
        <w:pStyle w:val="BodyText0"/>
        <w:rPr>
          <w:color w:val="000000"/>
          <w:sz w:val="22"/>
          <w:szCs w:val="22"/>
        </w:rPr>
      </w:pPr>
    </w:p>
    <w:p w:rsidR="00485094" w:rsidRDefault="00485094" w:rsidP="00456F87">
      <w:pPr>
        <w:pStyle w:val="Bodytext"/>
        <w:rPr>
          <w:snapToGrid w:val="0"/>
        </w:rPr>
      </w:pPr>
      <w:r w:rsidRPr="003F21F8">
        <w:rPr>
          <w:snapToGrid w:val="0"/>
        </w:rPr>
        <w:t>The watershed management cycle is an iterative, or repeated, process.  One of its key components is that the effectiveness of management activities (TMDL implementation) will be monitored in successive cycles.  Monitoring conducted in Phase 2 of subsequent cycles will be targeted at evaluating whether water quality objectives are being met and whether individual waters are no longer impaired.  FDEP also will track the implementation of scheduled restoration activities, whether required or voluntary, to ensure continued progress towards meeting the TMDLs.</w:t>
      </w:r>
    </w:p>
    <w:p w:rsidR="00485094" w:rsidRPr="003F21F8" w:rsidRDefault="00485094" w:rsidP="005F5866">
      <w:pPr>
        <w:pStyle w:val="Bodytextreduced"/>
        <w:rPr>
          <w:snapToGrid w:val="0"/>
        </w:rPr>
      </w:pPr>
    </w:p>
    <w:p w:rsidR="00485094" w:rsidRDefault="00485094">
      <w:pPr>
        <w:rPr>
          <w:rFonts w:ascii="Arial" w:hAnsi="Arial"/>
          <w:snapToGrid w:val="0"/>
          <w:sz w:val="16"/>
          <w:szCs w:val="20"/>
        </w:rPr>
      </w:pPr>
      <w:r>
        <w:rPr>
          <w:snapToGrid w:val="0"/>
        </w:rPr>
        <w:br w:type="page"/>
      </w:r>
    </w:p>
    <w:p w:rsidR="00485094" w:rsidRPr="003F21F8" w:rsidRDefault="00485094" w:rsidP="005F5866">
      <w:pPr>
        <w:pStyle w:val="Tableheading"/>
      </w:pPr>
      <w:bookmarkStart w:id="541" w:name="_Toc254267131"/>
      <w:bookmarkStart w:id="542" w:name="_Toc255807506"/>
      <w:bookmarkStart w:id="543" w:name="_Toc271889859"/>
      <w:r w:rsidRPr="003F21F8">
        <w:lastRenderedPageBreak/>
        <w:t>Table 7.2.  Basin Groups for Implementing the Watershed Management Cycle,</w:t>
      </w:r>
      <w:r w:rsidRPr="003F21F8">
        <w:br/>
        <w:t>by FDEP District Office</w:t>
      </w:r>
      <w:bookmarkEnd w:id="541"/>
      <w:bookmarkEnd w:id="542"/>
      <w:bookmarkEnd w:id="543"/>
    </w:p>
    <w:p w:rsidR="00485094" w:rsidRPr="003F21F8" w:rsidRDefault="00485094" w:rsidP="00FE4395">
      <w:pPr>
        <w:pStyle w:val="TabledescriptionBF"/>
      </w:pPr>
      <w:r w:rsidRPr="003F21F8">
        <w:t>This is a six-column table.  Column 1 lists the FDEP districts, and Columns 2 through 5 list the Group 1 through 5 basins, respectively.</w:t>
      </w:r>
    </w:p>
    <w:p w:rsidR="00485094" w:rsidRPr="003F21F8" w:rsidRDefault="00485094" w:rsidP="00FE4395">
      <w:pPr>
        <w:pStyle w:val="Bodytextreduced"/>
      </w:pPr>
    </w:p>
    <w:p w:rsidR="00485094" w:rsidRPr="003F21F8" w:rsidRDefault="00485094" w:rsidP="00FE4395">
      <w:pPr>
        <w:pStyle w:val="Bodytextreduced"/>
      </w:pPr>
      <w:r w:rsidRPr="003F21F8">
        <w:t>- = Empty cell/no basin sampled</w:t>
      </w:r>
    </w:p>
    <w:tbl>
      <w:tblPr>
        <w:tblW w:w="946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BF"/>
      </w:tblPr>
      <w:tblGrid>
        <w:gridCol w:w="1098"/>
        <w:gridCol w:w="1710"/>
        <w:gridCol w:w="1710"/>
        <w:gridCol w:w="1710"/>
        <w:gridCol w:w="1800"/>
        <w:gridCol w:w="1440"/>
      </w:tblGrid>
      <w:tr w:rsidR="00485094" w:rsidRPr="003F21F8" w:rsidTr="00065680">
        <w:trPr>
          <w:trHeight w:val="576"/>
          <w:jc w:val="center"/>
        </w:trPr>
        <w:tc>
          <w:tcPr>
            <w:tcW w:w="1098"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FDEP District</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1</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(2004)</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2</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(2005)</w:t>
            </w:r>
          </w:p>
        </w:tc>
        <w:tc>
          <w:tcPr>
            <w:tcW w:w="171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3</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(2006)</w:t>
            </w:r>
          </w:p>
        </w:tc>
        <w:tc>
          <w:tcPr>
            <w:tcW w:w="180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4</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(2007)</w:t>
            </w:r>
          </w:p>
        </w:tc>
        <w:tc>
          <w:tcPr>
            <w:tcW w:w="1440" w:type="dxa"/>
            <w:tcBorders>
              <w:bottom w:val="double" w:sz="4" w:space="0" w:color="auto"/>
            </w:tcBorders>
            <w:shd w:val="clear" w:color="auto" w:fill="C9FFFF"/>
            <w:vAlign w:val="bottom"/>
          </w:tcPr>
          <w:p w:rsidR="00485094" w:rsidRPr="003F21F8" w:rsidRDefault="00485094" w:rsidP="00065680">
            <w:pPr>
              <w:pStyle w:val="TableText"/>
              <w:jc w:val="center"/>
              <w:rPr>
                <w:b/>
                <w:i/>
              </w:rPr>
            </w:pPr>
            <w:r w:rsidRPr="003F21F8">
              <w:rPr>
                <w:b/>
                <w:i/>
              </w:rPr>
              <w:t>Group 5</w:t>
            </w:r>
          </w:p>
          <w:p w:rsidR="00485094" w:rsidRPr="003F21F8" w:rsidRDefault="00485094" w:rsidP="00065680">
            <w:pPr>
              <w:pStyle w:val="TableText"/>
              <w:jc w:val="center"/>
              <w:rPr>
                <w:b/>
                <w:i/>
              </w:rPr>
            </w:pPr>
            <w:r w:rsidRPr="003F21F8">
              <w:rPr>
                <w:b/>
                <w:i/>
              </w:rPr>
              <w:t>Basins</w:t>
            </w:r>
          </w:p>
          <w:p w:rsidR="00485094" w:rsidRPr="003F21F8" w:rsidRDefault="00485094" w:rsidP="00065680">
            <w:pPr>
              <w:pStyle w:val="TableText"/>
              <w:jc w:val="center"/>
              <w:rPr>
                <w:b/>
                <w:i/>
              </w:rPr>
            </w:pPr>
            <w:r w:rsidRPr="003F21F8">
              <w:rPr>
                <w:b/>
                <w:i/>
              </w:rPr>
              <w:t>(2008)</w:t>
            </w:r>
          </w:p>
        </w:tc>
      </w:tr>
      <w:tr w:rsidR="00485094" w:rsidRPr="003F21F8" w:rsidTr="00065680">
        <w:trPr>
          <w:jc w:val="center"/>
        </w:trPr>
        <w:tc>
          <w:tcPr>
            <w:tcW w:w="1098" w:type="dxa"/>
            <w:tcBorders>
              <w:top w:val="double" w:sz="4" w:space="0" w:color="auto"/>
            </w:tcBorders>
            <w:shd w:val="clear" w:color="auto" w:fill="FFFFCC"/>
            <w:vAlign w:val="center"/>
          </w:tcPr>
          <w:p w:rsidR="00485094" w:rsidRPr="003F21F8" w:rsidRDefault="00485094" w:rsidP="00065680">
            <w:pPr>
              <w:pStyle w:val="TableText"/>
              <w:jc w:val="center"/>
            </w:pPr>
            <w:r w:rsidRPr="003F21F8">
              <w:t>Northwest</w:t>
            </w:r>
          </w:p>
        </w:tc>
        <w:tc>
          <w:tcPr>
            <w:tcW w:w="1710" w:type="dxa"/>
            <w:tcBorders>
              <w:top w:val="double" w:sz="4" w:space="0" w:color="auto"/>
            </w:tcBorders>
            <w:vAlign w:val="center"/>
          </w:tcPr>
          <w:p w:rsidR="00485094" w:rsidRPr="003F21F8" w:rsidRDefault="00485094" w:rsidP="00065680">
            <w:pPr>
              <w:pStyle w:val="TableText"/>
              <w:jc w:val="center"/>
            </w:pPr>
            <w:r w:rsidRPr="003F21F8">
              <w:t>Ochlockonee–</w:t>
            </w:r>
          </w:p>
          <w:p w:rsidR="00485094" w:rsidRPr="003F21F8" w:rsidRDefault="00485094" w:rsidP="00065680">
            <w:pPr>
              <w:pStyle w:val="TableText"/>
              <w:jc w:val="center"/>
            </w:pPr>
            <w:r w:rsidRPr="003F21F8">
              <w:t>St. Marks</w:t>
            </w:r>
          </w:p>
        </w:tc>
        <w:tc>
          <w:tcPr>
            <w:tcW w:w="1710" w:type="dxa"/>
            <w:tcBorders>
              <w:top w:val="double" w:sz="4" w:space="0" w:color="auto"/>
            </w:tcBorders>
            <w:vAlign w:val="center"/>
          </w:tcPr>
          <w:p w:rsidR="00485094" w:rsidRPr="003F21F8" w:rsidRDefault="00485094" w:rsidP="00065680">
            <w:pPr>
              <w:pStyle w:val="TableText"/>
              <w:jc w:val="center"/>
            </w:pPr>
            <w:r w:rsidRPr="003F21F8">
              <w:t>Apalachicola–Chipola</w:t>
            </w:r>
          </w:p>
        </w:tc>
        <w:tc>
          <w:tcPr>
            <w:tcW w:w="1710" w:type="dxa"/>
            <w:tcBorders>
              <w:top w:val="double" w:sz="4" w:space="0" w:color="auto"/>
            </w:tcBorders>
            <w:vAlign w:val="center"/>
          </w:tcPr>
          <w:p w:rsidR="00485094" w:rsidRPr="003F21F8" w:rsidRDefault="00485094" w:rsidP="00065680">
            <w:pPr>
              <w:pStyle w:val="TableText"/>
              <w:jc w:val="center"/>
            </w:pPr>
            <w:r w:rsidRPr="003F21F8">
              <w:t>Choctawhatchee– St. Andrew</w:t>
            </w:r>
          </w:p>
        </w:tc>
        <w:tc>
          <w:tcPr>
            <w:tcW w:w="1800" w:type="dxa"/>
            <w:tcBorders>
              <w:top w:val="double" w:sz="4" w:space="0" w:color="auto"/>
            </w:tcBorders>
            <w:vAlign w:val="center"/>
          </w:tcPr>
          <w:p w:rsidR="00485094" w:rsidRPr="003F21F8" w:rsidRDefault="00485094" w:rsidP="00065680">
            <w:pPr>
              <w:pStyle w:val="TableText"/>
              <w:jc w:val="center"/>
            </w:pPr>
            <w:r w:rsidRPr="003F21F8">
              <w:t>Pensacola</w:t>
            </w:r>
          </w:p>
        </w:tc>
        <w:tc>
          <w:tcPr>
            <w:tcW w:w="1440" w:type="dxa"/>
            <w:tcBorders>
              <w:top w:val="double" w:sz="4" w:space="0" w:color="auto"/>
            </w:tcBorders>
            <w:vAlign w:val="center"/>
          </w:tcPr>
          <w:p w:rsidR="00485094" w:rsidRPr="003F21F8" w:rsidRDefault="00485094" w:rsidP="00065680">
            <w:pPr>
              <w:pStyle w:val="TableText"/>
              <w:jc w:val="center"/>
            </w:pPr>
            <w:r w:rsidRPr="003F21F8">
              <w:t>Perdido</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Northeast</w:t>
            </w:r>
          </w:p>
        </w:tc>
        <w:tc>
          <w:tcPr>
            <w:tcW w:w="1710" w:type="dxa"/>
            <w:vAlign w:val="center"/>
          </w:tcPr>
          <w:p w:rsidR="00485094" w:rsidRPr="003F21F8" w:rsidRDefault="00485094" w:rsidP="00065680">
            <w:pPr>
              <w:pStyle w:val="TableText"/>
              <w:jc w:val="center"/>
            </w:pPr>
            <w:r w:rsidRPr="003F21F8">
              <w:t>Suwannee</w:t>
            </w:r>
          </w:p>
        </w:tc>
        <w:tc>
          <w:tcPr>
            <w:tcW w:w="1710" w:type="dxa"/>
            <w:vAlign w:val="center"/>
          </w:tcPr>
          <w:p w:rsidR="00485094" w:rsidRPr="003F21F8" w:rsidRDefault="00485094" w:rsidP="00065680">
            <w:pPr>
              <w:pStyle w:val="TableText"/>
              <w:jc w:val="center"/>
            </w:pPr>
            <w:r w:rsidRPr="003F21F8">
              <w:t>Lower St. Johns</w:t>
            </w:r>
          </w:p>
        </w:tc>
        <w:tc>
          <w:tcPr>
            <w:tcW w:w="1710" w:type="dxa"/>
            <w:vAlign w:val="center"/>
          </w:tcPr>
          <w:p w:rsidR="00485094" w:rsidRPr="003F21F8" w:rsidRDefault="00485094" w:rsidP="00065680">
            <w:pPr>
              <w:pStyle w:val="TableText"/>
              <w:jc w:val="center"/>
            </w:pPr>
            <w:r w:rsidRPr="003F21F8">
              <w:t>-</w:t>
            </w:r>
          </w:p>
        </w:tc>
        <w:tc>
          <w:tcPr>
            <w:tcW w:w="1800" w:type="dxa"/>
            <w:vAlign w:val="center"/>
          </w:tcPr>
          <w:p w:rsidR="00485094" w:rsidRPr="003F21F8" w:rsidRDefault="00485094" w:rsidP="00065680">
            <w:pPr>
              <w:pStyle w:val="TableText"/>
              <w:jc w:val="center"/>
            </w:pPr>
            <w:r w:rsidRPr="003F21F8">
              <w:t>Nassau–St. Marys</w:t>
            </w:r>
          </w:p>
        </w:tc>
        <w:tc>
          <w:tcPr>
            <w:tcW w:w="1440" w:type="dxa"/>
            <w:vAlign w:val="center"/>
          </w:tcPr>
          <w:p w:rsidR="00485094" w:rsidRPr="003F21F8" w:rsidRDefault="00485094" w:rsidP="00065680">
            <w:pPr>
              <w:pStyle w:val="TableText"/>
              <w:jc w:val="center"/>
            </w:pPr>
            <w:r w:rsidRPr="003F21F8">
              <w:t>Upper East Coast</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Central</w:t>
            </w:r>
          </w:p>
        </w:tc>
        <w:tc>
          <w:tcPr>
            <w:tcW w:w="1710" w:type="dxa"/>
            <w:vAlign w:val="center"/>
          </w:tcPr>
          <w:p w:rsidR="00485094" w:rsidRPr="003F21F8" w:rsidRDefault="00485094" w:rsidP="00065680">
            <w:pPr>
              <w:pStyle w:val="TableText"/>
              <w:jc w:val="center"/>
            </w:pPr>
            <w:r w:rsidRPr="003F21F8">
              <w:t>Ocklawaha</w:t>
            </w:r>
          </w:p>
        </w:tc>
        <w:tc>
          <w:tcPr>
            <w:tcW w:w="1710" w:type="dxa"/>
            <w:vAlign w:val="center"/>
          </w:tcPr>
          <w:p w:rsidR="00485094" w:rsidRPr="003F21F8" w:rsidRDefault="00485094" w:rsidP="00065680">
            <w:pPr>
              <w:pStyle w:val="TableText"/>
              <w:jc w:val="center"/>
            </w:pPr>
            <w:r w:rsidRPr="003F21F8">
              <w:t>Middle St. Johns</w:t>
            </w:r>
          </w:p>
        </w:tc>
        <w:tc>
          <w:tcPr>
            <w:tcW w:w="1710" w:type="dxa"/>
            <w:vAlign w:val="center"/>
          </w:tcPr>
          <w:p w:rsidR="00485094" w:rsidRPr="003F21F8" w:rsidRDefault="00485094" w:rsidP="00065680">
            <w:pPr>
              <w:pStyle w:val="TableText"/>
              <w:jc w:val="center"/>
            </w:pPr>
            <w:r w:rsidRPr="003F21F8">
              <w:t>Upper St. Johns</w:t>
            </w:r>
          </w:p>
        </w:tc>
        <w:tc>
          <w:tcPr>
            <w:tcW w:w="1800" w:type="dxa"/>
            <w:vAlign w:val="center"/>
          </w:tcPr>
          <w:p w:rsidR="00485094" w:rsidRPr="003F21F8" w:rsidRDefault="00485094" w:rsidP="00065680">
            <w:pPr>
              <w:pStyle w:val="TableText"/>
              <w:jc w:val="center"/>
            </w:pPr>
            <w:r w:rsidRPr="003F21F8">
              <w:t>Kissimmee River</w:t>
            </w:r>
          </w:p>
        </w:tc>
        <w:tc>
          <w:tcPr>
            <w:tcW w:w="1440" w:type="dxa"/>
            <w:vAlign w:val="center"/>
          </w:tcPr>
          <w:p w:rsidR="00485094" w:rsidRPr="003F21F8" w:rsidRDefault="00485094" w:rsidP="00065680">
            <w:pPr>
              <w:pStyle w:val="TableText"/>
              <w:jc w:val="center"/>
            </w:pPr>
            <w:r w:rsidRPr="003F21F8">
              <w:t>Indian River Lagoon</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Southwest</w:t>
            </w:r>
          </w:p>
        </w:tc>
        <w:tc>
          <w:tcPr>
            <w:tcW w:w="1710" w:type="dxa"/>
            <w:vAlign w:val="center"/>
          </w:tcPr>
          <w:p w:rsidR="00485094" w:rsidRPr="003F21F8" w:rsidRDefault="00485094" w:rsidP="00065680">
            <w:pPr>
              <w:pStyle w:val="TableText"/>
              <w:jc w:val="center"/>
            </w:pPr>
            <w:r w:rsidRPr="003F21F8">
              <w:t>Tampa Bay</w:t>
            </w:r>
          </w:p>
        </w:tc>
        <w:tc>
          <w:tcPr>
            <w:tcW w:w="1710" w:type="dxa"/>
            <w:vAlign w:val="center"/>
          </w:tcPr>
          <w:p w:rsidR="00485094" w:rsidRPr="003F21F8" w:rsidRDefault="00485094" w:rsidP="00065680">
            <w:pPr>
              <w:pStyle w:val="TableText"/>
              <w:jc w:val="center"/>
            </w:pPr>
            <w:r w:rsidRPr="003F21F8">
              <w:t>Tampa Bay Tributaries</w:t>
            </w:r>
          </w:p>
        </w:tc>
        <w:tc>
          <w:tcPr>
            <w:tcW w:w="1710" w:type="dxa"/>
            <w:vAlign w:val="center"/>
          </w:tcPr>
          <w:p w:rsidR="00485094" w:rsidRPr="003F21F8" w:rsidRDefault="00485094" w:rsidP="00065680">
            <w:pPr>
              <w:pStyle w:val="TableText"/>
              <w:jc w:val="center"/>
            </w:pPr>
            <w:r w:rsidRPr="003F21F8">
              <w:t>Sarasota Bay–Peace–Myakka</w:t>
            </w:r>
          </w:p>
        </w:tc>
        <w:tc>
          <w:tcPr>
            <w:tcW w:w="1800" w:type="dxa"/>
            <w:vAlign w:val="center"/>
          </w:tcPr>
          <w:p w:rsidR="00485094" w:rsidRPr="003F21F8" w:rsidRDefault="00485094" w:rsidP="00065680">
            <w:pPr>
              <w:pStyle w:val="TableText"/>
              <w:jc w:val="center"/>
            </w:pPr>
            <w:r w:rsidRPr="003F21F8">
              <w:t>Withlacoochee</w:t>
            </w:r>
          </w:p>
        </w:tc>
        <w:tc>
          <w:tcPr>
            <w:tcW w:w="1440" w:type="dxa"/>
            <w:vAlign w:val="center"/>
          </w:tcPr>
          <w:p w:rsidR="00485094" w:rsidRPr="003F21F8" w:rsidRDefault="00485094" w:rsidP="00065680">
            <w:pPr>
              <w:pStyle w:val="TableText"/>
              <w:jc w:val="center"/>
            </w:pPr>
            <w:r w:rsidRPr="003F21F8">
              <w:t>Springs Coast</w:t>
            </w:r>
          </w:p>
        </w:tc>
      </w:tr>
      <w:tr w:rsidR="00485094" w:rsidRPr="003F21F8"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w:t>
            </w:r>
          </w:p>
        </w:tc>
        <w:tc>
          <w:tcPr>
            <w:tcW w:w="1710" w:type="dxa"/>
            <w:vAlign w:val="center"/>
          </w:tcPr>
          <w:p w:rsidR="00485094" w:rsidRPr="003F21F8" w:rsidRDefault="00485094" w:rsidP="00065680">
            <w:pPr>
              <w:pStyle w:val="TableText"/>
              <w:jc w:val="center"/>
            </w:pPr>
            <w:r w:rsidRPr="003F21F8">
              <w:t>Everglades West</w:t>
            </w:r>
          </w:p>
          <w:p w:rsidR="00485094" w:rsidRPr="003F21F8" w:rsidRDefault="00485094" w:rsidP="00065680">
            <w:pPr>
              <w:pStyle w:val="TableText"/>
              <w:jc w:val="center"/>
            </w:pPr>
            <w:r w:rsidRPr="003F21F8">
              <w:t>Coast</w:t>
            </w:r>
          </w:p>
        </w:tc>
        <w:tc>
          <w:tcPr>
            <w:tcW w:w="1710" w:type="dxa"/>
            <w:vAlign w:val="center"/>
          </w:tcPr>
          <w:p w:rsidR="00485094" w:rsidRPr="003F21F8" w:rsidRDefault="00485094" w:rsidP="00065680">
            <w:pPr>
              <w:pStyle w:val="TableText"/>
              <w:jc w:val="center"/>
            </w:pPr>
            <w:r w:rsidRPr="003F21F8">
              <w:t>Charlotte Harbor</w:t>
            </w:r>
          </w:p>
        </w:tc>
        <w:tc>
          <w:tcPr>
            <w:tcW w:w="1710" w:type="dxa"/>
            <w:vAlign w:val="center"/>
          </w:tcPr>
          <w:p w:rsidR="00485094" w:rsidRPr="003F21F8" w:rsidRDefault="00485094" w:rsidP="00065680">
            <w:pPr>
              <w:pStyle w:val="TableText"/>
              <w:jc w:val="center"/>
            </w:pPr>
            <w:r w:rsidRPr="003F21F8">
              <w:t>Caloosahatchee</w:t>
            </w:r>
          </w:p>
        </w:tc>
        <w:tc>
          <w:tcPr>
            <w:tcW w:w="1800" w:type="dxa"/>
            <w:vAlign w:val="center"/>
          </w:tcPr>
          <w:p w:rsidR="00485094" w:rsidRPr="003F21F8" w:rsidRDefault="00485094" w:rsidP="00065680">
            <w:pPr>
              <w:pStyle w:val="TableText"/>
              <w:jc w:val="center"/>
            </w:pPr>
            <w:r w:rsidRPr="003F21F8">
              <w:t>Fisheating Creek</w:t>
            </w:r>
          </w:p>
        </w:tc>
        <w:tc>
          <w:tcPr>
            <w:tcW w:w="1440" w:type="dxa"/>
            <w:vAlign w:val="center"/>
          </w:tcPr>
          <w:p w:rsidR="00485094" w:rsidRPr="003F21F8" w:rsidRDefault="00485094" w:rsidP="00065680">
            <w:pPr>
              <w:pStyle w:val="TableText"/>
              <w:jc w:val="center"/>
            </w:pPr>
            <w:r w:rsidRPr="003F21F8">
              <w:t>Florida Keys</w:t>
            </w:r>
          </w:p>
        </w:tc>
      </w:tr>
      <w:tr w:rsidR="00485094" w:rsidRPr="006C41CE" w:rsidTr="00065680">
        <w:trPr>
          <w:jc w:val="center"/>
        </w:trPr>
        <w:tc>
          <w:tcPr>
            <w:tcW w:w="1098" w:type="dxa"/>
            <w:shd w:val="clear" w:color="auto" w:fill="FFFFCC"/>
            <w:vAlign w:val="center"/>
          </w:tcPr>
          <w:p w:rsidR="00485094" w:rsidRPr="003F21F8" w:rsidRDefault="00485094" w:rsidP="00065680">
            <w:pPr>
              <w:pStyle w:val="TableText"/>
              <w:jc w:val="center"/>
            </w:pPr>
            <w:r w:rsidRPr="003F21F8">
              <w:t>Southeast</w:t>
            </w:r>
          </w:p>
        </w:tc>
        <w:tc>
          <w:tcPr>
            <w:tcW w:w="1710" w:type="dxa"/>
            <w:vAlign w:val="center"/>
          </w:tcPr>
          <w:p w:rsidR="00485094" w:rsidRPr="003F21F8" w:rsidRDefault="00485094" w:rsidP="00065680">
            <w:pPr>
              <w:pStyle w:val="TableText"/>
              <w:jc w:val="center"/>
            </w:pPr>
            <w:r w:rsidRPr="003F21F8">
              <w:t>Lake Okeechobee</w:t>
            </w:r>
          </w:p>
        </w:tc>
        <w:tc>
          <w:tcPr>
            <w:tcW w:w="1710" w:type="dxa"/>
            <w:vAlign w:val="center"/>
          </w:tcPr>
          <w:p w:rsidR="00485094" w:rsidRPr="003F21F8" w:rsidRDefault="00485094" w:rsidP="00065680">
            <w:pPr>
              <w:pStyle w:val="TableText"/>
              <w:jc w:val="center"/>
            </w:pPr>
            <w:r w:rsidRPr="003F21F8">
              <w:t>St. Lucie–Loxahatchee</w:t>
            </w:r>
          </w:p>
        </w:tc>
        <w:tc>
          <w:tcPr>
            <w:tcW w:w="1710" w:type="dxa"/>
            <w:vAlign w:val="center"/>
          </w:tcPr>
          <w:p w:rsidR="00485094" w:rsidRPr="003F21F8" w:rsidRDefault="00485094" w:rsidP="00065680">
            <w:pPr>
              <w:pStyle w:val="TableText"/>
              <w:jc w:val="center"/>
            </w:pPr>
            <w:r w:rsidRPr="003F21F8">
              <w:t>Lake Worth Lagoon–</w:t>
            </w:r>
          </w:p>
          <w:p w:rsidR="00485094" w:rsidRPr="003F21F8" w:rsidRDefault="00485094" w:rsidP="00065680">
            <w:pPr>
              <w:pStyle w:val="TableText"/>
              <w:jc w:val="center"/>
            </w:pPr>
            <w:r w:rsidRPr="003F21F8">
              <w:t>Palm Beach Coast</w:t>
            </w:r>
          </w:p>
        </w:tc>
        <w:tc>
          <w:tcPr>
            <w:tcW w:w="1800" w:type="dxa"/>
            <w:vAlign w:val="center"/>
          </w:tcPr>
          <w:p w:rsidR="00485094" w:rsidRPr="003F21F8" w:rsidRDefault="00485094" w:rsidP="00065680">
            <w:pPr>
              <w:pStyle w:val="TableText"/>
              <w:jc w:val="center"/>
            </w:pPr>
            <w:r w:rsidRPr="003F21F8">
              <w:t>Southeast Coast–Biscayne Bay</w:t>
            </w:r>
          </w:p>
        </w:tc>
        <w:tc>
          <w:tcPr>
            <w:tcW w:w="1440" w:type="dxa"/>
            <w:vAlign w:val="center"/>
          </w:tcPr>
          <w:p w:rsidR="00485094" w:rsidRPr="003F21F8" w:rsidRDefault="00485094" w:rsidP="00065680">
            <w:pPr>
              <w:pStyle w:val="TableText"/>
              <w:jc w:val="center"/>
            </w:pPr>
            <w:r w:rsidRPr="003F21F8">
              <w:t>Everglades</w:t>
            </w:r>
          </w:p>
        </w:tc>
      </w:tr>
    </w:tbl>
    <w:p w:rsidR="00485094" w:rsidRDefault="00485094" w:rsidP="00FE4395">
      <w:pPr>
        <w:pStyle w:val="Bodytextreduced"/>
        <w:rPr>
          <w:snapToGrid w:val="0"/>
          <w:highlight w:val="yellow"/>
        </w:rPr>
      </w:pPr>
    </w:p>
    <w:p w:rsidR="00485094" w:rsidRPr="006C41CE" w:rsidRDefault="00485094" w:rsidP="00FE4395">
      <w:pPr>
        <w:pStyle w:val="Bodytextreduced"/>
        <w:rPr>
          <w:snapToGrid w:val="0"/>
          <w:highlight w:val="yellow"/>
        </w:rPr>
      </w:pPr>
    </w:p>
    <w:p w:rsidR="00485094" w:rsidRPr="003F21F8" w:rsidRDefault="00485094" w:rsidP="005F5866">
      <w:pPr>
        <w:pStyle w:val="Tableheading"/>
      </w:pPr>
      <w:bookmarkStart w:id="544" w:name="_Toc254267132"/>
      <w:bookmarkStart w:id="545" w:name="_Toc255807507"/>
      <w:bookmarkStart w:id="546" w:name="_Toc271889860"/>
      <w:r w:rsidRPr="003F21F8">
        <w:t>Table 7.3.  Basin Rotation Schedule for TMDL Development and Implementation</w:t>
      </w:r>
      <w:bookmarkEnd w:id="544"/>
      <w:bookmarkEnd w:id="545"/>
      <w:bookmarkEnd w:id="546"/>
    </w:p>
    <w:p w:rsidR="00485094" w:rsidRDefault="00485094" w:rsidP="00E86B70">
      <w:pPr>
        <w:pStyle w:val="TabledescriptionBF"/>
      </w:pPr>
      <w:r>
        <w:t>This is an 11-column table.  Column 1 lists the basin group, and Columns 2 through 11 list the phase of the basin cycle for Years 1 through 10, respectively.</w:t>
      </w:r>
    </w:p>
    <w:p w:rsidR="00485094" w:rsidRDefault="00485094" w:rsidP="00E86B70">
      <w:pPr>
        <w:pStyle w:val="Bodytextreduced"/>
      </w:pPr>
    </w:p>
    <w:p w:rsidR="00485094" w:rsidRPr="003F21F8" w:rsidRDefault="00485094" w:rsidP="00E86B70">
      <w:pPr>
        <w:pStyle w:val="Bodytextreduced"/>
        <w:rPr>
          <w:szCs w:val="16"/>
        </w:rPr>
      </w:pPr>
      <w:r w:rsidRPr="003F21F8">
        <w:rPr>
          <w:b/>
          <w:szCs w:val="16"/>
        </w:rPr>
        <w:t>Note:</w:t>
      </w:r>
      <w:r w:rsidRPr="003F21F8">
        <w:rPr>
          <w:szCs w:val="16"/>
        </w:rPr>
        <w:t xml:space="preserve">  The projected years for Phases 3, 4, and 5 may change due to accelerated local activities, length of plan development, legal challenges, etc.</w:t>
      </w:r>
    </w:p>
    <w:p w:rsidR="00485094" w:rsidRDefault="00485094" w:rsidP="00E86B70">
      <w:pPr>
        <w:pStyle w:val="Bodytextreduced"/>
      </w:pPr>
      <w:r>
        <w:t>- = Empty cell/no data</w:t>
      </w:r>
    </w:p>
    <w:p w:rsidR="00485094" w:rsidRPr="005E2ED6" w:rsidRDefault="00485094" w:rsidP="00E86B70">
      <w:pPr>
        <w:pStyle w:val="Tablefootnote"/>
      </w:pPr>
      <w:r w:rsidRPr="005E2ED6">
        <w:t>* Projected years for Phases 3, 4, and 5 may change due to accelerated local activities, length of plan development, legal challenges, etc.</w:t>
      </w:r>
    </w:p>
    <w:p w:rsidR="00485094" w:rsidRDefault="00485094" w:rsidP="00E86B70">
      <w:pPr>
        <w:pStyle w:val="Bodytextreduced"/>
      </w:pPr>
      <w:r>
        <w:t>** First five-year cycle = High-priority waters</w:t>
      </w:r>
    </w:p>
    <w:p w:rsidR="00485094" w:rsidRPr="00134AAF" w:rsidRDefault="00485094" w:rsidP="00E86B70">
      <w:pPr>
        <w:pStyle w:val="Bodytextreduced"/>
      </w:pPr>
      <w:r w:rsidRPr="00134AAF">
        <w:rPr>
          <w:vertAlign w:val="superscript"/>
        </w:rPr>
        <w:t>+</w:t>
      </w:r>
      <w:r>
        <w:rPr>
          <w:vertAlign w:val="superscript"/>
        </w:rPr>
        <w:t xml:space="preserve"> </w:t>
      </w:r>
      <w:r w:rsidRPr="00134AAF">
        <w:t xml:space="preserve"> </w:t>
      </w:r>
      <w:r>
        <w:t>Second five-year cycle = Medium-priority waters</w:t>
      </w: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F"/>
      </w:tblPr>
      <w:tblGrid>
        <w:gridCol w:w="1170"/>
        <w:gridCol w:w="819"/>
        <w:gridCol w:w="819"/>
        <w:gridCol w:w="819"/>
        <w:gridCol w:w="819"/>
        <w:gridCol w:w="819"/>
        <w:gridCol w:w="819"/>
        <w:gridCol w:w="819"/>
        <w:gridCol w:w="819"/>
        <w:gridCol w:w="819"/>
        <w:gridCol w:w="819"/>
      </w:tblGrid>
      <w:tr w:rsidR="00485094" w:rsidRPr="000F2909" w:rsidTr="00E86B70">
        <w:trPr>
          <w:trHeight w:val="129"/>
          <w:jc w:val="center"/>
        </w:trPr>
        <w:tc>
          <w:tcPr>
            <w:tcW w:w="1170"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Basin Group</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00/01</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01/02</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02/03*</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03*/04*</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04*/05*</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05*/06</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06/07</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07/08</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08/09</w:t>
            </w:r>
          </w:p>
        </w:tc>
        <w:tc>
          <w:tcPr>
            <w:tcW w:w="819" w:type="dxa"/>
            <w:tcBorders>
              <w:bottom w:val="double" w:sz="4" w:space="0" w:color="auto"/>
            </w:tcBorders>
            <w:shd w:val="clear" w:color="auto" w:fill="BDFFFF"/>
            <w:vAlign w:val="center"/>
          </w:tcPr>
          <w:p w:rsidR="00485094" w:rsidRPr="000F2909" w:rsidRDefault="00485094" w:rsidP="00E6035C">
            <w:pPr>
              <w:pStyle w:val="TableText"/>
              <w:jc w:val="center"/>
              <w:rPr>
                <w:rFonts w:ascii="Arial Bold" w:hAnsi="Arial Bold"/>
                <w:b/>
                <w:i/>
              </w:rPr>
            </w:pPr>
            <w:r w:rsidRPr="000F2909">
              <w:rPr>
                <w:rFonts w:ascii="Arial Bold" w:hAnsi="Arial Bold"/>
                <w:b/>
                <w:i/>
              </w:rPr>
              <w:t>Year 09/10</w:t>
            </w:r>
          </w:p>
        </w:tc>
      </w:tr>
      <w:tr w:rsidR="00485094" w:rsidTr="00E86B70">
        <w:trPr>
          <w:jc w:val="center"/>
        </w:trPr>
        <w:tc>
          <w:tcPr>
            <w:tcW w:w="1170" w:type="dxa"/>
            <w:tcBorders>
              <w:top w:val="double" w:sz="4" w:space="0" w:color="auto"/>
            </w:tcBorders>
            <w:vAlign w:val="center"/>
          </w:tcPr>
          <w:p w:rsidR="00485094" w:rsidRDefault="00485094" w:rsidP="00E6035C">
            <w:pPr>
              <w:pStyle w:val="TableText"/>
              <w:jc w:val="center"/>
            </w:pPr>
            <w:r>
              <w:t>Group 1</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tcBorders>
              <w:top w:val="double" w:sz="4" w:space="0" w:color="auto"/>
            </w:tcBorders>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tcBorders>
              <w:top w:val="double" w:sz="4" w:space="0" w:color="auto"/>
            </w:tcBorders>
            <w:shd w:val="clear" w:color="auto" w:fill="FFFFFF"/>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rPr>
                <w:rFonts w:ascii="Arial Bold" w:hAnsi="Arial Bold"/>
                <w:vertAlign w:val="superscript"/>
              </w:rPr>
              <w:t>+</w:t>
            </w:r>
          </w:p>
        </w:tc>
        <w:tc>
          <w:tcPr>
            <w:tcW w:w="819" w:type="dxa"/>
            <w:tcBorders>
              <w:top w:val="double" w:sz="4" w:space="0" w:color="auto"/>
            </w:tcBorders>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2</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3</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4</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rPr>
                <w:rFonts w:ascii="Arial Bold" w:hAnsi="Arial Bold"/>
                <w:vertAlign w:val="superscript"/>
              </w:rPr>
              <w:t>+</w:t>
            </w:r>
          </w:p>
        </w:tc>
      </w:tr>
      <w:tr w:rsidR="00485094" w:rsidTr="00E86B70">
        <w:trPr>
          <w:jc w:val="center"/>
        </w:trPr>
        <w:tc>
          <w:tcPr>
            <w:tcW w:w="1170" w:type="dxa"/>
            <w:vAlign w:val="center"/>
          </w:tcPr>
          <w:p w:rsidR="00485094" w:rsidRDefault="00485094" w:rsidP="00E6035C">
            <w:pPr>
              <w:pStyle w:val="TableText"/>
              <w:jc w:val="center"/>
            </w:pPr>
            <w:r>
              <w:t>Group 5</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vAlign w:val="center"/>
          </w:tcPr>
          <w:p w:rsidR="00485094" w:rsidRPr="00387524" w:rsidRDefault="00485094" w:rsidP="00E6035C">
            <w:pPr>
              <w:pStyle w:val="TableText"/>
              <w:jc w:val="center"/>
            </w:pP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2</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3</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4</w:t>
            </w:r>
            <w:r w:rsidRPr="00387524">
              <w:t>**</w:t>
            </w:r>
          </w:p>
        </w:tc>
        <w:tc>
          <w:tcPr>
            <w:tcW w:w="819" w:type="dxa"/>
            <w:shd w:val="clear" w:color="auto" w:fill="FFFFCC"/>
            <w:vAlign w:val="center"/>
          </w:tcPr>
          <w:p w:rsidR="00485094" w:rsidRPr="00387524" w:rsidRDefault="00485094" w:rsidP="00E6035C">
            <w:pPr>
              <w:pStyle w:val="TableText"/>
              <w:jc w:val="center"/>
              <w:rPr>
                <w:rFonts w:ascii="Arial Bold" w:hAnsi="Arial Bold"/>
              </w:rPr>
            </w:pPr>
            <w:r w:rsidRPr="00387524">
              <w:rPr>
                <w:rFonts w:ascii="Arial Bold" w:hAnsi="Arial Bold"/>
              </w:rPr>
              <w:t>Phase 5</w:t>
            </w:r>
            <w:r w:rsidRPr="00387524">
              <w:t>**</w:t>
            </w:r>
          </w:p>
        </w:tc>
        <w:tc>
          <w:tcPr>
            <w:tcW w:w="819" w:type="dxa"/>
            <w:vAlign w:val="center"/>
          </w:tcPr>
          <w:p w:rsidR="00485094" w:rsidRPr="00387524" w:rsidRDefault="00485094" w:rsidP="00E6035C">
            <w:pPr>
              <w:pStyle w:val="TableText"/>
              <w:jc w:val="center"/>
              <w:rPr>
                <w:rFonts w:ascii="Arial Bold" w:hAnsi="Arial Bold"/>
              </w:rPr>
            </w:pPr>
            <w:r w:rsidRPr="00387524">
              <w:rPr>
                <w:rFonts w:ascii="Arial Bold" w:hAnsi="Arial Bold"/>
              </w:rPr>
              <w:t>Phase 1</w:t>
            </w:r>
            <w:r w:rsidRPr="00387524">
              <w:rPr>
                <w:rFonts w:ascii="Arial Bold" w:hAnsi="Arial Bold"/>
                <w:vertAlign w:val="superscript"/>
              </w:rPr>
              <w:t>+</w:t>
            </w:r>
          </w:p>
        </w:tc>
      </w:tr>
    </w:tbl>
    <w:p w:rsidR="00485094" w:rsidRDefault="00485094" w:rsidP="00E86B70">
      <w:pPr>
        <w:pStyle w:val="Bodytextreduced"/>
      </w:pPr>
    </w:p>
    <w:p w:rsidR="00485094" w:rsidRDefault="00485094" w:rsidP="000D304A">
      <w:pPr>
        <w:pStyle w:val="Bodytextreduced"/>
        <w:rPr>
          <w:snapToGrid w:val="0"/>
        </w:rPr>
      </w:pPr>
    </w:p>
    <w:p w:rsidR="00485094" w:rsidRDefault="00485094" w:rsidP="004449BF">
      <w:pPr>
        <w:pStyle w:val="Heading2"/>
      </w:pPr>
      <w:bookmarkStart w:id="547" w:name="_Toc254269885"/>
      <w:bookmarkStart w:id="548" w:name="_Toc255822540"/>
      <w:bookmarkStart w:id="549" w:name="_Toc271794353"/>
      <w:r>
        <w:t>Determining A</w:t>
      </w:r>
      <w:r w:rsidRPr="00284535">
        <w:t>ttainment of Designated Use(s)</w:t>
      </w:r>
      <w:bookmarkEnd w:id="547"/>
      <w:bookmarkEnd w:id="548"/>
      <w:bookmarkEnd w:id="549"/>
    </w:p>
    <w:p w:rsidR="00485094" w:rsidRDefault="00485094" w:rsidP="005F5866">
      <w:pPr>
        <w:pStyle w:val="Bodytext"/>
      </w:pPr>
      <w:r>
        <w:t>T</w:t>
      </w:r>
      <w:r w:rsidRPr="00815973">
        <w:t xml:space="preserve">he designated uses of a given waterbody are established using the surface water quality classification system described </w:t>
      </w:r>
      <w:r>
        <w:t xml:space="preserve">in the section on Florida’s </w:t>
      </w:r>
      <w:r w:rsidRPr="009E07BE">
        <w:t>Water Quality Standards Program</w:t>
      </w:r>
      <w:r>
        <w:t xml:space="preserve"> in </w:t>
      </w:r>
      <w:hyperlink w:anchor="_Chapter_11:_" w:history="1">
        <w:r w:rsidRPr="00512DF2">
          <w:rPr>
            <w:rStyle w:val="Hyperlink"/>
          </w:rPr>
          <w:t>Chapter 11</w:t>
        </w:r>
      </w:hyperlink>
      <w:r>
        <w:t>.  Specific w</w:t>
      </w:r>
      <w:r w:rsidRPr="000615B5">
        <w:t xml:space="preserve">ater quality criteria, expressed as numeric or narrative limits for specific parameters, describe the water quality necessary to maintain </w:t>
      </w:r>
      <w:r>
        <w:t xml:space="preserve">each of </w:t>
      </w:r>
      <w:r w:rsidRPr="000615B5">
        <w:t>these uses for s</w:t>
      </w:r>
      <w:r>
        <w:t>urface water and ground water.</w:t>
      </w:r>
    </w:p>
    <w:p w:rsidR="00485094" w:rsidRDefault="00485094" w:rsidP="005F5866">
      <w:pPr>
        <w:pStyle w:val="Bodytext"/>
      </w:pPr>
    </w:p>
    <w:p w:rsidR="00485094" w:rsidRPr="00815973" w:rsidRDefault="00485094" w:rsidP="005F5866">
      <w:pPr>
        <w:pStyle w:val="Bodytext"/>
      </w:pPr>
      <w:r>
        <w:t xml:space="preserve">It </w:t>
      </w:r>
      <w:r w:rsidRPr="00815973">
        <w:t>is important to note</w:t>
      </w:r>
      <w:r>
        <w:t>, however,</w:t>
      </w:r>
      <w:r w:rsidRPr="00815973">
        <w:t xml:space="preserve"> that the EPA uses slightly different terminology in its description of designated uses.  Because </w:t>
      </w:r>
      <w:r>
        <w:t>FDEP</w:t>
      </w:r>
      <w:r w:rsidRPr="00815973">
        <w:t xml:space="preserve"> is required to provide use attainment status for both the </w:t>
      </w:r>
      <w:r w:rsidRPr="00815973">
        <w:lastRenderedPageBreak/>
        <w:t xml:space="preserve">state’s 305(b) report and the state’s 303(d) list of impaired waters, </w:t>
      </w:r>
      <w:r>
        <w:t>FDEP</w:t>
      </w:r>
      <w:r w:rsidRPr="00815973">
        <w:t xml:space="preserve"> uses EPA terminology when assessing waters for use attainment.  The water quality evaluations and decision processes for listing impaired waters that are defined in Florida’s IWR are based on the following designated use attainment categories:</w:t>
      </w:r>
    </w:p>
    <w:p w:rsidR="00485094" w:rsidRDefault="00485094" w:rsidP="00456F87">
      <w:pPr>
        <w:pStyle w:val="Bodytextreduced"/>
        <w:rPr>
          <w:snapToGrid w:val="0"/>
        </w:rPr>
      </w:pPr>
    </w:p>
    <w:p w:rsidR="00485094" w:rsidRPr="008F78DD" w:rsidRDefault="00485094" w:rsidP="00FE4395">
      <w:pPr>
        <w:pStyle w:val="ListBullet"/>
      </w:pPr>
      <w:r w:rsidRPr="008F78DD">
        <w:t>Aquatic Life Use Support</w:t>
      </w:r>
      <w:r>
        <w:t>–</w:t>
      </w:r>
      <w:r w:rsidRPr="008F78DD">
        <w:t>Based Attainment</w:t>
      </w:r>
    </w:p>
    <w:p w:rsidR="00485094" w:rsidRPr="008F78DD" w:rsidRDefault="00485094" w:rsidP="00FE4395">
      <w:pPr>
        <w:pStyle w:val="ListBullet"/>
      </w:pPr>
      <w:r w:rsidRPr="008F78DD">
        <w:t>Primary Contact and Recreation Attainment</w:t>
      </w:r>
    </w:p>
    <w:p w:rsidR="00485094" w:rsidRPr="008F78DD" w:rsidRDefault="00485094" w:rsidP="00FE4395">
      <w:pPr>
        <w:pStyle w:val="ListBullet"/>
      </w:pPr>
      <w:r w:rsidRPr="008F78DD">
        <w:t>Fish and Shellfish Consumption Attainment</w:t>
      </w:r>
    </w:p>
    <w:p w:rsidR="00485094" w:rsidRPr="008F78DD" w:rsidRDefault="00485094" w:rsidP="00FE4395">
      <w:pPr>
        <w:pStyle w:val="ListBullet"/>
      </w:pPr>
      <w:r w:rsidRPr="008F78DD">
        <w:t>Drinking Water Use Attainment</w:t>
      </w:r>
    </w:p>
    <w:p w:rsidR="00485094" w:rsidRPr="008F78DD" w:rsidRDefault="00485094" w:rsidP="00FE4395">
      <w:pPr>
        <w:pStyle w:val="ListBullet"/>
      </w:pPr>
      <w:r w:rsidRPr="008F78DD">
        <w:t>Protection of Human Health</w:t>
      </w:r>
    </w:p>
    <w:p w:rsidR="00485094" w:rsidRDefault="00485094" w:rsidP="00CE04F4">
      <w:pPr>
        <w:pStyle w:val="Bodytextreduced"/>
      </w:pPr>
    </w:p>
    <w:p w:rsidR="00485094" w:rsidRPr="00815973" w:rsidRDefault="00485094" w:rsidP="005F5866">
      <w:pPr>
        <w:pStyle w:val="BodyText0"/>
        <w:rPr>
          <w:sz w:val="22"/>
          <w:szCs w:val="22"/>
        </w:rPr>
      </w:pPr>
      <w:r w:rsidRPr="00FE4395">
        <w:rPr>
          <w:b/>
          <w:i/>
          <w:sz w:val="22"/>
          <w:szCs w:val="22"/>
        </w:rPr>
        <w:t>Table 7.4</w:t>
      </w:r>
      <w:r w:rsidRPr="00FE4395">
        <w:rPr>
          <w:i/>
          <w:sz w:val="22"/>
          <w:szCs w:val="22"/>
        </w:rPr>
        <w:t xml:space="preserve"> </w:t>
      </w:r>
      <w:r w:rsidRPr="00FE4395">
        <w:rPr>
          <w:sz w:val="22"/>
          <w:szCs w:val="22"/>
        </w:rPr>
        <w:t>summarizes the designated uses assigned to Florida’s various surface water</w:t>
      </w:r>
      <w:r w:rsidRPr="00815973">
        <w:rPr>
          <w:sz w:val="22"/>
          <w:szCs w:val="22"/>
        </w:rPr>
        <w:t xml:space="preserve"> classifications.</w:t>
      </w:r>
    </w:p>
    <w:p w:rsidR="00485094" w:rsidRDefault="00485094" w:rsidP="005F5866">
      <w:pPr>
        <w:pStyle w:val="BodyText0"/>
      </w:pPr>
    </w:p>
    <w:p w:rsidR="00485094" w:rsidRDefault="00485094" w:rsidP="005F5866">
      <w:pPr>
        <w:pStyle w:val="Tableheading"/>
      </w:pPr>
      <w:bookmarkStart w:id="550" w:name="_Toc254267133"/>
      <w:bookmarkStart w:id="551" w:name="_Toc255807508"/>
      <w:bookmarkStart w:id="552" w:name="_Toc271889861"/>
      <w:r>
        <w:t>Table 7.4.  Designated Use Attainment Categories for Surface Waters in Florida</w:t>
      </w:r>
      <w:bookmarkEnd w:id="550"/>
      <w:bookmarkEnd w:id="551"/>
      <w:bookmarkEnd w:id="552"/>
    </w:p>
    <w:p w:rsidR="00485094" w:rsidRDefault="00485094" w:rsidP="00756107">
      <w:pPr>
        <w:pStyle w:val="TabledescriptionBF"/>
      </w:pPr>
      <w:r>
        <w:t>This is a two-column table.  Column 1 lists the designated use attainment category used in the IWR evaluation, and Column 2 lists the applicable Florida surface water classification.</w:t>
      </w:r>
    </w:p>
    <w:p w:rsidR="00485094" w:rsidRPr="002C31AF" w:rsidRDefault="00485094" w:rsidP="002C31AF">
      <w:pPr>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4428"/>
      </w:tblGrid>
      <w:tr w:rsidR="00485094" w:rsidRPr="0054245F" w:rsidTr="00E86B70">
        <w:trPr>
          <w:jc w:val="center"/>
        </w:trPr>
        <w:tc>
          <w:tcPr>
            <w:tcW w:w="4428" w:type="dxa"/>
            <w:tcBorders>
              <w:bottom w:val="double" w:sz="4" w:space="0" w:color="auto"/>
            </w:tcBorders>
            <w:shd w:val="clear" w:color="auto" w:fill="BDFFFF"/>
            <w:vAlign w:val="center"/>
          </w:tcPr>
          <w:p w:rsidR="00485094" w:rsidRPr="0054245F" w:rsidRDefault="00485094" w:rsidP="005F5866">
            <w:pPr>
              <w:pStyle w:val="TableText"/>
              <w:jc w:val="center"/>
              <w:rPr>
                <w:b/>
                <w:i/>
              </w:rPr>
            </w:pPr>
            <w:r w:rsidRPr="0054245F">
              <w:rPr>
                <w:b/>
                <w:i/>
              </w:rPr>
              <w:t>Designated Use Attainment Category Used in IWR Evaluation</w:t>
            </w:r>
          </w:p>
        </w:tc>
        <w:tc>
          <w:tcPr>
            <w:tcW w:w="4428" w:type="dxa"/>
            <w:tcBorders>
              <w:bottom w:val="double" w:sz="4" w:space="0" w:color="auto"/>
            </w:tcBorders>
            <w:shd w:val="clear" w:color="auto" w:fill="BDFFFF"/>
            <w:vAlign w:val="center"/>
          </w:tcPr>
          <w:p w:rsidR="00485094" w:rsidRDefault="00485094" w:rsidP="005F5866">
            <w:pPr>
              <w:pStyle w:val="TableText"/>
              <w:jc w:val="center"/>
              <w:rPr>
                <w:b/>
                <w:i/>
              </w:rPr>
            </w:pPr>
            <w:r w:rsidRPr="0054245F">
              <w:rPr>
                <w:b/>
                <w:i/>
              </w:rPr>
              <w:t xml:space="preserve">Applicable Florida </w:t>
            </w:r>
          </w:p>
          <w:p w:rsidR="00485094" w:rsidRPr="0054245F" w:rsidRDefault="00485094" w:rsidP="005F5866">
            <w:pPr>
              <w:pStyle w:val="TableText"/>
              <w:jc w:val="center"/>
              <w:rPr>
                <w:b/>
                <w:i/>
              </w:rPr>
            </w:pPr>
            <w:r w:rsidRPr="0054245F">
              <w:rPr>
                <w:b/>
                <w:i/>
              </w:rPr>
              <w:t>Surface Water Classification</w:t>
            </w:r>
          </w:p>
        </w:tc>
      </w:tr>
      <w:tr w:rsidR="00485094" w:rsidTr="00FE4395">
        <w:trPr>
          <w:trHeight w:val="288"/>
          <w:jc w:val="center"/>
        </w:trPr>
        <w:tc>
          <w:tcPr>
            <w:tcW w:w="4428" w:type="dxa"/>
            <w:tcBorders>
              <w:top w:val="double" w:sz="4" w:space="0" w:color="auto"/>
            </w:tcBorders>
            <w:shd w:val="clear" w:color="auto" w:fill="FFFFCC"/>
            <w:vAlign w:val="center"/>
          </w:tcPr>
          <w:p w:rsidR="00485094" w:rsidRDefault="00485094" w:rsidP="005F5866">
            <w:pPr>
              <w:pStyle w:val="TableText"/>
              <w:jc w:val="center"/>
            </w:pPr>
            <w:r>
              <w:t>Aquatic Life Use Support-Based Attainment</w:t>
            </w:r>
          </w:p>
        </w:tc>
        <w:tc>
          <w:tcPr>
            <w:tcW w:w="4428" w:type="dxa"/>
            <w:tcBorders>
              <w:top w:val="double" w:sz="4" w:space="0" w:color="auto"/>
            </w:tcBorders>
            <w:vAlign w:val="center"/>
          </w:tcPr>
          <w:p w:rsidR="00485094" w:rsidRDefault="00485094" w:rsidP="005F5866">
            <w:pPr>
              <w:pStyle w:val="TableText"/>
              <w:jc w:val="center"/>
            </w:pPr>
            <w:r>
              <w:t>Class I, II, and III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Primary Contact and Recreation Attainment</w:t>
            </w:r>
          </w:p>
        </w:tc>
        <w:tc>
          <w:tcPr>
            <w:tcW w:w="4428" w:type="dxa"/>
            <w:vAlign w:val="center"/>
          </w:tcPr>
          <w:p w:rsidR="00485094" w:rsidRDefault="00485094" w:rsidP="005F5866">
            <w:pPr>
              <w:pStyle w:val="TableText"/>
              <w:jc w:val="center"/>
            </w:pPr>
            <w:r>
              <w:t>Class I, II, and III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Fish and Shellfish Consumption Attainment</w:t>
            </w:r>
          </w:p>
        </w:tc>
        <w:tc>
          <w:tcPr>
            <w:tcW w:w="4428" w:type="dxa"/>
            <w:vAlign w:val="center"/>
          </w:tcPr>
          <w:p w:rsidR="00485094" w:rsidRDefault="00485094" w:rsidP="005F5866">
            <w:pPr>
              <w:pStyle w:val="TableText"/>
              <w:jc w:val="center"/>
            </w:pPr>
            <w:r>
              <w:t>Class II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 xml:space="preserve">Drinking Water Use Attainment </w:t>
            </w:r>
          </w:p>
        </w:tc>
        <w:tc>
          <w:tcPr>
            <w:tcW w:w="4428" w:type="dxa"/>
            <w:vAlign w:val="center"/>
          </w:tcPr>
          <w:p w:rsidR="00485094" w:rsidRDefault="00485094" w:rsidP="005F5866">
            <w:pPr>
              <w:pStyle w:val="TableText"/>
              <w:jc w:val="center"/>
            </w:pPr>
            <w:r>
              <w:t>Class I</w:t>
            </w:r>
          </w:p>
        </w:tc>
      </w:tr>
      <w:tr w:rsidR="00485094" w:rsidTr="00FE4395">
        <w:trPr>
          <w:trHeight w:val="288"/>
          <w:jc w:val="center"/>
        </w:trPr>
        <w:tc>
          <w:tcPr>
            <w:tcW w:w="4428" w:type="dxa"/>
            <w:shd w:val="clear" w:color="auto" w:fill="FFFFCC"/>
            <w:vAlign w:val="center"/>
          </w:tcPr>
          <w:p w:rsidR="00485094" w:rsidRDefault="00485094" w:rsidP="005F5866">
            <w:pPr>
              <w:pStyle w:val="TableText"/>
              <w:jc w:val="center"/>
            </w:pPr>
            <w:r>
              <w:t>Protection of Human Health</w:t>
            </w:r>
          </w:p>
        </w:tc>
        <w:tc>
          <w:tcPr>
            <w:tcW w:w="4428" w:type="dxa"/>
            <w:vAlign w:val="center"/>
          </w:tcPr>
          <w:p w:rsidR="00485094" w:rsidRDefault="00485094" w:rsidP="005F5866">
            <w:pPr>
              <w:pStyle w:val="TableText"/>
              <w:jc w:val="center"/>
            </w:pPr>
            <w:r>
              <w:t>Class I, II, and III</w:t>
            </w:r>
          </w:p>
        </w:tc>
      </w:tr>
    </w:tbl>
    <w:p w:rsidR="00485094" w:rsidRDefault="00485094" w:rsidP="00CE04F4">
      <w:pPr>
        <w:pStyle w:val="Bodytextreduced"/>
      </w:pPr>
    </w:p>
    <w:p w:rsidR="00485094" w:rsidRDefault="00485094" w:rsidP="00CE04F4">
      <w:pPr>
        <w:pStyle w:val="Bodytextreduced"/>
      </w:pPr>
    </w:p>
    <w:p w:rsidR="00485094" w:rsidRPr="00E375A7" w:rsidRDefault="00485094" w:rsidP="004449BF">
      <w:pPr>
        <w:pStyle w:val="Heading2"/>
      </w:pPr>
      <w:bookmarkStart w:id="553" w:name="_Toc254269886"/>
      <w:bookmarkStart w:id="554" w:name="_Toc255822541"/>
      <w:bookmarkStart w:id="555" w:name="_Toc271794354"/>
      <w:r w:rsidRPr="00E375A7">
        <w:t>How Data Are Identified and Evaluated</w:t>
      </w:r>
      <w:bookmarkEnd w:id="553"/>
      <w:bookmarkEnd w:id="554"/>
      <w:bookmarkEnd w:id="555"/>
    </w:p>
    <w:p w:rsidR="00485094" w:rsidRDefault="00485094" w:rsidP="004449BF">
      <w:pPr>
        <w:pStyle w:val="Heading3"/>
      </w:pPr>
      <w:bookmarkStart w:id="556" w:name="_Toc255822542"/>
      <w:bookmarkStart w:id="557" w:name="_Toc271794355"/>
      <w:r>
        <w:t xml:space="preserve">The </w:t>
      </w:r>
      <w:r w:rsidRPr="00815973">
        <w:t>Impaired Surface Waters Rule</w:t>
      </w:r>
      <w:bookmarkEnd w:id="556"/>
      <w:bookmarkEnd w:id="557"/>
    </w:p>
    <w:p w:rsidR="00485094" w:rsidRDefault="00485094" w:rsidP="005F5866">
      <w:pPr>
        <w:pStyle w:val="Bodytext"/>
      </w:pPr>
      <w:r w:rsidRPr="00815973">
        <w:t xml:space="preserve">To identify impaired waters in each of the state’s river basins, </w:t>
      </w:r>
      <w:r>
        <w:t>FDEP</w:t>
      </w:r>
      <w:r w:rsidRPr="00815973">
        <w:t xml:space="preserve"> evaluates water quality data using the science-based me</w:t>
      </w:r>
      <w:r>
        <w:t xml:space="preserve">thodology in the IWR </w:t>
      </w:r>
      <w:r w:rsidRPr="00815973">
        <w:rPr>
          <w:color w:val="000000"/>
        </w:rPr>
        <w:t>(</w:t>
      </w:r>
      <w:r>
        <w:rPr>
          <w:color w:val="000000"/>
        </w:rPr>
        <w:t>Chapter</w:t>
      </w:r>
      <w:r w:rsidRPr="00815973">
        <w:rPr>
          <w:color w:val="000000"/>
        </w:rPr>
        <w:t xml:space="preserve"> 62-303, F.A.C</w:t>
      </w:r>
      <w:r>
        <w:rPr>
          <w:color w:val="000000"/>
        </w:rPr>
        <w:t>.)</w:t>
      </w:r>
      <w:r w:rsidRPr="00815973">
        <w:t>.  The rule</w:t>
      </w:r>
      <w:r w:rsidRPr="00815973">
        <w:rPr>
          <w:color w:val="000000"/>
        </w:rPr>
        <w:t xml:space="preserve"> </w:t>
      </w:r>
      <w:r w:rsidRPr="00815973">
        <w:t xml:space="preserve">establishes </w:t>
      </w:r>
      <w:r w:rsidRPr="00815973">
        <w:rPr>
          <w:color w:val="000000"/>
        </w:rPr>
        <w:t xml:space="preserve">specific criteria and </w:t>
      </w:r>
      <w:r w:rsidRPr="00815973">
        <w:t>thresholds for impairment, in addition to data sufficiency and data quality requirements.  The methodology</w:t>
      </w:r>
      <w:r w:rsidRPr="00815973">
        <w:rPr>
          <w:color w:val="000000"/>
        </w:rPr>
        <w:t xml:space="preserve"> described in the rule is based on a statistical approach </w:t>
      </w:r>
      <w:r>
        <w:rPr>
          <w:color w:val="000000"/>
        </w:rPr>
        <w:t xml:space="preserve">(called the binomial method) </w:t>
      </w:r>
      <w:r w:rsidRPr="00815973">
        <w:rPr>
          <w:color w:val="000000"/>
        </w:rPr>
        <w:t xml:space="preserve">designed to provide greater confidence that the outcome of the water quality assessment is </w:t>
      </w:r>
      <w:r w:rsidRPr="00BA557A">
        <w:rPr>
          <w:color w:val="000000"/>
        </w:rPr>
        <w:t>correct.</w:t>
      </w:r>
      <w:r w:rsidRPr="00BA557A">
        <w:t xml:space="preserve">  </w:t>
      </w:r>
    </w:p>
    <w:p w:rsidR="00485094" w:rsidRDefault="00485094" w:rsidP="005F5866">
      <w:pPr>
        <w:pStyle w:val="Bodytext"/>
      </w:pPr>
    </w:p>
    <w:p w:rsidR="00485094" w:rsidRDefault="00485094" w:rsidP="005F5866">
      <w:pPr>
        <w:pStyle w:val="Bodytext"/>
      </w:pPr>
      <w:r w:rsidRPr="00BA557A">
        <w:t>In 2006,</w:t>
      </w:r>
      <w:r w:rsidRPr="002F14C3">
        <w:t xml:space="preserve"> and again in 2007, the IWR was amended to address </w:t>
      </w:r>
      <w:r>
        <w:t xml:space="preserve">EPA’s comments following federal </w:t>
      </w:r>
      <w:r w:rsidRPr="002F14C3">
        <w:t>legal challenges that arose following its original adoption in 2001.  After the state rulemaking process was completed, the revised IWR was submitted to the EPA on September 14, 2007, as a change to Florida Water Quality Standards.  On February 19, 2008,</w:t>
      </w:r>
      <w:r>
        <w:t xml:space="preserve"> the EPA sent a letter of approval to FDEP acknowledging that the IWR was an approved change to the Water Quality Standards.  The </w:t>
      </w:r>
      <w:hyperlink r:id="rId126" w:history="1">
        <w:r w:rsidRPr="00ED0D03">
          <w:rPr>
            <w:rStyle w:val="Hyperlink"/>
          </w:rPr>
          <w:t xml:space="preserve">current </w:t>
        </w:r>
        <w:r>
          <w:rPr>
            <w:rStyle w:val="Hyperlink"/>
          </w:rPr>
          <w:t xml:space="preserve"> </w:t>
        </w:r>
        <w:r w:rsidRPr="00ED0D03">
          <w:rPr>
            <w:rStyle w:val="Hyperlink"/>
          </w:rPr>
          <w:t>IWR</w:t>
        </w:r>
      </w:hyperlink>
      <w:r>
        <w:t xml:space="preserve"> is available on the FDEP website.</w:t>
      </w:r>
    </w:p>
    <w:p w:rsidR="00485094" w:rsidRDefault="00485094" w:rsidP="005F5866">
      <w:pPr>
        <w:pStyle w:val="Bodytext"/>
      </w:pPr>
    </w:p>
    <w:p w:rsidR="00485094" w:rsidRPr="00815973" w:rsidRDefault="00485094" w:rsidP="005F5866">
      <w:pPr>
        <w:pStyle w:val="BodyText0"/>
        <w:rPr>
          <w:sz w:val="22"/>
          <w:szCs w:val="22"/>
        </w:rPr>
      </w:pPr>
      <w:r w:rsidRPr="00815973">
        <w:rPr>
          <w:sz w:val="22"/>
          <w:szCs w:val="22"/>
        </w:rPr>
        <w:t xml:space="preserve">As part of the watershed management approach, for each river basin in the state </w:t>
      </w:r>
      <w:r>
        <w:rPr>
          <w:sz w:val="22"/>
          <w:szCs w:val="22"/>
        </w:rPr>
        <w:t>FDEP follows</w:t>
      </w:r>
      <w:r w:rsidRPr="00815973">
        <w:rPr>
          <w:sz w:val="22"/>
          <w:szCs w:val="22"/>
        </w:rPr>
        <w:t xml:space="preserve"> the methodology in Section 62-303.300, F.A.C., to develop a Planning List of potentially impaired waters to be assessed under Subsections 403.067(2) and (3), </w:t>
      </w:r>
      <w:r>
        <w:rPr>
          <w:sz w:val="22"/>
          <w:szCs w:val="22"/>
        </w:rPr>
        <w:t>F.S</w:t>
      </w:r>
      <w:r w:rsidRPr="00815973">
        <w:rPr>
          <w:sz w:val="22"/>
          <w:szCs w:val="22"/>
        </w:rPr>
        <w:t xml:space="preserve">.  The methodology for developing the Planning List includes an evaluation of aquatic life use support, primary </w:t>
      </w:r>
      <w:r w:rsidRPr="00815973">
        <w:rPr>
          <w:sz w:val="22"/>
          <w:szCs w:val="22"/>
        </w:rPr>
        <w:lastRenderedPageBreak/>
        <w:t xml:space="preserve">contact and recreational use support, fish and shellfish consumption use support, drinking water use support, and protection of human health.  </w:t>
      </w:r>
      <w:r>
        <w:rPr>
          <w:sz w:val="22"/>
          <w:szCs w:val="22"/>
        </w:rPr>
        <w:t>Only in limited circumstances can d</w:t>
      </w:r>
      <w:r w:rsidRPr="00815973">
        <w:rPr>
          <w:sz w:val="22"/>
          <w:szCs w:val="22"/>
        </w:rPr>
        <w:t>ata older than 10 years be used to evaluate water quality criteria exceedances for the Planning List.  As required by Subsection 403.067(2), F.S., the Planning List will not be used to administer or implement any regulatory program, and is submitted to the EPA for informational purposes only.</w:t>
      </w:r>
    </w:p>
    <w:p w:rsidR="00485094" w:rsidRDefault="00485094" w:rsidP="005F5866">
      <w:pPr>
        <w:pStyle w:val="BodyText0"/>
        <w:rPr>
          <w:sz w:val="22"/>
          <w:szCs w:val="22"/>
        </w:rPr>
      </w:pPr>
    </w:p>
    <w:p w:rsidR="00485094" w:rsidRDefault="00485094" w:rsidP="005F5866">
      <w:pPr>
        <w:pStyle w:val="Bodytext"/>
      </w:pPr>
      <w:r w:rsidRPr="00815973">
        <w:t xml:space="preserve">After further assessment, using the methodology in Part III, Section 62-303.400, F.A.C., </w:t>
      </w:r>
      <w:r>
        <w:t xml:space="preserve">FDEP </w:t>
      </w:r>
      <w:r w:rsidRPr="00815973">
        <w:t>determine</w:t>
      </w:r>
      <w:r>
        <w:t>s</w:t>
      </w:r>
      <w:r w:rsidRPr="00815973">
        <w:t xml:space="preserve"> if waters on the Planning List are, in fact, impaired and if the impairment is caused by pollutant discharges.  These waters are placed on a Verified List.  The </w:t>
      </w:r>
      <w:r>
        <w:t>threshold and data requirements</w:t>
      </w:r>
      <w:r w:rsidRPr="00815973">
        <w:t xml:space="preserve"> for the Verified List are </w:t>
      </w:r>
      <w:r>
        <w:t xml:space="preserve">generally </w:t>
      </w:r>
      <w:r w:rsidRPr="00815973">
        <w:t xml:space="preserve">more stringent than those for the Planning List.  </w:t>
      </w:r>
      <w:r>
        <w:t>Other than those instances identified in the IWR, d</w:t>
      </w:r>
      <w:r w:rsidRPr="00815973">
        <w:t>ata older than 7.5 years</w:t>
      </w:r>
      <w:r>
        <w:t>, or from the period of record,</w:t>
      </w:r>
      <w:r w:rsidRPr="00815973">
        <w:t xml:space="preserve"> </w:t>
      </w:r>
      <w:r>
        <w:t>are</w:t>
      </w:r>
      <w:r w:rsidRPr="00815973">
        <w:t xml:space="preserve"> </w:t>
      </w:r>
      <w:r>
        <w:t xml:space="preserve">generally </w:t>
      </w:r>
      <w:r w:rsidRPr="00815973">
        <w:t xml:space="preserve">not used to verify impairment.  </w:t>
      </w:r>
      <w:r>
        <w:t xml:space="preserve">If a decision can be made using available, recent data, then FDEP uses those data.  However, when a decision cannot be made, then FDEP considers older data if it is available.  Considerations include whether the data were analyzed at FDEP’s own lab, what quality assurance procedures were used in collecting the data, and whether metadata are available.  The flow chart in </w:t>
      </w:r>
      <w:r w:rsidRPr="00A908ED">
        <w:rPr>
          <w:b/>
          <w:i/>
        </w:rPr>
        <w:t>Figure 7.1</w:t>
      </w:r>
      <w:r>
        <w:t xml:space="preserve"> demonstrates how older data are considered and assessments are carried out.  </w:t>
      </w:r>
      <w:r w:rsidRPr="00815973">
        <w:t xml:space="preserve">The Verified List </w:t>
      </w:r>
      <w:r>
        <w:t>is</w:t>
      </w:r>
      <w:r w:rsidRPr="00815973">
        <w:t xml:space="preserve"> adopted by Secretarial Order and forwarded to the EPA for approval as Florida’s Section 303(d) list of impaired waters.  </w:t>
      </w:r>
      <w:r>
        <w:t xml:space="preserve">FDEP </w:t>
      </w:r>
      <w:r w:rsidRPr="00815973">
        <w:t>develop</w:t>
      </w:r>
      <w:r>
        <w:t>s</w:t>
      </w:r>
      <w:r w:rsidRPr="00815973">
        <w:t xml:space="preserve"> TMDLs for these waters under Subsection 403.067(4), F.S.</w:t>
      </w:r>
    </w:p>
    <w:p w:rsidR="00485094" w:rsidRDefault="00485094" w:rsidP="000D304A">
      <w:pPr>
        <w:pStyle w:val="Bodytext"/>
      </w:pPr>
      <w:bookmarkStart w:id="558" w:name="_Toc255822543"/>
    </w:p>
    <w:p w:rsidR="00485094" w:rsidRPr="003F21F8" w:rsidRDefault="00485094" w:rsidP="002723B1">
      <w:pPr>
        <w:pStyle w:val="Heading2"/>
        <w:rPr>
          <w:i/>
        </w:rPr>
      </w:pPr>
      <w:bookmarkStart w:id="559" w:name="_Toc271794356"/>
      <w:r w:rsidRPr="003F21F8">
        <w:rPr>
          <w:i/>
        </w:rPr>
        <w:t>Sources of Data</w:t>
      </w:r>
      <w:bookmarkEnd w:id="558"/>
      <w:bookmarkEnd w:id="559"/>
    </w:p>
    <w:p w:rsidR="00485094" w:rsidRPr="007853D5" w:rsidRDefault="00485094" w:rsidP="002723B1">
      <w:pPr>
        <w:pStyle w:val="Bodytext"/>
        <w:rPr>
          <w:color w:val="000000"/>
        </w:rPr>
      </w:pPr>
      <w:r>
        <w:t>FDEP</w:t>
      </w:r>
      <w:r w:rsidRPr="00E375A7">
        <w:t xml:space="preserve">’s assessment of water quality for each basin statewide </w:t>
      </w:r>
      <w:r w:rsidRPr="007853D5">
        <w:t xml:space="preserve">includes an analysis of quantitative data from a variety of sources, many of which are readily available to the public.  These sources include the EPA’s Legacy and modernized STORET </w:t>
      </w:r>
      <w:r w:rsidR="00EE4CFE">
        <w:t>d</w:t>
      </w:r>
      <w:r w:rsidR="0011748B" w:rsidRPr="007853D5">
        <w:t>atabases</w:t>
      </w:r>
      <w:r w:rsidRPr="007853D5">
        <w:t xml:space="preserve">, USGS, </w:t>
      </w:r>
      <w:r>
        <w:t>FDEP</w:t>
      </w:r>
      <w:r w:rsidRPr="007853D5">
        <w:t xml:space="preserve">, </w:t>
      </w:r>
      <w:r>
        <w:t>FDOH</w:t>
      </w:r>
      <w:r w:rsidRPr="007853D5">
        <w:t>, the water management districts, local governments, and volunteer monitoring groups.</w:t>
      </w:r>
    </w:p>
    <w:p w:rsidR="00485094" w:rsidRDefault="00485094" w:rsidP="002723B1">
      <w:pPr>
        <w:pStyle w:val="BodyText0"/>
        <w:rPr>
          <w:sz w:val="22"/>
          <w:szCs w:val="22"/>
        </w:rPr>
      </w:pPr>
    </w:p>
    <w:p w:rsidR="00485094" w:rsidRDefault="00485094" w:rsidP="002723B1">
      <w:pPr>
        <w:pStyle w:val="BodyText0"/>
        <w:rPr>
          <w:sz w:val="22"/>
          <w:szCs w:val="22"/>
        </w:rPr>
      </w:pPr>
      <w:r w:rsidRPr="007853D5">
        <w:rPr>
          <w:sz w:val="22"/>
          <w:szCs w:val="22"/>
        </w:rPr>
        <w:t xml:space="preserve">Historically, </w:t>
      </w:r>
      <w:r>
        <w:rPr>
          <w:sz w:val="22"/>
          <w:szCs w:val="22"/>
        </w:rPr>
        <w:t>FDEP</w:t>
      </w:r>
      <w:r w:rsidRPr="007853D5">
        <w:rPr>
          <w:sz w:val="22"/>
          <w:szCs w:val="22"/>
        </w:rPr>
        <w:t xml:space="preserve"> carried out statewide water quality assessments using data available in the </w:t>
      </w:r>
      <w:r w:rsidRPr="00225579">
        <w:rPr>
          <w:sz w:val="22"/>
          <w:szCs w:val="22"/>
        </w:rPr>
        <w:t xml:space="preserve">EPA’s Legacy STORET </w:t>
      </w:r>
      <w:r w:rsidR="00EE4CFE">
        <w:rPr>
          <w:sz w:val="22"/>
          <w:szCs w:val="22"/>
        </w:rPr>
        <w:t>d</w:t>
      </w:r>
      <w:r w:rsidR="00EE4CFE" w:rsidRPr="00225579">
        <w:rPr>
          <w:sz w:val="22"/>
          <w:szCs w:val="22"/>
        </w:rPr>
        <w:t>atabase</w:t>
      </w:r>
      <w:r w:rsidRPr="00225579">
        <w:rPr>
          <w:sz w:val="22"/>
          <w:szCs w:val="22"/>
        </w:rPr>
        <w:t>; Legacy STORET makes up approximately 40% of the</w:t>
      </w:r>
      <w:r w:rsidRPr="007853D5">
        <w:rPr>
          <w:sz w:val="22"/>
          <w:szCs w:val="22"/>
        </w:rPr>
        <w:t xml:space="preserve"> statewide data used in the IWR assessment.  The Legacy STORET dataset is a repository of data collected and uploaded by numerous organizations through 1999.  The Legacy STORET </w:t>
      </w:r>
      <w:r w:rsidR="00EE4CFE">
        <w:rPr>
          <w:sz w:val="22"/>
          <w:szCs w:val="22"/>
        </w:rPr>
        <w:t>d</w:t>
      </w:r>
      <w:r w:rsidR="00EE4CFE" w:rsidRPr="007853D5">
        <w:rPr>
          <w:sz w:val="22"/>
          <w:szCs w:val="22"/>
        </w:rPr>
        <w:t xml:space="preserve">atabase </w:t>
      </w:r>
      <w:r w:rsidRPr="007853D5">
        <w:rPr>
          <w:sz w:val="22"/>
          <w:szCs w:val="22"/>
        </w:rPr>
        <w:t xml:space="preserve">can be accessed </w:t>
      </w:r>
      <w:r>
        <w:rPr>
          <w:sz w:val="22"/>
          <w:szCs w:val="22"/>
        </w:rPr>
        <w:t xml:space="preserve">on the </w:t>
      </w:r>
      <w:hyperlink r:id="rId127" w:history="1">
        <w:r w:rsidRPr="00577E5C">
          <w:rPr>
            <w:rStyle w:val="Hyperlink"/>
            <w:sz w:val="22"/>
            <w:szCs w:val="22"/>
          </w:rPr>
          <w:t xml:space="preserve">FDEP </w:t>
        </w:r>
        <w:r>
          <w:rPr>
            <w:rStyle w:val="Hyperlink"/>
            <w:sz w:val="22"/>
            <w:szCs w:val="22"/>
          </w:rPr>
          <w:t xml:space="preserve">STORET </w:t>
        </w:r>
        <w:r w:rsidRPr="00577E5C">
          <w:rPr>
            <w:rStyle w:val="Hyperlink"/>
            <w:sz w:val="22"/>
            <w:szCs w:val="22"/>
          </w:rPr>
          <w:t>website</w:t>
        </w:r>
      </w:hyperlink>
      <w:r>
        <w:rPr>
          <w:sz w:val="22"/>
          <w:szCs w:val="22"/>
        </w:rPr>
        <w:t>.</w:t>
      </w:r>
    </w:p>
    <w:p w:rsidR="00485094" w:rsidRDefault="00485094" w:rsidP="002723B1">
      <w:pPr>
        <w:pStyle w:val="BodyText0"/>
        <w:rPr>
          <w:sz w:val="22"/>
          <w:szCs w:val="22"/>
        </w:rPr>
      </w:pPr>
    </w:p>
    <w:p w:rsidR="00485094" w:rsidRPr="007853D5" w:rsidRDefault="00485094" w:rsidP="009909FD">
      <w:pPr>
        <w:pStyle w:val="BodyText0"/>
        <w:rPr>
          <w:sz w:val="22"/>
          <w:szCs w:val="22"/>
        </w:rPr>
      </w:pPr>
      <w:r w:rsidRPr="007853D5">
        <w:rPr>
          <w:sz w:val="22"/>
          <w:szCs w:val="22"/>
        </w:rPr>
        <w:t>In 2000, the EPA created a modernized version of STORET that included new features designed to address data quality assurance/quality control concerns (</w:t>
      </w:r>
      <w:r>
        <w:rPr>
          <w:sz w:val="22"/>
          <w:szCs w:val="22"/>
        </w:rPr>
        <w:t xml:space="preserve">see </w:t>
      </w:r>
      <w:r w:rsidRPr="007853D5">
        <w:rPr>
          <w:sz w:val="22"/>
          <w:szCs w:val="22"/>
        </w:rPr>
        <w:t xml:space="preserve">the new </w:t>
      </w:r>
      <w:hyperlink r:id="rId128" w:history="1">
        <w:r>
          <w:rPr>
            <w:rStyle w:val="Hyperlink"/>
            <w:sz w:val="22"/>
            <w:szCs w:val="22"/>
          </w:rPr>
          <w:t>EPA S</w:t>
        </w:r>
        <w:r w:rsidRPr="00577E5C">
          <w:rPr>
            <w:rStyle w:val="Hyperlink"/>
            <w:sz w:val="22"/>
            <w:szCs w:val="22"/>
          </w:rPr>
          <w:t>TORET website</w:t>
        </w:r>
      </w:hyperlink>
      <w:r>
        <w:rPr>
          <w:sz w:val="22"/>
          <w:szCs w:val="22"/>
        </w:rPr>
        <w:t>)</w:t>
      </w:r>
      <w:r w:rsidRPr="007853D5">
        <w:rPr>
          <w:sz w:val="22"/>
          <w:szCs w:val="22"/>
        </w:rPr>
        <w:t xml:space="preserve">.  However, because of software difficulties associated with </w:t>
      </w:r>
      <w:r>
        <w:rPr>
          <w:sz w:val="22"/>
          <w:szCs w:val="22"/>
        </w:rPr>
        <w:t xml:space="preserve">the </w:t>
      </w:r>
      <w:r w:rsidRPr="007853D5">
        <w:rPr>
          <w:sz w:val="22"/>
          <w:szCs w:val="22"/>
        </w:rPr>
        <w:t xml:space="preserve">batch uploading of data to modernized STORET, </w:t>
      </w:r>
      <w:r>
        <w:rPr>
          <w:sz w:val="22"/>
          <w:szCs w:val="22"/>
        </w:rPr>
        <w:t xml:space="preserve">FDEP has decided to build a local version of STORET with much easier data-loading capabilities.  Modernized STORET currently </w:t>
      </w:r>
      <w:r w:rsidRPr="007853D5">
        <w:rPr>
          <w:sz w:val="22"/>
          <w:szCs w:val="22"/>
        </w:rPr>
        <w:t xml:space="preserve">houses </w:t>
      </w:r>
      <w:r w:rsidRPr="001725EE">
        <w:rPr>
          <w:sz w:val="22"/>
          <w:szCs w:val="22"/>
        </w:rPr>
        <w:t>about 50%</w:t>
      </w:r>
      <w:r w:rsidRPr="007853D5">
        <w:rPr>
          <w:sz w:val="22"/>
          <w:szCs w:val="22"/>
        </w:rPr>
        <w:t xml:space="preserve"> of the statewide IWR </w:t>
      </w:r>
      <w:r w:rsidR="00EE4CFE">
        <w:rPr>
          <w:sz w:val="22"/>
          <w:szCs w:val="22"/>
        </w:rPr>
        <w:t>d</w:t>
      </w:r>
      <w:r w:rsidR="00EE4CFE" w:rsidRPr="007853D5">
        <w:rPr>
          <w:sz w:val="22"/>
          <w:szCs w:val="22"/>
        </w:rPr>
        <w:t>atabase</w:t>
      </w:r>
      <w:r w:rsidRPr="007853D5">
        <w:rPr>
          <w:sz w:val="22"/>
          <w:szCs w:val="22"/>
        </w:rPr>
        <w:t>.</w:t>
      </w:r>
    </w:p>
    <w:p w:rsidR="00485094" w:rsidRDefault="00485094" w:rsidP="00A908ED">
      <w:pPr>
        <w:pStyle w:val="Bodytextreduced"/>
      </w:pPr>
    </w:p>
    <w:p w:rsidR="00485094" w:rsidRPr="007853D5" w:rsidRDefault="00485094" w:rsidP="000D304A">
      <w:pPr>
        <w:pStyle w:val="BodyText0"/>
        <w:rPr>
          <w:sz w:val="22"/>
          <w:szCs w:val="22"/>
        </w:rPr>
      </w:pPr>
      <w:r w:rsidRPr="001725EE">
        <w:rPr>
          <w:sz w:val="22"/>
          <w:szCs w:val="22"/>
        </w:rPr>
        <w:t>Approximately 30%</w:t>
      </w:r>
      <w:r w:rsidRPr="007853D5">
        <w:rPr>
          <w:sz w:val="22"/>
          <w:szCs w:val="22"/>
        </w:rPr>
        <w:t xml:space="preserve"> of the data used in the IWR assessment </w:t>
      </w:r>
      <w:r>
        <w:rPr>
          <w:sz w:val="22"/>
          <w:szCs w:val="22"/>
        </w:rPr>
        <w:t>is</w:t>
      </w:r>
      <w:r w:rsidRPr="007853D5">
        <w:rPr>
          <w:sz w:val="22"/>
          <w:szCs w:val="22"/>
        </w:rPr>
        <w:t xml:space="preserve"> provided by individual organizations that for various reasons, such as time constraints or resource limitations, </w:t>
      </w:r>
      <w:r>
        <w:rPr>
          <w:sz w:val="22"/>
          <w:szCs w:val="22"/>
        </w:rPr>
        <w:t>a</w:t>
      </w:r>
      <w:r w:rsidRPr="007853D5">
        <w:rPr>
          <w:sz w:val="22"/>
          <w:szCs w:val="22"/>
        </w:rPr>
        <w:t>re not able to enter their data into the national database.  The organizations providing the largest datasets include the South Florida, Southwest Florida, and St. Johns River Water Management Districts; USGS; and U</w:t>
      </w:r>
      <w:r w:rsidR="002A4505">
        <w:rPr>
          <w:sz w:val="22"/>
          <w:szCs w:val="22"/>
        </w:rPr>
        <w:t>F</w:t>
      </w:r>
      <w:r w:rsidRPr="007853D5">
        <w:rPr>
          <w:sz w:val="22"/>
          <w:szCs w:val="22"/>
        </w:rPr>
        <w:t xml:space="preserve"> LakeWatch volunteer monitoring group.  Several of these databases are readily available to the public via the Internet:  the </w:t>
      </w:r>
      <w:hyperlink r:id="rId129" w:history="1">
        <w:r w:rsidRPr="00577E5C">
          <w:rPr>
            <w:rStyle w:val="Hyperlink"/>
            <w:sz w:val="22"/>
            <w:szCs w:val="22"/>
          </w:rPr>
          <w:t>South Florida Water Management District website</w:t>
        </w:r>
      </w:hyperlink>
      <w:r>
        <w:rPr>
          <w:sz w:val="22"/>
          <w:szCs w:val="22"/>
        </w:rPr>
        <w:t xml:space="preserve">, </w:t>
      </w:r>
      <w:hyperlink r:id="rId130" w:history="1">
        <w:r w:rsidRPr="00BB09D1">
          <w:rPr>
            <w:rStyle w:val="Hyperlink"/>
            <w:sz w:val="22"/>
            <w:szCs w:val="22"/>
          </w:rPr>
          <w:t>Southwest Florida Water Management District website</w:t>
        </w:r>
      </w:hyperlink>
      <w:r>
        <w:rPr>
          <w:sz w:val="22"/>
          <w:szCs w:val="22"/>
        </w:rPr>
        <w:t xml:space="preserve">, </w:t>
      </w:r>
      <w:hyperlink r:id="rId131" w:history="1">
        <w:r w:rsidRPr="00577E5C">
          <w:rPr>
            <w:rStyle w:val="Hyperlink"/>
            <w:sz w:val="22"/>
            <w:szCs w:val="22"/>
          </w:rPr>
          <w:t>USGS website</w:t>
        </w:r>
      </w:hyperlink>
      <w:r>
        <w:rPr>
          <w:sz w:val="22"/>
          <w:szCs w:val="22"/>
        </w:rPr>
        <w:t xml:space="preserve">, </w:t>
      </w:r>
      <w:r w:rsidRPr="007853D5">
        <w:rPr>
          <w:sz w:val="22"/>
          <w:szCs w:val="22"/>
        </w:rPr>
        <w:t xml:space="preserve">and </w:t>
      </w:r>
      <w:hyperlink r:id="rId132" w:history="1">
        <w:r w:rsidRPr="00577E5C">
          <w:rPr>
            <w:rStyle w:val="Hyperlink"/>
            <w:sz w:val="22"/>
            <w:szCs w:val="22"/>
          </w:rPr>
          <w:t>LakeWatch website</w:t>
        </w:r>
      </w:hyperlink>
      <w:r>
        <w:rPr>
          <w:sz w:val="22"/>
          <w:szCs w:val="22"/>
        </w:rPr>
        <w:t>.</w:t>
      </w:r>
    </w:p>
    <w:p w:rsidR="00485094" w:rsidRDefault="00485094" w:rsidP="000D304A">
      <w:pPr>
        <w:pStyle w:val="BodyText0"/>
        <w:rPr>
          <w:sz w:val="22"/>
          <w:szCs w:val="22"/>
        </w:rPr>
      </w:pPr>
    </w:p>
    <w:p w:rsidR="00485094" w:rsidRDefault="00485094" w:rsidP="000D304A">
      <w:pPr>
        <w:pStyle w:val="BodyText0"/>
        <w:rPr>
          <w:sz w:val="22"/>
          <w:szCs w:val="22"/>
        </w:rPr>
      </w:pPr>
      <w:r>
        <w:rPr>
          <w:sz w:val="22"/>
          <w:szCs w:val="22"/>
        </w:rPr>
        <w:t>FDEP</w:t>
      </w:r>
      <w:r w:rsidRPr="007853D5">
        <w:rPr>
          <w:sz w:val="22"/>
          <w:szCs w:val="22"/>
        </w:rPr>
        <w:t xml:space="preserve"> created the IWR </w:t>
      </w:r>
      <w:r w:rsidR="00EE4CFE">
        <w:rPr>
          <w:sz w:val="22"/>
          <w:szCs w:val="22"/>
        </w:rPr>
        <w:t>d</w:t>
      </w:r>
      <w:r w:rsidR="00EE4CFE" w:rsidRPr="007853D5">
        <w:rPr>
          <w:sz w:val="22"/>
          <w:szCs w:val="22"/>
        </w:rPr>
        <w:t xml:space="preserve">atabase </w:t>
      </w:r>
      <w:r w:rsidRPr="007853D5">
        <w:rPr>
          <w:sz w:val="22"/>
          <w:szCs w:val="22"/>
        </w:rPr>
        <w:t xml:space="preserve">in 2002 to evaluate data in accordance with the IWR methodology for every basin in the state, based on the appropriate data “window.”  </w:t>
      </w:r>
      <w:r w:rsidRPr="007B12F7">
        <w:rPr>
          <w:b/>
          <w:i/>
          <w:sz w:val="22"/>
          <w:szCs w:val="22"/>
        </w:rPr>
        <w:t>Table</w:t>
      </w:r>
      <w:r>
        <w:rPr>
          <w:b/>
          <w:i/>
          <w:sz w:val="22"/>
          <w:szCs w:val="22"/>
        </w:rPr>
        <w:t xml:space="preserve"> 7.5</w:t>
      </w:r>
      <w:r w:rsidRPr="007B12F7">
        <w:rPr>
          <w:i/>
          <w:sz w:val="22"/>
          <w:szCs w:val="22"/>
        </w:rPr>
        <w:t xml:space="preserve"> </w:t>
      </w:r>
      <w:r w:rsidRPr="007853D5">
        <w:rPr>
          <w:sz w:val="22"/>
          <w:szCs w:val="22"/>
        </w:rPr>
        <w:lastRenderedPageBreak/>
        <w:t>show</w:t>
      </w:r>
      <w:r>
        <w:rPr>
          <w:sz w:val="22"/>
          <w:szCs w:val="22"/>
        </w:rPr>
        <w:t>s</w:t>
      </w:r>
      <w:r w:rsidRPr="007853D5">
        <w:rPr>
          <w:sz w:val="22"/>
          <w:szCs w:val="22"/>
        </w:rPr>
        <w:t xml:space="preserve"> the periods of record for the Verified and Planning Lists for the five basin groups</w:t>
      </w:r>
      <w:r>
        <w:rPr>
          <w:sz w:val="22"/>
          <w:szCs w:val="22"/>
        </w:rPr>
        <w:t xml:space="preserve"> for the first and second basin rotation cycles</w:t>
      </w:r>
      <w:r w:rsidRPr="007853D5">
        <w:rPr>
          <w:sz w:val="22"/>
          <w:szCs w:val="22"/>
        </w:rPr>
        <w:t>.</w:t>
      </w:r>
      <w:r>
        <w:rPr>
          <w:sz w:val="22"/>
          <w:szCs w:val="22"/>
        </w:rPr>
        <w:t xml:space="preserve"> </w:t>
      </w:r>
    </w:p>
    <w:p w:rsidR="00485094" w:rsidRDefault="00485094" w:rsidP="00A908ED">
      <w:pPr>
        <w:pStyle w:val="Bodytextreduced"/>
      </w:pPr>
    </w:p>
    <w:p w:rsidR="00485094" w:rsidRDefault="00485094" w:rsidP="00A908ED">
      <w:pPr>
        <w:pStyle w:val="Bodytextreduced"/>
      </w:pPr>
    </w:p>
    <w:p w:rsidR="00485094" w:rsidRDefault="00485094" w:rsidP="00A908ED">
      <w:pPr>
        <w:pStyle w:val="Caption"/>
      </w:pPr>
      <w:bookmarkStart w:id="560" w:name="_Toc271280183"/>
      <w:r>
        <w:t>Figure 7.1.  Period of Record Assessment Flow Chart</w:t>
      </w:r>
      <w:bookmarkEnd w:id="560"/>
    </w:p>
    <w:p w:rsidR="00485094" w:rsidRDefault="00485094" w:rsidP="00A908ED">
      <w:pPr>
        <w:pStyle w:val="Bodytextreduced"/>
      </w:pPr>
    </w:p>
    <w:p w:rsidR="00485094" w:rsidRDefault="00B2471C" w:rsidP="00CC7209">
      <w:r>
        <w:rPr>
          <w:noProof/>
        </w:rPr>
        <w:pict>
          <v:shapetype id="_x0000_t32" coordsize="21600,21600" o:spt="32" o:oned="t" path="m,l21600,21600e" filled="f">
            <v:path arrowok="t" fillok="f" o:connecttype="none"/>
            <o:lock v:ext="edit" shapetype="t"/>
          </v:shapetype>
          <v:shape id="_x0000_s1075" type="#_x0000_t32" style="position:absolute;margin-left:6.3pt;margin-top:344.75pt;width:.2pt;height:18.1pt;z-index:251676160" o:connectortype="straight" strokeweight=".5pt"/>
        </w:pict>
      </w:r>
      <w:r>
        <w:rPr>
          <w:noProof/>
        </w:rPr>
        <w:pict>
          <v:shape id="_x0000_s1074" type="#_x0000_t32" style="position:absolute;margin-left:6.3pt;margin-top:269.3pt;width:.2pt;height:37.75pt;z-index:251675136" o:connectortype="straight" strokeweight=".5pt"/>
        </w:pict>
      </w:r>
      <w:r w:rsidR="00B50C61" w:rsidRPr="00A623FE">
        <w:rPr>
          <w:noProof/>
        </w:rPr>
        <w:drawing>
          <wp:inline distT="0" distB="0" distL="0" distR="0">
            <wp:extent cx="5520690" cy="6202680"/>
            <wp:effectExtent l="19050" t="0" r="3810" b="0"/>
            <wp:docPr id="53" name="Picture 24" descr="Figure 7.1.  Period of Record Assessment Flow Ch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Figure 7.1.  Period of Record Assessment Flow Chart "/>
                    <pic:cNvPicPr>
                      <a:picLocks noChangeAspect="1" noChangeArrowheads="1"/>
                    </pic:cNvPicPr>
                  </pic:nvPicPr>
                  <pic:blipFill>
                    <a:blip r:embed="rId133"/>
                    <a:srcRect t="7272" b="4546"/>
                    <a:stretch>
                      <a:fillRect/>
                    </a:stretch>
                  </pic:blipFill>
                  <pic:spPr bwMode="auto">
                    <a:xfrm>
                      <a:off x="0" y="0"/>
                      <a:ext cx="5520690" cy="6202680"/>
                    </a:xfrm>
                    <a:prstGeom prst="rect">
                      <a:avLst/>
                    </a:prstGeom>
                    <a:noFill/>
                    <a:ln w="9525">
                      <a:noFill/>
                      <a:miter lim="800000"/>
                      <a:headEnd/>
                      <a:tailEnd/>
                    </a:ln>
                  </pic:spPr>
                </pic:pic>
              </a:graphicData>
            </a:graphic>
          </wp:inline>
        </w:drawing>
      </w:r>
    </w:p>
    <w:p w:rsidR="00485094" w:rsidRPr="007853D5" w:rsidRDefault="00485094" w:rsidP="000D304A">
      <w:pPr>
        <w:pStyle w:val="Bodytextreduced"/>
      </w:pPr>
      <w:r>
        <w:br w:type="page"/>
      </w:r>
    </w:p>
    <w:p w:rsidR="00485094" w:rsidRDefault="00485094" w:rsidP="005F5866">
      <w:pPr>
        <w:pStyle w:val="Tableheading"/>
      </w:pPr>
      <w:bookmarkStart w:id="561" w:name="_Toc255807509"/>
      <w:bookmarkStart w:id="562" w:name="_Toc271889862"/>
      <w:r w:rsidRPr="002723B1">
        <w:lastRenderedPageBreak/>
        <w:t>Table 7.5.  Data</w:t>
      </w:r>
      <w:r>
        <w:t xml:space="preserve"> Used in Developing the Planning and Verified Lists for the Basin Rotation Cycles</w:t>
      </w:r>
      <w:bookmarkEnd w:id="561"/>
      <w:bookmarkEnd w:id="562"/>
    </w:p>
    <w:p w:rsidR="00485094" w:rsidRDefault="00485094" w:rsidP="008329C9">
      <w:pPr>
        <w:pStyle w:val="TabledescriptionBF"/>
      </w:pPr>
      <w:r>
        <w:t>This is a four-column table.  Column 1 lists the cycle rotation, Column 2 lists the basin group, Column 3 lists the planning period, and Column 4 lists the verified period.</w:t>
      </w:r>
    </w:p>
    <w:p w:rsidR="00485094" w:rsidRDefault="00485094" w:rsidP="008329C9">
      <w:pPr>
        <w:pStyle w:val="TabledescriptionBF"/>
      </w:pPr>
    </w:p>
    <w:p w:rsidR="00485094" w:rsidRDefault="00485094" w:rsidP="00577E5C">
      <w:pPr>
        <w:pStyle w:val="Bodytextreduced"/>
      </w:pPr>
      <w:r w:rsidRPr="008329C9">
        <w:rPr>
          <w:b/>
        </w:rPr>
        <w:t>Note:</w:t>
      </w:r>
      <w:r w:rsidRPr="00861EB1">
        <w:t xml:space="preserve">  Typically, a 10-year data record is used for the development of the Planning Lists, and a 7.5-year record is used for the Verified Lists.</w:t>
      </w:r>
    </w:p>
    <w:tbl>
      <w:tblPr>
        <w:tblW w:w="6920" w:type="dxa"/>
        <w:jc w:val="center"/>
        <w:tblLook w:val="04A0"/>
      </w:tblPr>
      <w:tblGrid>
        <w:gridCol w:w="1120"/>
        <w:gridCol w:w="1160"/>
        <w:gridCol w:w="1900"/>
        <w:gridCol w:w="2740"/>
      </w:tblGrid>
      <w:tr w:rsidR="00485094" w:rsidRPr="000F2909" w:rsidTr="00E86B70">
        <w:trPr>
          <w:trHeight w:val="448"/>
          <w:jc w:val="center"/>
        </w:trPr>
        <w:tc>
          <w:tcPr>
            <w:tcW w:w="1120" w:type="dxa"/>
            <w:tcBorders>
              <w:top w:val="single" w:sz="8" w:space="0" w:color="auto"/>
              <w:left w:val="single" w:sz="8" w:space="0" w:color="auto"/>
              <w:bottom w:val="double" w:sz="4" w:space="0" w:color="auto"/>
              <w:right w:val="single" w:sz="4" w:space="0" w:color="auto"/>
            </w:tcBorders>
            <w:shd w:val="clear" w:color="auto" w:fill="BDFFFF"/>
            <w:vAlign w:val="bottom"/>
            <w:hideMark/>
          </w:tcPr>
          <w:p w:rsidR="00485094" w:rsidRPr="000F2909" w:rsidRDefault="00485094" w:rsidP="002723B1">
            <w:pPr>
              <w:pStyle w:val="TableText"/>
              <w:jc w:val="center"/>
              <w:rPr>
                <w:b/>
                <w:i/>
              </w:rPr>
            </w:pPr>
            <w:r w:rsidRPr="000F2909">
              <w:rPr>
                <w:b/>
                <w:i/>
              </w:rPr>
              <w:t>Cycle Rotation</w:t>
            </w:r>
          </w:p>
        </w:tc>
        <w:tc>
          <w:tcPr>
            <w:tcW w:w="1160" w:type="dxa"/>
            <w:tcBorders>
              <w:top w:val="single" w:sz="8" w:space="0" w:color="auto"/>
              <w:left w:val="nil"/>
              <w:bottom w:val="double" w:sz="4" w:space="0" w:color="auto"/>
              <w:right w:val="single" w:sz="4" w:space="0" w:color="auto"/>
            </w:tcBorders>
            <w:shd w:val="clear" w:color="auto" w:fill="BDFFFF"/>
            <w:vAlign w:val="bottom"/>
            <w:hideMark/>
          </w:tcPr>
          <w:p w:rsidR="00485094" w:rsidRPr="000F2909" w:rsidRDefault="00485094" w:rsidP="002723B1">
            <w:pPr>
              <w:pStyle w:val="TableText"/>
              <w:jc w:val="center"/>
              <w:rPr>
                <w:b/>
                <w:i/>
              </w:rPr>
            </w:pPr>
            <w:r w:rsidRPr="000F2909">
              <w:rPr>
                <w:b/>
                <w:i/>
              </w:rPr>
              <w:t>Basin Group</w:t>
            </w:r>
          </w:p>
        </w:tc>
        <w:tc>
          <w:tcPr>
            <w:tcW w:w="1900" w:type="dxa"/>
            <w:tcBorders>
              <w:top w:val="single" w:sz="8" w:space="0" w:color="auto"/>
              <w:left w:val="nil"/>
              <w:bottom w:val="double" w:sz="4" w:space="0" w:color="auto"/>
              <w:right w:val="single" w:sz="4" w:space="0" w:color="auto"/>
            </w:tcBorders>
            <w:shd w:val="clear" w:color="auto" w:fill="BDFFFF"/>
            <w:noWrap/>
            <w:vAlign w:val="bottom"/>
            <w:hideMark/>
          </w:tcPr>
          <w:p w:rsidR="00485094" w:rsidRPr="000F2909" w:rsidRDefault="00485094" w:rsidP="002723B1">
            <w:pPr>
              <w:pStyle w:val="TableText"/>
              <w:jc w:val="center"/>
              <w:rPr>
                <w:b/>
                <w:i/>
              </w:rPr>
            </w:pPr>
            <w:r w:rsidRPr="000F2909">
              <w:rPr>
                <w:b/>
                <w:i/>
              </w:rPr>
              <w:t>Planning Period</w:t>
            </w:r>
          </w:p>
        </w:tc>
        <w:tc>
          <w:tcPr>
            <w:tcW w:w="2740" w:type="dxa"/>
            <w:tcBorders>
              <w:top w:val="single" w:sz="8" w:space="0" w:color="auto"/>
              <w:left w:val="nil"/>
              <w:bottom w:val="double" w:sz="4" w:space="0" w:color="auto"/>
              <w:right w:val="single" w:sz="8" w:space="0" w:color="auto"/>
            </w:tcBorders>
            <w:shd w:val="clear" w:color="auto" w:fill="BDFFFF"/>
            <w:noWrap/>
            <w:vAlign w:val="bottom"/>
            <w:hideMark/>
          </w:tcPr>
          <w:p w:rsidR="00485094" w:rsidRPr="000F2909" w:rsidRDefault="00485094" w:rsidP="002723B1">
            <w:pPr>
              <w:pStyle w:val="TableText"/>
              <w:jc w:val="center"/>
              <w:rPr>
                <w:b/>
                <w:i/>
              </w:rPr>
            </w:pPr>
            <w:r w:rsidRPr="000F2909">
              <w:rPr>
                <w:b/>
                <w:i/>
              </w:rPr>
              <w:t>Verified Period</w:t>
            </w:r>
          </w:p>
        </w:tc>
      </w:tr>
      <w:tr w:rsidR="00485094" w:rsidTr="002723B1">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1989–1998</w:t>
            </w:r>
          </w:p>
        </w:tc>
        <w:tc>
          <w:tcPr>
            <w:tcW w:w="2740" w:type="dxa"/>
            <w:tcBorders>
              <w:top w:val="double" w:sz="4" w:space="0" w:color="auto"/>
              <w:left w:val="nil"/>
              <w:bottom w:val="single" w:sz="4" w:space="0" w:color="auto"/>
              <w:right w:val="single" w:sz="8" w:space="0" w:color="auto"/>
            </w:tcBorders>
            <w:noWrap/>
            <w:vAlign w:val="center"/>
            <w:hideMark/>
          </w:tcPr>
          <w:p w:rsidR="00485094" w:rsidRDefault="00485094" w:rsidP="002723B1">
            <w:pPr>
              <w:pStyle w:val="TableText"/>
              <w:jc w:val="center"/>
            </w:pPr>
            <w:r>
              <w:t>1/1/1995–6/30/2002</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1991–2000</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1/1/1996–6/30/2003</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1992–2001</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1/1/1997–6/30/2004</w:t>
            </w:r>
          </w:p>
        </w:tc>
      </w:tr>
      <w:tr w:rsidR="00485094" w:rsidTr="000D304A">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1993–2002</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1/1/1998–6/30/2005</w:t>
            </w:r>
          </w:p>
        </w:tc>
      </w:tr>
      <w:tr w:rsidR="00485094" w:rsidTr="000D304A">
        <w:trPr>
          <w:trHeight w:val="285"/>
          <w:jc w:val="center"/>
        </w:trPr>
        <w:tc>
          <w:tcPr>
            <w:tcW w:w="1120" w:type="dxa"/>
            <w:tcBorders>
              <w:top w:val="single" w:sz="4" w:space="0" w:color="auto"/>
              <w:left w:val="single" w:sz="8" w:space="0" w:color="auto"/>
              <w:bottom w:val="double" w:sz="4" w:space="0" w:color="auto"/>
              <w:right w:val="single" w:sz="4" w:space="0" w:color="auto"/>
            </w:tcBorders>
            <w:noWrap/>
            <w:vAlign w:val="center"/>
            <w:hideMark/>
          </w:tcPr>
          <w:p w:rsidR="00485094" w:rsidRDefault="00485094" w:rsidP="002723B1">
            <w:pPr>
              <w:pStyle w:val="TableText"/>
              <w:jc w:val="center"/>
            </w:pPr>
            <w:r>
              <w:t>1</w:t>
            </w:r>
          </w:p>
        </w:tc>
        <w:tc>
          <w:tcPr>
            <w:tcW w:w="1160" w:type="dxa"/>
            <w:tcBorders>
              <w:top w:val="single" w:sz="4" w:space="0" w:color="auto"/>
              <w:left w:val="nil"/>
              <w:bottom w:val="double" w:sz="4" w:space="0" w:color="auto"/>
              <w:right w:val="single" w:sz="4" w:space="0" w:color="auto"/>
            </w:tcBorders>
            <w:noWrap/>
            <w:vAlign w:val="center"/>
            <w:hideMark/>
          </w:tcPr>
          <w:p w:rsidR="00485094" w:rsidRDefault="00485094" w:rsidP="002723B1">
            <w:pPr>
              <w:pStyle w:val="TableText"/>
              <w:jc w:val="center"/>
            </w:pPr>
            <w:r>
              <w:t>5</w:t>
            </w:r>
          </w:p>
        </w:tc>
        <w:tc>
          <w:tcPr>
            <w:tcW w:w="1900" w:type="dxa"/>
            <w:tcBorders>
              <w:top w:val="single" w:sz="4" w:space="0" w:color="auto"/>
              <w:left w:val="nil"/>
              <w:bottom w:val="double" w:sz="4" w:space="0" w:color="auto"/>
              <w:right w:val="single" w:sz="4" w:space="0" w:color="auto"/>
            </w:tcBorders>
            <w:noWrap/>
            <w:vAlign w:val="center"/>
            <w:hideMark/>
          </w:tcPr>
          <w:p w:rsidR="00485094" w:rsidRDefault="00485094" w:rsidP="002723B1">
            <w:pPr>
              <w:pStyle w:val="TableText"/>
              <w:jc w:val="center"/>
            </w:pPr>
            <w:r>
              <w:t>1994–2003</w:t>
            </w:r>
          </w:p>
        </w:tc>
        <w:tc>
          <w:tcPr>
            <w:tcW w:w="2740" w:type="dxa"/>
            <w:tcBorders>
              <w:top w:val="single" w:sz="4" w:space="0" w:color="auto"/>
              <w:left w:val="nil"/>
              <w:bottom w:val="double" w:sz="4" w:space="0" w:color="auto"/>
              <w:right w:val="single" w:sz="8" w:space="0" w:color="auto"/>
            </w:tcBorders>
            <w:noWrap/>
            <w:vAlign w:val="center"/>
            <w:hideMark/>
          </w:tcPr>
          <w:p w:rsidR="00485094" w:rsidRDefault="00485094" w:rsidP="002723B1">
            <w:pPr>
              <w:pStyle w:val="TableText"/>
              <w:jc w:val="center"/>
            </w:pPr>
            <w:r>
              <w:t>1/1/1999–6/30/2006</w:t>
            </w:r>
          </w:p>
        </w:tc>
      </w:tr>
      <w:tr w:rsidR="00485094" w:rsidTr="000D304A">
        <w:trPr>
          <w:trHeight w:val="285"/>
          <w:jc w:val="center"/>
        </w:trPr>
        <w:tc>
          <w:tcPr>
            <w:tcW w:w="1120" w:type="dxa"/>
            <w:tcBorders>
              <w:top w:val="double" w:sz="4" w:space="0" w:color="auto"/>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double" w:sz="4" w:space="0" w:color="auto"/>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1995–2004</w:t>
            </w:r>
          </w:p>
        </w:tc>
        <w:tc>
          <w:tcPr>
            <w:tcW w:w="2740" w:type="dxa"/>
            <w:tcBorders>
              <w:top w:val="double" w:sz="4" w:space="0" w:color="auto"/>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1/1/2000–6/30/2007</w:t>
            </w:r>
          </w:p>
        </w:tc>
      </w:tr>
      <w:tr w:rsidR="00485094" w:rsidTr="008329C9">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1996–2005</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1/1/2001–6/30/2008</w:t>
            </w:r>
          </w:p>
        </w:tc>
      </w:tr>
      <w:tr w:rsidR="00485094" w:rsidTr="008329C9">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1997–2006</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1/1/2002–6/30/2009</w:t>
            </w:r>
          </w:p>
        </w:tc>
      </w:tr>
      <w:tr w:rsidR="00485094" w:rsidTr="000D304A">
        <w:trPr>
          <w:trHeight w:val="285"/>
          <w:jc w:val="center"/>
        </w:trPr>
        <w:tc>
          <w:tcPr>
            <w:tcW w:w="1120" w:type="dxa"/>
            <w:tcBorders>
              <w:top w:val="nil"/>
              <w:left w:val="single" w:sz="8" w:space="0" w:color="auto"/>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shd w:val="clear" w:color="auto" w:fill="FFFFCC"/>
            <w:noWrap/>
            <w:vAlign w:val="center"/>
            <w:hideMark/>
          </w:tcPr>
          <w:p w:rsidR="00485094" w:rsidRDefault="00485094" w:rsidP="002723B1">
            <w:pPr>
              <w:pStyle w:val="TableText"/>
              <w:jc w:val="center"/>
            </w:pPr>
            <w:r>
              <w:t>1998–2007</w:t>
            </w:r>
          </w:p>
        </w:tc>
        <w:tc>
          <w:tcPr>
            <w:tcW w:w="2740" w:type="dxa"/>
            <w:tcBorders>
              <w:top w:val="nil"/>
              <w:left w:val="nil"/>
              <w:bottom w:val="single" w:sz="4" w:space="0" w:color="auto"/>
              <w:right w:val="single" w:sz="8" w:space="0" w:color="auto"/>
            </w:tcBorders>
            <w:shd w:val="clear" w:color="auto" w:fill="FFFFCC"/>
            <w:noWrap/>
            <w:vAlign w:val="center"/>
            <w:hideMark/>
          </w:tcPr>
          <w:p w:rsidR="00485094" w:rsidRDefault="00485094" w:rsidP="002723B1">
            <w:pPr>
              <w:pStyle w:val="TableText"/>
              <w:jc w:val="center"/>
            </w:pPr>
            <w:r>
              <w:t>1/1/2003–6/30/2010</w:t>
            </w:r>
          </w:p>
        </w:tc>
      </w:tr>
      <w:tr w:rsidR="00485094" w:rsidTr="000D304A">
        <w:trPr>
          <w:trHeight w:val="285"/>
          <w:jc w:val="center"/>
        </w:trPr>
        <w:tc>
          <w:tcPr>
            <w:tcW w:w="1120" w:type="dxa"/>
            <w:tcBorders>
              <w:top w:val="single" w:sz="4" w:space="0" w:color="auto"/>
              <w:left w:val="single" w:sz="8" w:space="0" w:color="auto"/>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2</w:t>
            </w:r>
          </w:p>
        </w:tc>
        <w:tc>
          <w:tcPr>
            <w:tcW w:w="1160" w:type="dxa"/>
            <w:tcBorders>
              <w:top w:val="single" w:sz="4" w:space="0" w:color="auto"/>
              <w:left w:val="nil"/>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5</w:t>
            </w:r>
          </w:p>
        </w:tc>
        <w:tc>
          <w:tcPr>
            <w:tcW w:w="1900" w:type="dxa"/>
            <w:tcBorders>
              <w:top w:val="single" w:sz="4" w:space="0" w:color="auto"/>
              <w:left w:val="nil"/>
              <w:bottom w:val="double" w:sz="4" w:space="0" w:color="auto"/>
              <w:right w:val="single" w:sz="4" w:space="0" w:color="auto"/>
            </w:tcBorders>
            <w:shd w:val="clear" w:color="auto" w:fill="FFFFCC"/>
            <w:noWrap/>
            <w:vAlign w:val="center"/>
            <w:hideMark/>
          </w:tcPr>
          <w:p w:rsidR="00485094" w:rsidRDefault="00485094" w:rsidP="002723B1">
            <w:pPr>
              <w:pStyle w:val="TableText"/>
              <w:jc w:val="center"/>
            </w:pPr>
            <w:r>
              <w:t>1999–2008</w:t>
            </w:r>
          </w:p>
        </w:tc>
        <w:tc>
          <w:tcPr>
            <w:tcW w:w="2740" w:type="dxa"/>
            <w:tcBorders>
              <w:top w:val="single" w:sz="4" w:space="0" w:color="auto"/>
              <w:left w:val="nil"/>
              <w:bottom w:val="double" w:sz="4" w:space="0" w:color="auto"/>
              <w:right w:val="single" w:sz="8" w:space="0" w:color="auto"/>
            </w:tcBorders>
            <w:shd w:val="clear" w:color="auto" w:fill="FFFFCC"/>
            <w:noWrap/>
            <w:vAlign w:val="center"/>
            <w:hideMark/>
          </w:tcPr>
          <w:p w:rsidR="00485094" w:rsidRDefault="00485094" w:rsidP="002723B1">
            <w:pPr>
              <w:pStyle w:val="TableText"/>
              <w:jc w:val="center"/>
            </w:pPr>
            <w:r>
              <w:t>1/1/2004–6/30/2011</w:t>
            </w:r>
          </w:p>
        </w:tc>
      </w:tr>
      <w:tr w:rsidR="00485094" w:rsidTr="000D304A">
        <w:trPr>
          <w:trHeight w:val="285"/>
          <w:jc w:val="center"/>
        </w:trPr>
        <w:tc>
          <w:tcPr>
            <w:tcW w:w="1120" w:type="dxa"/>
            <w:tcBorders>
              <w:top w:val="double" w:sz="4" w:space="0" w:color="auto"/>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w:t>
            </w:r>
          </w:p>
        </w:tc>
        <w:tc>
          <w:tcPr>
            <w:tcW w:w="1900" w:type="dxa"/>
            <w:tcBorders>
              <w:top w:val="double" w:sz="4" w:space="0" w:color="auto"/>
              <w:left w:val="nil"/>
              <w:bottom w:val="single" w:sz="4" w:space="0" w:color="auto"/>
              <w:right w:val="single" w:sz="4" w:space="0" w:color="auto"/>
            </w:tcBorders>
            <w:noWrap/>
            <w:vAlign w:val="center"/>
            <w:hideMark/>
          </w:tcPr>
          <w:p w:rsidR="00485094" w:rsidRDefault="00485094" w:rsidP="002723B1">
            <w:pPr>
              <w:pStyle w:val="TableText"/>
              <w:jc w:val="center"/>
            </w:pPr>
            <w:r>
              <w:t>1995–2004</w:t>
            </w:r>
          </w:p>
        </w:tc>
        <w:tc>
          <w:tcPr>
            <w:tcW w:w="2740" w:type="dxa"/>
            <w:tcBorders>
              <w:top w:val="double" w:sz="4" w:space="0" w:color="auto"/>
              <w:left w:val="nil"/>
              <w:bottom w:val="single" w:sz="4" w:space="0" w:color="auto"/>
              <w:right w:val="single" w:sz="8" w:space="0" w:color="auto"/>
            </w:tcBorders>
            <w:noWrap/>
            <w:vAlign w:val="center"/>
            <w:hideMark/>
          </w:tcPr>
          <w:p w:rsidR="00485094" w:rsidRDefault="00485094" w:rsidP="002723B1">
            <w:pPr>
              <w:pStyle w:val="TableText"/>
              <w:jc w:val="center"/>
            </w:pPr>
            <w:r>
              <w:t>1/1/2005–6/30/2012</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2</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1996–2005</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1/1/2006–6/30/2013</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3</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1997–2006</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1/1/2007–6/30/2014</w:t>
            </w:r>
          </w:p>
        </w:tc>
      </w:tr>
      <w:tr w:rsidR="00485094" w:rsidTr="002723B1">
        <w:trPr>
          <w:trHeight w:val="285"/>
          <w:jc w:val="center"/>
        </w:trPr>
        <w:tc>
          <w:tcPr>
            <w:tcW w:w="1120" w:type="dxa"/>
            <w:tcBorders>
              <w:top w:val="nil"/>
              <w:left w:val="single" w:sz="8" w:space="0" w:color="auto"/>
              <w:bottom w:val="single" w:sz="4"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4</w:t>
            </w:r>
          </w:p>
        </w:tc>
        <w:tc>
          <w:tcPr>
            <w:tcW w:w="1900" w:type="dxa"/>
            <w:tcBorders>
              <w:top w:val="nil"/>
              <w:left w:val="nil"/>
              <w:bottom w:val="single" w:sz="4" w:space="0" w:color="auto"/>
              <w:right w:val="single" w:sz="4" w:space="0" w:color="auto"/>
            </w:tcBorders>
            <w:noWrap/>
            <w:vAlign w:val="center"/>
            <w:hideMark/>
          </w:tcPr>
          <w:p w:rsidR="00485094" w:rsidRDefault="00485094" w:rsidP="002723B1">
            <w:pPr>
              <w:pStyle w:val="TableText"/>
              <w:jc w:val="center"/>
            </w:pPr>
            <w:r>
              <w:t>1998–2007</w:t>
            </w:r>
          </w:p>
        </w:tc>
        <w:tc>
          <w:tcPr>
            <w:tcW w:w="2740" w:type="dxa"/>
            <w:tcBorders>
              <w:top w:val="nil"/>
              <w:left w:val="nil"/>
              <w:bottom w:val="single" w:sz="4" w:space="0" w:color="auto"/>
              <w:right w:val="single" w:sz="8" w:space="0" w:color="auto"/>
            </w:tcBorders>
            <w:noWrap/>
            <w:vAlign w:val="center"/>
            <w:hideMark/>
          </w:tcPr>
          <w:p w:rsidR="00485094" w:rsidRDefault="00485094" w:rsidP="002723B1">
            <w:pPr>
              <w:pStyle w:val="TableText"/>
              <w:jc w:val="center"/>
            </w:pPr>
            <w:r>
              <w:t>1/1/2008–6/30/2015</w:t>
            </w:r>
          </w:p>
        </w:tc>
      </w:tr>
      <w:tr w:rsidR="00485094" w:rsidTr="002723B1">
        <w:trPr>
          <w:trHeight w:val="285"/>
          <w:jc w:val="center"/>
        </w:trPr>
        <w:tc>
          <w:tcPr>
            <w:tcW w:w="1120" w:type="dxa"/>
            <w:tcBorders>
              <w:top w:val="nil"/>
              <w:left w:val="single" w:sz="8" w:space="0" w:color="auto"/>
              <w:bottom w:val="single" w:sz="8" w:space="0" w:color="auto"/>
              <w:right w:val="single" w:sz="4" w:space="0" w:color="auto"/>
            </w:tcBorders>
            <w:noWrap/>
            <w:vAlign w:val="center"/>
            <w:hideMark/>
          </w:tcPr>
          <w:p w:rsidR="00485094" w:rsidRDefault="00485094" w:rsidP="002723B1">
            <w:pPr>
              <w:pStyle w:val="TableText"/>
              <w:jc w:val="center"/>
            </w:pPr>
            <w:r>
              <w:t>3</w:t>
            </w:r>
          </w:p>
        </w:tc>
        <w:tc>
          <w:tcPr>
            <w:tcW w:w="1160" w:type="dxa"/>
            <w:tcBorders>
              <w:top w:val="nil"/>
              <w:left w:val="nil"/>
              <w:bottom w:val="single" w:sz="8" w:space="0" w:color="auto"/>
              <w:right w:val="single" w:sz="4" w:space="0" w:color="auto"/>
            </w:tcBorders>
            <w:noWrap/>
            <w:vAlign w:val="center"/>
            <w:hideMark/>
          </w:tcPr>
          <w:p w:rsidR="00485094" w:rsidRDefault="00485094" w:rsidP="002723B1">
            <w:pPr>
              <w:pStyle w:val="TableText"/>
              <w:jc w:val="center"/>
            </w:pPr>
            <w:r>
              <w:t>5</w:t>
            </w:r>
          </w:p>
        </w:tc>
        <w:tc>
          <w:tcPr>
            <w:tcW w:w="1900" w:type="dxa"/>
            <w:tcBorders>
              <w:top w:val="nil"/>
              <w:left w:val="nil"/>
              <w:bottom w:val="single" w:sz="8" w:space="0" w:color="auto"/>
              <w:right w:val="single" w:sz="4" w:space="0" w:color="auto"/>
            </w:tcBorders>
            <w:noWrap/>
            <w:vAlign w:val="center"/>
            <w:hideMark/>
          </w:tcPr>
          <w:p w:rsidR="00485094" w:rsidRDefault="00485094" w:rsidP="002723B1">
            <w:pPr>
              <w:pStyle w:val="TableText"/>
              <w:jc w:val="center"/>
            </w:pPr>
            <w:r>
              <w:t>1999–2008</w:t>
            </w:r>
          </w:p>
        </w:tc>
        <w:tc>
          <w:tcPr>
            <w:tcW w:w="2740" w:type="dxa"/>
            <w:tcBorders>
              <w:top w:val="nil"/>
              <w:left w:val="nil"/>
              <w:bottom w:val="single" w:sz="8" w:space="0" w:color="auto"/>
              <w:right w:val="single" w:sz="8" w:space="0" w:color="auto"/>
            </w:tcBorders>
            <w:noWrap/>
            <w:vAlign w:val="center"/>
            <w:hideMark/>
          </w:tcPr>
          <w:p w:rsidR="00485094" w:rsidRDefault="00485094" w:rsidP="002723B1">
            <w:pPr>
              <w:pStyle w:val="TableText"/>
              <w:jc w:val="center"/>
            </w:pPr>
            <w:r>
              <w:t>1/1/2009–6/30/2016</w:t>
            </w:r>
          </w:p>
        </w:tc>
      </w:tr>
    </w:tbl>
    <w:p w:rsidR="00485094" w:rsidRDefault="00485094" w:rsidP="005F5866">
      <w:pPr>
        <w:rPr>
          <w:rFonts w:ascii="Arial" w:hAnsi="Arial"/>
          <w:sz w:val="16"/>
        </w:rPr>
      </w:pPr>
    </w:p>
    <w:p w:rsidR="00485094" w:rsidRPr="00861EB1" w:rsidRDefault="00485094" w:rsidP="005F5866">
      <w:pPr>
        <w:rPr>
          <w:rFonts w:ascii="Arial" w:hAnsi="Arial"/>
          <w:sz w:val="16"/>
        </w:rPr>
      </w:pPr>
    </w:p>
    <w:p w:rsidR="00485094" w:rsidRDefault="00485094" w:rsidP="004449BF">
      <w:pPr>
        <w:pStyle w:val="Heading3"/>
      </w:pPr>
      <w:bookmarkStart w:id="563" w:name="_Toc255822544"/>
      <w:bookmarkStart w:id="564" w:name="_Toc271794357"/>
      <w:r w:rsidRPr="00F26260">
        <w:t>Quality Assurance/Quality Control Criteria</w:t>
      </w:r>
      <w:bookmarkEnd w:id="563"/>
      <w:bookmarkEnd w:id="564"/>
    </w:p>
    <w:p w:rsidR="00485094" w:rsidRPr="00815973" w:rsidRDefault="00485094" w:rsidP="005F5866">
      <w:pPr>
        <w:pStyle w:val="Bodytext"/>
      </w:pPr>
      <w:r w:rsidRPr="003C39FF">
        <w:t xml:space="preserve">The IWR addresses quality assurance/quality control (QA/QC) </w:t>
      </w:r>
      <w:r>
        <w:t xml:space="preserve">concerns </w:t>
      </w:r>
      <w:r w:rsidRPr="003C39FF">
        <w:t>by requiring all data to meet QA rule requirements (</w:t>
      </w:r>
      <w:r>
        <w:t>Chapter</w:t>
      </w:r>
      <w:r w:rsidRPr="003C39FF">
        <w:t xml:space="preserve"> 62-160, F.A.C.), including NELAC certification and </w:t>
      </w:r>
      <w:r>
        <w:t>the use of</w:t>
      </w:r>
      <w:r w:rsidRPr="003C39FF">
        <w:t xml:space="preserve"> established SOPs.  </w:t>
      </w:r>
    </w:p>
    <w:p w:rsidR="00485094" w:rsidRPr="003C39FF" w:rsidRDefault="00485094" w:rsidP="005F5866">
      <w:pPr>
        <w:pStyle w:val="Bodytext"/>
      </w:pPr>
    </w:p>
    <w:p w:rsidR="00485094" w:rsidRDefault="00485094" w:rsidP="004449BF">
      <w:pPr>
        <w:pStyle w:val="Heading3"/>
      </w:pPr>
      <w:bookmarkStart w:id="565" w:name="_Toc255822545"/>
      <w:bookmarkStart w:id="566" w:name="_Toc271794358"/>
      <w:r w:rsidRPr="00501400">
        <w:t>Criteria for Evaluating Outside Data</w:t>
      </w:r>
      <w:bookmarkEnd w:id="565"/>
      <w:bookmarkEnd w:id="566"/>
    </w:p>
    <w:p w:rsidR="00485094" w:rsidRDefault="00485094" w:rsidP="005F5866">
      <w:pPr>
        <w:pStyle w:val="Bodytext"/>
      </w:pPr>
      <w:r>
        <w:t>Occasionally, in closely evaluating</w:t>
      </w:r>
      <w:r w:rsidRPr="000276AF">
        <w:t xml:space="preserve"> data for a particular waterbody, </w:t>
      </w:r>
      <w:r>
        <w:t>FDEP</w:t>
      </w:r>
      <w:r w:rsidRPr="000276AF">
        <w:t xml:space="preserve"> may find systematic errors from a</w:t>
      </w:r>
      <w:r>
        <w:t xml:space="preserve"> data provider</w:t>
      </w:r>
      <w:r w:rsidRPr="000276AF">
        <w:t xml:space="preserve">.  These errors may include </w:t>
      </w:r>
      <w:r>
        <w:t xml:space="preserve">the accidental </w:t>
      </w:r>
      <w:r w:rsidRPr="000276AF">
        <w:t xml:space="preserve">shifting of decimals for a parameter </w:t>
      </w:r>
      <w:r>
        <w:t>such as</w:t>
      </w:r>
      <w:r w:rsidRPr="000276AF">
        <w:t xml:space="preserve"> iron (e.g.</w:t>
      </w:r>
      <w:r>
        <w:t>,</w:t>
      </w:r>
      <w:r w:rsidRPr="000276AF">
        <w:t xml:space="preserve"> reporting 1</w:t>
      </w:r>
      <w:r>
        <w:t>,</w:t>
      </w:r>
      <w:r w:rsidRPr="000276AF">
        <w:t>000 mg/</w:t>
      </w:r>
      <w:r>
        <w:t>L,</w:t>
      </w:r>
      <w:r w:rsidRPr="000276AF">
        <w:t xml:space="preserve"> rather than 1 mg/</w:t>
      </w:r>
      <w:r>
        <w:t>L</w:t>
      </w:r>
      <w:r w:rsidRPr="000276AF">
        <w:t xml:space="preserve">).  When systematic errors </w:t>
      </w:r>
      <w:r>
        <w:t xml:space="preserve">are found, those data are excluded from the analysis, and FDEP works </w:t>
      </w:r>
      <w:r w:rsidRPr="000276AF">
        <w:t xml:space="preserve">with the </w:t>
      </w:r>
      <w:r>
        <w:t>provider</w:t>
      </w:r>
      <w:r w:rsidRPr="000276AF">
        <w:t xml:space="preserve"> to correct the errors.  Upon correction</w:t>
      </w:r>
      <w:r>
        <w:t>,</w:t>
      </w:r>
      <w:r w:rsidRPr="000276AF">
        <w:t xml:space="preserve"> the data are used in the assessment</w:t>
      </w:r>
      <w:r>
        <w:t>.</w:t>
      </w:r>
    </w:p>
    <w:p w:rsidR="00485094" w:rsidRPr="000276AF" w:rsidRDefault="00485094" w:rsidP="005F5866">
      <w:pPr>
        <w:pStyle w:val="Bodytext"/>
      </w:pPr>
    </w:p>
    <w:p w:rsidR="00485094" w:rsidRDefault="00485094" w:rsidP="005F5866">
      <w:pPr>
        <w:pStyle w:val="Bodytext"/>
        <w:rPr>
          <w:rFonts w:cs="Arial"/>
          <w:bCs/>
          <w:szCs w:val="22"/>
        </w:rPr>
      </w:pPr>
      <w:r>
        <w:rPr>
          <w:rFonts w:cs="Arial"/>
          <w:bCs/>
          <w:szCs w:val="22"/>
        </w:rPr>
        <w:t xml:space="preserve">The Florida Legislature has specifically prohibited the use of data from the volunteer monitoring group LakeWatch in any regulatory proceeding.  However, LakeWatch data can be used in developing the Planning List of potentially impaired waters, evaluating pollutant loading to lakes, and modeling lake function for FDEP’s </w:t>
      </w:r>
      <w:hyperlink r:id="rId134" w:history="1">
        <w:r w:rsidRPr="00FA7EAD">
          <w:rPr>
            <w:rStyle w:val="Hyperlink"/>
            <w:szCs w:val="22"/>
          </w:rPr>
          <w:t>TMDL Program</w:t>
        </w:r>
      </w:hyperlink>
      <w:r>
        <w:rPr>
          <w:rFonts w:cs="Arial"/>
          <w:bCs/>
          <w:szCs w:val="22"/>
        </w:rPr>
        <w:t>.  The data can also be used to document long-term water quality trends and provide general background information, but they cannot be used to verify impairment, nor can they be used in support of enforcement actions.</w:t>
      </w:r>
    </w:p>
    <w:p w:rsidR="00485094" w:rsidRDefault="00485094" w:rsidP="005F5866">
      <w:pPr>
        <w:pStyle w:val="Bodytext"/>
        <w:rPr>
          <w:rFonts w:cs="Arial"/>
          <w:bCs/>
          <w:szCs w:val="22"/>
        </w:rPr>
      </w:pPr>
    </w:p>
    <w:p w:rsidR="00485094" w:rsidRDefault="00485094" w:rsidP="004449BF">
      <w:pPr>
        <w:pStyle w:val="Heading3"/>
      </w:pPr>
      <w:bookmarkStart w:id="567" w:name="_Toc255822546"/>
      <w:bookmarkStart w:id="568" w:name="_Toc271794359"/>
      <w:r w:rsidRPr="00501400">
        <w:t>Rationales for Not Using Existing Data</w:t>
      </w:r>
      <w:bookmarkEnd w:id="567"/>
      <w:bookmarkEnd w:id="568"/>
    </w:p>
    <w:p w:rsidR="00485094" w:rsidRPr="00D86AD1" w:rsidRDefault="00485094" w:rsidP="005F5866">
      <w:pPr>
        <w:pStyle w:val="Bodytext"/>
      </w:pPr>
      <w:r w:rsidRPr="00D86AD1">
        <w:t xml:space="preserve">FDEP uses all water quality data that </w:t>
      </w:r>
      <w:r>
        <w:t xml:space="preserve">are provided through STORET, as </w:t>
      </w:r>
      <w:r w:rsidRPr="00D86AD1">
        <w:t>long as it is ambient in nature (</w:t>
      </w:r>
      <w:r>
        <w:t>e.g., it does</w:t>
      </w:r>
      <w:r w:rsidRPr="00D86AD1">
        <w:t xml:space="preserve"> not use </w:t>
      </w:r>
      <w:r>
        <w:t xml:space="preserve">data for </w:t>
      </w:r>
      <w:r w:rsidRPr="00D86AD1">
        <w:t>water coming out of a discharge pipe</w:t>
      </w:r>
      <w:r>
        <w:t xml:space="preserve"> or within approved </w:t>
      </w:r>
      <w:r>
        <w:lastRenderedPageBreak/>
        <w:t>mixing zones</w:t>
      </w:r>
      <w:r w:rsidRPr="00D86AD1">
        <w:t xml:space="preserve">).  </w:t>
      </w:r>
      <w:r>
        <w:t>It</w:t>
      </w:r>
      <w:r w:rsidRPr="00D86AD1">
        <w:t xml:space="preserve"> may restrict the use of an agenc</w:t>
      </w:r>
      <w:r>
        <w:t>y’s</w:t>
      </w:r>
      <w:r w:rsidRPr="00D86AD1">
        <w:t xml:space="preserve"> data if consistent errors have been found (</w:t>
      </w:r>
      <w:r>
        <w:t>only</w:t>
      </w:r>
      <w:r w:rsidRPr="00D86AD1">
        <w:t xml:space="preserve"> the water quality parameters </w:t>
      </w:r>
      <w:r>
        <w:t>that</w:t>
      </w:r>
      <w:r w:rsidRPr="00D86AD1">
        <w:t xml:space="preserve"> have problems</w:t>
      </w:r>
      <w:r>
        <w:t xml:space="preserve"> are restricted</w:t>
      </w:r>
      <w:r w:rsidRPr="00D86AD1">
        <w:t>)</w:t>
      </w:r>
      <w:r>
        <w:t>.</w:t>
      </w:r>
      <w:r w:rsidRPr="00D86AD1">
        <w:t xml:space="preserve">  </w:t>
      </w:r>
      <w:r>
        <w:t>FDEP</w:t>
      </w:r>
      <w:r w:rsidRPr="00D86AD1">
        <w:t xml:space="preserve"> also may restrict an agenc</w:t>
      </w:r>
      <w:r>
        <w:t>y’s</w:t>
      </w:r>
      <w:r w:rsidRPr="00D86AD1">
        <w:t xml:space="preserve"> data if </w:t>
      </w:r>
      <w:r>
        <w:t>it has</w:t>
      </w:r>
      <w:r w:rsidRPr="00D86AD1">
        <w:t xml:space="preserve"> failed QA/QC inspections</w:t>
      </w:r>
      <w:r>
        <w:t xml:space="preserve">.  Data gathered during periods that are not representative of the general health of the waterbody (e.g., during or immediately after a hurricane that can be tied to a short-term event, such as a spill) are flagged for further evaluation before being added to the IWR database.  </w:t>
      </w:r>
    </w:p>
    <w:p w:rsidR="00485094" w:rsidRDefault="00485094" w:rsidP="005F5866">
      <w:pPr>
        <w:pStyle w:val="Bodytext"/>
      </w:pPr>
    </w:p>
    <w:p w:rsidR="00485094" w:rsidRPr="00501400" w:rsidRDefault="00485094" w:rsidP="0041391B">
      <w:pPr>
        <w:pStyle w:val="Heading2"/>
      </w:pPr>
      <w:bookmarkStart w:id="569" w:name="_Toc254269887"/>
      <w:bookmarkStart w:id="570" w:name="_Toc255822548"/>
      <w:bookmarkStart w:id="571" w:name="_Toc271794360"/>
      <w:r w:rsidRPr="00501400">
        <w:t>How Data Are Used To Make Attainment Determinations</w:t>
      </w:r>
      <w:bookmarkEnd w:id="569"/>
      <w:bookmarkEnd w:id="570"/>
      <w:bookmarkEnd w:id="571"/>
    </w:p>
    <w:p w:rsidR="00485094" w:rsidRPr="00333C9A" w:rsidRDefault="00485094" w:rsidP="005F5866">
      <w:pPr>
        <w:pStyle w:val="BodyText0"/>
        <w:rPr>
          <w:sz w:val="22"/>
          <w:szCs w:val="22"/>
        </w:rPr>
      </w:pPr>
      <w:r>
        <w:rPr>
          <w:sz w:val="22"/>
          <w:szCs w:val="22"/>
        </w:rPr>
        <w:t xml:space="preserve">Once the data are screened and validated, they are evaluated to determine whether individual segments with </w:t>
      </w:r>
      <w:r w:rsidRPr="00313FDB">
        <w:rPr>
          <w:b/>
          <w:sz w:val="22"/>
          <w:szCs w:val="22"/>
        </w:rPr>
        <w:t>w</w:t>
      </w:r>
      <w:r>
        <w:rPr>
          <w:sz w:val="22"/>
          <w:szCs w:val="22"/>
        </w:rPr>
        <w:t>ater</w:t>
      </w:r>
      <w:r w:rsidRPr="00313FDB">
        <w:rPr>
          <w:b/>
          <w:sz w:val="22"/>
          <w:szCs w:val="22"/>
        </w:rPr>
        <w:t>b</w:t>
      </w:r>
      <w:r>
        <w:rPr>
          <w:sz w:val="22"/>
          <w:szCs w:val="22"/>
        </w:rPr>
        <w:t xml:space="preserve">ody </w:t>
      </w:r>
      <w:r w:rsidRPr="00313FDB">
        <w:rPr>
          <w:b/>
          <w:sz w:val="22"/>
          <w:szCs w:val="22"/>
        </w:rPr>
        <w:t>id</w:t>
      </w:r>
      <w:r>
        <w:rPr>
          <w:sz w:val="22"/>
          <w:szCs w:val="22"/>
        </w:rPr>
        <w:t xml:space="preserve">entification numbers (WBIDs) are attaining their designated uses.  Different analytical approaches, such as statistical analyses, are used to infer conditions from all valid data.  </w:t>
      </w:r>
      <w:r w:rsidRPr="00992198">
        <w:rPr>
          <w:b/>
          <w:sz w:val="22"/>
          <w:szCs w:val="22"/>
        </w:rPr>
        <w:t xml:space="preserve">Appendix </w:t>
      </w:r>
      <w:r>
        <w:rPr>
          <w:b/>
          <w:sz w:val="22"/>
          <w:szCs w:val="22"/>
        </w:rPr>
        <w:t>D</w:t>
      </w:r>
      <w:r>
        <w:rPr>
          <w:sz w:val="22"/>
          <w:szCs w:val="22"/>
        </w:rPr>
        <w:t xml:space="preserve"> provides a detailed description of the IWR methodology.</w:t>
      </w:r>
    </w:p>
    <w:p w:rsidR="00485094" w:rsidRDefault="00485094" w:rsidP="005F5866">
      <w:pPr>
        <w:pStyle w:val="BodyText0"/>
        <w:rPr>
          <w:sz w:val="22"/>
          <w:szCs w:val="22"/>
        </w:rPr>
      </w:pPr>
    </w:p>
    <w:p w:rsidR="00485094" w:rsidRDefault="00485094" w:rsidP="00E85D84">
      <w:pPr>
        <w:pStyle w:val="Heading2"/>
      </w:pPr>
      <w:bookmarkStart w:id="572" w:name="_Toc255822547"/>
      <w:bookmarkStart w:id="573" w:name="_Toc271794361"/>
      <w:bookmarkStart w:id="574" w:name="_Toc254269888"/>
      <w:r w:rsidRPr="00E375A7">
        <w:t>Public Participation Process</w:t>
      </w:r>
      <w:bookmarkEnd w:id="572"/>
      <w:bookmarkEnd w:id="573"/>
    </w:p>
    <w:p w:rsidR="00485094" w:rsidRPr="003A4461" w:rsidRDefault="00485094" w:rsidP="00E85D84">
      <w:pPr>
        <w:pStyle w:val="Bodytext"/>
      </w:pPr>
      <w:r w:rsidRPr="00E375A7">
        <w:t xml:space="preserve">FDEP works with a variety of stakeholders </w:t>
      </w:r>
      <w:r>
        <w:t xml:space="preserve">in the assessment and TMDL processes.  It also solicits and encourages public participation in a number of ways.  It </w:t>
      </w:r>
      <w:r w:rsidRPr="005D59A4">
        <w:t xml:space="preserve">maintains an extensive distribution list; hosts </w:t>
      </w:r>
      <w:r>
        <w:t xml:space="preserve">both the </w:t>
      </w:r>
      <w:hyperlink r:id="rId135" w:history="1">
        <w:r w:rsidRPr="003F2D10">
          <w:rPr>
            <w:rStyle w:val="Hyperlink"/>
          </w:rPr>
          <w:t>Watershed Assessment Progra</w:t>
        </w:r>
        <w:r>
          <w:rPr>
            <w:rStyle w:val="Hyperlink"/>
          </w:rPr>
          <w:t>m website</w:t>
        </w:r>
      </w:hyperlink>
      <w:r>
        <w:t xml:space="preserve"> and</w:t>
      </w:r>
      <w:r w:rsidRPr="005D59A4">
        <w:t xml:space="preserve"> </w:t>
      </w:r>
      <w:hyperlink r:id="rId136" w:history="1">
        <w:r w:rsidRPr="003F2D10">
          <w:rPr>
            <w:rStyle w:val="Hyperlink"/>
          </w:rPr>
          <w:t>TMDL Progra</w:t>
        </w:r>
        <w:r>
          <w:rPr>
            <w:rStyle w:val="Hyperlink"/>
          </w:rPr>
          <w:t>m website</w:t>
        </w:r>
      </w:hyperlink>
      <w:r w:rsidRPr="005D59A4">
        <w:t xml:space="preserve">; </w:t>
      </w:r>
      <w:r>
        <w:t xml:space="preserve">publishes notices of meetings, workshops, and public hearings in the </w:t>
      </w:r>
      <w:hyperlink r:id="rId137" w:history="1">
        <w:r w:rsidRPr="00295CB2">
          <w:rPr>
            <w:rStyle w:val="Hyperlink"/>
            <w:i/>
          </w:rPr>
          <w:t>Florida Administrative Weekly</w:t>
        </w:r>
      </w:hyperlink>
      <w:r>
        <w:t xml:space="preserve">, on </w:t>
      </w:r>
      <w:r w:rsidRPr="005D59A4">
        <w:t xml:space="preserve">the </w:t>
      </w:r>
      <w:r>
        <w:t>w</w:t>
      </w:r>
      <w:r w:rsidRPr="005D59A4">
        <w:t>ebsite</w:t>
      </w:r>
      <w:r>
        <w:t>, and in local newspapers</w:t>
      </w:r>
      <w:r w:rsidRPr="005D59A4">
        <w:t xml:space="preserve">; </w:t>
      </w:r>
      <w:r>
        <w:t xml:space="preserve">makes </w:t>
      </w:r>
      <w:r w:rsidRPr="003A4461">
        <w:t>available to the public</w:t>
      </w:r>
      <w:r>
        <w:t xml:space="preserve"> (via the website, mail, or email) the b</w:t>
      </w:r>
      <w:r w:rsidRPr="003A4461">
        <w:t>asin-specific draft Verified Lists of waters that me</w:t>
      </w:r>
      <w:r>
        <w:t>e</w:t>
      </w:r>
      <w:r w:rsidRPr="003A4461">
        <w:t>t the requirements of the IWR</w:t>
      </w:r>
      <w:r>
        <w:t>; h</w:t>
      </w:r>
      <w:r w:rsidRPr="00E375A7">
        <w:t>old</w:t>
      </w:r>
      <w:r>
        <w:t>s</w:t>
      </w:r>
      <w:r w:rsidRPr="00E375A7">
        <w:t xml:space="preserve"> public </w:t>
      </w:r>
      <w:r w:rsidRPr="003A4461">
        <w:t xml:space="preserve">meetings on developing and adopting the Verified Lists of impaired waters </w:t>
      </w:r>
      <w:r>
        <w:t>and TMDLs; and requests and responds to public comments.</w:t>
      </w:r>
    </w:p>
    <w:p w:rsidR="00485094" w:rsidRDefault="00485094" w:rsidP="00E85D84">
      <w:pPr>
        <w:pStyle w:val="Bodytext"/>
      </w:pPr>
    </w:p>
    <w:p w:rsidR="00485094" w:rsidRDefault="00485094" w:rsidP="00E85D84">
      <w:pPr>
        <w:pStyle w:val="Bodytext"/>
      </w:pPr>
      <w:r w:rsidRPr="003A4461">
        <w:t xml:space="preserve">Citizens </w:t>
      </w:r>
      <w:r>
        <w:t>are</w:t>
      </w:r>
      <w:r w:rsidRPr="003A4461">
        <w:t xml:space="preserve"> given the opportunity to comment on the draft lists </w:t>
      </w:r>
      <w:r>
        <w:t xml:space="preserve">and TMDLs </w:t>
      </w:r>
      <w:r w:rsidRPr="003A4461">
        <w:t xml:space="preserve">in person and/or in writing.  </w:t>
      </w:r>
      <w:r>
        <w:t>As part of the review process, public workshops are advertised and held in each basin to help explain the process for developing the Verified List or TMDL, exchange information, and encourage public involvement.  If additional information or data is provided prior to or during the public comment period, FDEP considers it before submitting the proposed list to the Secretary and EPA.</w:t>
      </w:r>
    </w:p>
    <w:p w:rsidR="00485094" w:rsidRDefault="00485094" w:rsidP="00E85D84">
      <w:pPr>
        <w:pStyle w:val="Bodytext"/>
      </w:pPr>
    </w:p>
    <w:p w:rsidR="00485094" w:rsidRDefault="00485094" w:rsidP="009909FD">
      <w:pPr>
        <w:pStyle w:val="Bodytextreduced"/>
      </w:pPr>
      <w:r>
        <w:br w:type="page"/>
      </w:r>
    </w:p>
    <w:p w:rsidR="00FC6EE0" w:rsidRDefault="00FC6EE0" w:rsidP="00FC6EE0">
      <w:pPr>
        <w:pStyle w:val="Bodytextreduced"/>
      </w:pPr>
      <w:bookmarkStart w:id="575" w:name="_Chapter_8:_"/>
      <w:bookmarkStart w:id="576" w:name="_Toc255822549"/>
      <w:bookmarkEnd w:id="575"/>
    </w:p>
    <w:p w:rsidR="00485094" w:rsidRDefault="00485094" w:rsidP="00A17747">
      <w:pPr>
        <w:pStyle w:val="Heading1"/>
      </w:pPr>
      <w:bookmarkStart w:id="577" w:name="_Toc271794362"/>
      <w:r>
        <w:t>Chapter 8:  Results of the Assessments</w:t>
      </w:r>
      <w:bookmarkEnd w:id="576"/>
      <w:r>
        <w:t xml:space="preserve"> Of Use Support</w:t>
      </w:r>
      <w:bookmarkEnd w:id="577"/>
    </w:p>
    <w:p w:rsidR="00485094" w:rsidRDefault="00485094" w:rsidP="00A17747">
      <w:pPr>
        <w:pStyle w:val="Bodytextreduced"/>
      </w:pPr>
    </w:p>
    <w:p w:rsidR="00485094" w:rsidRDefault="00485094" w:rsidP="0041391B">
      <w:pPr>
        <w:pStyle w:val="Heading2"/>
        <w:rPr>
          <w:snapToGrid w:val="0"/>
        </w:rPr>
      </w:pPr>
      <w:bookmarkStart w:id="578" w:name="_Toc271794363"/>
      <w:bookmarkEnd w:id="574"/>
      <w:r>
        <w:rPr>
          <w:snapToGrid w:val="0"/>
        </w:rPr>
        <w:t>Surface Waters Assessed</w:t>
      </w:r>
      <w:bookmarkEnd w:id="578"/>
    </w:p>
    <w:p w:rsidR="00485094" w:rsidRDefault="00485094" w:rsidP="005F5866">
      <w:pPr>
        <w:pStyle w:val="Bodytext"/>
        <w:rPr>
          <w:snapToGrid w:val="0"/>
        </w:rPr>
      </w:pPr>
      <w:r>
        <w:rPr>
          <w:snapToGrid w:val="0"/>
        </w:rPr>
        <w:t xml:space="preserve">For assessment purposes, FDEP has divided the state into water assessment polygons with a unique </w:t>
      </w:r>
      <w:r w:rsidRPr="00E03BB4">
        <w:rPr>
          <w:b/>
          <w:snapToGrid w:val="0"/>
        </w:rPr>
        <w:t>w</w:t>
      </w:r>
      <w:r>
        <w:rPr>
          <w:snapToGrid w:val="0"/>
        </w:rPr>
        <w:t>ater</w:t>
      </w:r>
      <w:r w:rsidRPr="00E03BB4">
        <w:rPr>
          <w:b/>
          <w:snapToGrid w:val="0"/>
        </w:rPr>
        <w:t>b</w:t>
      </w:r>
      <w:r>
        <w:rPr>
          <w:snapToGrid w:val="0"/>
        </w:rPr>
        <w:t xml:space="preserve">ody </w:t>
      </w:r>
      <w:r w:rsidRPr="00E03BB4">
        <w:rPr>
          <w:b/>
          <w:snapToGrid w:val="0"/>
        </w:rPr>
        <w:t>id</w:t>
      </w:r>
      <w:r>
        <w:rPr>
          <w:snapToGrid w:val="0"/>
        </w:rPr>
        <w:t xml:space="preserve">entification (WBID) number for each watershed or stream reach.  There are </w:t>
      </w:r>
      <w:r w:rsidRPr="00873539">
        <w:rPr>
          <w:snapToGrid w:val="0"/>
        </w:rPr>
        <w:t>6,378</w:t>
      </w:r>
      <w:r>
        <w:rPr>
          <w:snapToGrid w:val="0"/>
        </w:rPr>
        <w:t xml:space="preserve"> waterbodies, each of which are characterized by waterbody type (rivers/streams, lakes, estuaries, or coastal waters) and comprise hydrologically unique segments of rivers and streams, lakes, and estuaries with relatively similar water quality.  Typically, the river and stream segments are about 5 miles long (generally bounded by headwaters, river mouths, or major intersecting streams); the estuary segments are about 5 square miles in size (often bounded by bridges); and lake segments comprise approximately 60 acres each (usually entire lakes, but if a lake is very large or has distinct areas of water quality, it may be subdivided).</w:t>
      </w:r>
    </w:p>
    <w:p w:rsidR="00485094" w:rsidRDefault="00485094" w:rsidP="005F5866">
      <w:pPr>
        <w:pStyle w:val="Bodytext"/>
        <w:rPr>
          <w:snapToGrid w:val="0"/>
        </w:rPr>
      </w:pPr>
    </w:p>
    <w:p w:rsidR="00485094" w:rsidRDefault="00485094" w:rsidP="005F5866">
      <w:pPr>
        <w:pStyle w:val="Bodytext"/>
        <w:rPr>
          <w:b/>
          <w:i/>
          <w:snapToGrid w:val="0"/>
          <w:u w:val="single"/>
        </w:rPr>
      </w:pPr>
      <w:r>
        <w:rPr>
          <w:snapToGrid w:val="0"/>
        </w:rPr>
        <w:t xml:space="preserve">The assessed waters include those waters for which enough information is available to determine whether they attain their designated use (Category 2 under the EPA’s integrated assessment) or do not attain their designated use (EPA Categories  4a, 4b, </w:t>
      </w:r>
      <w:r w:rsidRPr="00DC54A8">
        <w:rPr>
          <w:snapToGrid w:val="0"/>
        </w:rPr>
        <w:t>4c,</w:t>
      </w:r>
      <w:r>
        <w:rPr>
          <w:rStyle w:val="FootnoteReference"/>
          <w:snapToGrid w:val="0"/>
        </w:rPr>
        <w:footnoteReference w:id="5"/>
      </w:r>
      <w:r>
        <w:rPr>
          <w:snapToGrid w:val="0"/>
        </w:rPr>
        <w:t xml:space="preserve"> 4d, 4e, and 5) (see </w:t>
      </w:r>
      <w:hyperlink w:anchor="_Chapter_7._" w:history="1">
        <w:r w:rsidRPr="00295CB2">
          <w:rPr>
            <w:rStyle w:val="Hyperlink"/>
            <w:snapToGrid w:val="0"/>
          </w:rPr>
          <w:t>Chapter 7</w:t>
        </w:r>
      </w:hyperlink>
      <w:r>
        <w:rPr>
          <w:snapToGrid w:val="0"/>
        </w:rPr>
        <w:t xml:space="preserve"> for a description of the categories).  </w:t>
      </w:r>
      <w:r w:rsidRPr="0027351F">
        <w:rPr>
          <w:b/>
          <w:i/>
          <w:snapToGrid w:val="0"/>
        </w:rPr>
        <w:t xml:space="preserve">Table </w:t>
      </w:r>
      <w:r>
        <w:rPr>
          <w:b/>
          <w:i/>
          <w:snapToGrid w:val="0"/>
        </w:rPr>
        <w:t>8.1</w:t>
      </w:r>
      <w:r>
        <w:rPr>
          <w:snapToGrid w:val="0"/>
        </w:rPr>
        <w:t xml:space="preserve"> lists the number and size of waters assessed for each waterbody type,</w:t>
      </w:r>
      <w:r>
        <w:rPr>
          <w:rStyle w:val="FootnoteReference"/>
          <w:snapToGrid w:val="0"/>
        </w:rPr>
        <w:footnoteReference w:id="6"/>
      </w:r>
      <w:r>
        <w:rPr>
          <w:snapToGrid w:val="0"/>
        </w:rPr>
        <w:t xml:space="preserve"> and </w:t>
      </w:r>
      <w:r w:rsidRPr="0027351F">
        <w:rPr>
          <w:b/>
          <w:i/>
          <w:snapToGrid w:val="0"/>
        </w:rPr>
        <w:t xml:space="preserve">Table </w:t>
      </w:r>
      <w:r>
        <w:rPr>
          <w:b/>
          <w:i/>
          <w:snapToGrid w:val="0"/>
        </w:rPr>
        <w:t xml:space="preserve">8.2 </w:t>
      </w:r>
      <w:r>
        <w:rPr>
          <w:snapToGrid w:val="0"/>
        </w:rPr>
        <w:t xml:space="preserve">lists the number of surface waters assigned to each of the EPA reporting categories.  </w:t>
      </w:r>
    </w:p>
    <w:p w:rsidR="00485094" w:rsidRDefault="00485094" w:rsidP="005F5866">
      <w:pPr>
        <w:pStyle w:val="Bodytext"/>
        <w:rPr>
          <w:snapToGrid w:val="0"/>
        </w:rPr>
      </w:pPr>
    </w:p>
    <w:p w:rsidR="00485094" w:rsidRDefault="00485094" w:rsidP="005F5866">
      <w:pPr>
        <w:pStyle w:val="Bodytext"/>
        <w:rPr>
          <w:snapToGrid w:val="0"/>
        </w:rPr>
      </w:pPr>
      <w:r>
        <w:rPr>
          <w:snapToGrid w:val="0"/>
        </w:rPr>
        <w:t>For the determination of use support in this report, FDEP assessed 13,919 miles of rivers and streams, 1,203,632 acres of lakes, 2,473 square miles of estuaries, and 6,699 square miles of coastal waters using the IWR methodology for the identification of impaired waters.  (</w:t>
      </w:r>
      <w:r w:rsidRPr="007C1C84">
        <w:rPr>
          <w:b/>
          <w:snapToGrid w:val="0"/>
        </w:rPr>
        <w:t>Note:</w:t>
      </w:r>
      <w:r>
        <w:rPr>
          <w:snapToGrid w:val="0"/>
        </w:rPr>
        <w:t xml:space="preserve">  The total estimated miles for estuaries decreased by 30% this year due to improved GIS techniques to calculate mileages and corrections to the WBID system; t</w:t>
      </w:r>
      <w:r w:rsidRPr="005C33A6">
        <w:rPr>
          <w:snapToGrid w:val="0"/>
        </w:rPr>
        <w:t>he corrections included removing land drainage areas from some incorrect estuarine WBIDs and only including the water area</w:t>
      </w:r>
      <w:r>
        <w:rPr>
          <w:snapToGrid w:val="0"/>
        </w:rPr>
        <w:t>,</w:t>
      </w:r>
      <w:r w:rsidRPr="005C33A6">
        <w:rPr>
          <w:snapToGrid w:val="0"/>
        </w:rPr>
        <w:t xml:space="preserve"> resulting in a reduction of the </w:t>
      </w:r>
      <w:r>
        <w:rPr>
          <w:snapToGrid w:val="0"/>
        </w:rPr>
        <w:t xml:space="preserve">estimates of </w:t>
      </w:r>
      <w:r w:rsidRPr="005C33A6">
        <w:rPr>
          <w:snapToGrid w:val="0"/>
        </w:rPr>
        <w:t>total estuarine water area for Florida).</w:t>
      </w:r>
      <w:r>
        <w:rPr>
          <w:snapToGrid w:val="0"/>
        </w:rPr>
        <w:t xml:space="preserve">  The WBID system uses NHD mileages and acreages for lakes, estuaries, and streams; however, only those waters that are of significant size and perennial (not dry during the year) are used.  The EPA has historically identified 52,000 miles of streams in Florida, but these estimates include ditches that may not hold water during the year.  </w:t>
      </w:r>
    </w:p>
    <w:p w:rsidR="00485094" w:rsidRDefault="00485094" w:rsidP="005F5866">
      <w:pPr>
        <w:pStyle w:val="Bodytext"/>
        <w:rPr>
          <w:snapToGrid w:val="0"/>
        </w:rPr>
      </w:pPr>
    </w:p>
    <w:p w:rsidR="00485094" w:rsidRDefault="00485094" w:rsidP="005F5866">
      <w:pPr>
        <w:pStyle w:val="Bodytext"/>
        <w:rPr>
          <w:snapToGrid w:val="0"/>
        </w:rPr>
      </w:pPr>
      <w:r>
        <w:rPr>
          <w:snapToGrid w:val="0"/>
        </w:rPr>
        <w:t>It should be noted that the assessment results for lakes are highly affected by the assessment results for one impaired lake, Lake Okeechobee, which is by far the largest lake in the state.  All estuaries and coastal waters have been assessed for mercury, and consumption advisories have been issued for a number of fish species because of excessive concentrations of mercury in fish tissue.</w:t>
      </w:r>
    </w:p>
    <w:p w:rsidR="00485094" w:rsidRPr="00525390" w:rsidRDefault="00485094" w:rsidP="00525390">
      <w:pPr>
        <w:pStyle w:val="Bodytextreduced"/>
      </w:pPr>
    </w:p>
    <w:p w:rsidR="00485094" w:rsidRDefault="00485094">
      <w:pPr>
        <w:rPr>
          <w:rFonts w:ascii="Arial" w:hAnsi="Arial"/>
          <w:b/>
          <w:i/>
          <w:sz w:val="20"/>
          <w:szCs w:val="20"/>
        </w:rPr>
      </w:pPr>
      <w:bookmarkStart w:id="579" w:name="_Toc254267136"/>
      <w:bookmarkStart w:id="580" w:name="_Toc255807510"/>
      <w:r>
        <w:br w:type="page"/>
      </w:r>
    </w:p>
    <w:p w:rsidR="00485094" w:rsidRDefault="00485094" w:rsidP="005F5866">
      <w:pPr>
        <w:pStyle w:val="Tableheading"/>
      </w:pPr>
      <w:bookmarkStart w:id="581" w:name="_Toc271889863"/>
      <w:r>
        <w:lastRenderedPageBreak/>
        <w:t>Table 8.1.  Waters Assessed for the Statewide Basin Assessments, by Waterbody Type</w:t>
      </w:r>
      <w:bookmarkEnd w:id="579"/>
      <w:bookmarkEnd w:id="580"/>
      <w:bookmarkEnd w:id="581"/>
    </w:p>
    <w:p w:rsidR="00485094" w:rsidRDefault="00485094" w:rsidP="009909FD">
      <w:pPr>
        <w:pStyle w:val="TabledescriptionBF"/>
      </w:pPr>
      <w:r>
        <w:t xml:space="preserve">This is a three-column table.  Column 1 lists the waterbody type, Column 2 lists the number of waterbody segments, and Column 3 lists the miles, acres, or square miles assessed. </w:t>
      </w:r>
    </w:p>
    <w:p w:rsidR="00485094" w:rsidRPr="002C31AF" w:rsidRDefault="00485094" w:rsidP="002C31AF">
      <w:pPr>
        <w:rPr>
          <w:rFonts w:ascii="Arial" w:hAnsi="Arial" w:cs="Arial"/>
          <w:sz w:val="16"/>
          <w:szCs w:val="16"/>
        </w:rPr>
      </w:pPr>
    </w:p>
    <w:p w:rsidR="00485094" w:rsidRPr="002173CC" w:rsidRDefault="00485094" w:rsidP="009909FD">
      <w:pPr>
        <w:pStyle w:val="Bodytextreduced"/>
      </w:pPr>
      <w:r w:rsidRPr="002173CC">
        <w:rPr>
          <w:b/>
        </w:rPr>
        <w:t>Note:</w:t>
      </w:r>
      <w:r w:rsidRPr="002173CC">
        <w:t xml:space="preserve">  Scale is 1:24,000.  </w:t>
      </w:r>
    </w:p>
    <w:p w:rsidR="00485094" w:rsidRDefault="00485094" w:rsidP="009909FD">
      <w:pPr>
        <w:pStyle w:val="Bodytextreduced"/>
      </w:pPr>
      <w:r w:rsidRPr="002173CC">
        <w:rPr>
          <w:b/>
        </w:rPr>
        <w:t>Source:</w:t>
      </w:r>
      <w:r w:rsidRPr="002173CC">
        <w:t xml:space="preserve">  NHD</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684"/>
        <w:gridCol w:w="1619"/>
        <w:gridCol w:w="2250"/>
      </w:tblGrid>
      <w:tr w:rsidR="00485094" w:rsidRPr="0054245F" w:rsidTr="00E86B70">
        <w:trPr>
          <w:trHeight w:val="247"/>
          <w:jc w:val="center"/>
        </w:trPr>
        <w:tc>
          <w:tcPr>
            <w:tcW w:w="2684" w:type="dxa"/>
            <w:tcBorders>
              <w:bottom w:val="double" w:sz="4" w:space="0" w:color="auto"/>
            </w:tcBorders>
            <w:shd w:val="clear" w:color="auto" w:fill="BDFFFF"/>
            <w:vAlign w:val="bottom"/>
          </w:tcPr>
          <w:p w:rsidR="00485094" w:rsidRPr="0054245F" w:rsidRDefault="00485094" w:rsidP="009909FD">
            <w:pPr>
              <w:pStyle w:val="TableText"/>
              <w:jc w:val="center"/>
              <w:rPr>
                <w:b/>
                <w:i/>
              </w:rPr>
            </w:pPr>
            <w:r w:rsidRPr="0054245F">
              <w:rPr>
                <w:b/>
                <w:i/>
              </w:rPr>
              <w:t>Waterbody Type</w:t>
            </w:r>
          </w:p>
        </w:tc>
        <w:tc>
          <w:tcPr>
            <w:tcW w:w="1619" w:type="dxa"/>
            <w:tcBorders>
              <w:bottom w:val="double" w:sz="4" w:space="0" w:color="auto"/>
            </w:tcBorders>
            <w:shd w:val="clear" w:color="auto" w:fill="BDFFFF"/>
            <w:vAlign w:val="bottom"/>
          </w:tcPr>
          <w:p w:rsidR="00485094" w:rsidRPr="0054245F" w:rsidRDefault="00485094" w:rsidP="009909FD">
            <w:pPr>
              <w:pStyle w:val="TableText"/>
              <w:jc w:val="center"/>
              <w:rPr>
                <w:b/>
                <w:i/>
              </w:rPr>
            </w:pPr>
            <w:r w:rsidRPr="0054245F">
              <w:rPr>
                <w:b/>
                <w:i/>
              </w:rPr>
              <w:t>Number of Waterbod</w:t>
            </w:r>
            <w:r>
              <w:rPr>
                <w:b/>
                <w:i/>
              </w:rPr>
              <w:t>y Segments</w:t>
            </w:r>
          </w:p>
        </w:tc>
        <w:tc>
          <w:tcPr>
            <w:tcW w:w="2250" w:type="dxa"/>
            <w:tcBorders>
              <w:bottom w:val="double" w:sz="4" w:space="0" w:color="auto"/>
            </w:tcBorders>
            <w:shd w:val="clear" w:color="auto" w:fill="BDFFFF"/>
            <w:vAlign w:val="bottom"/>
          </w:tcPr>
          <w:p w:rsidR="00485094" w:rsidRPr="0054245F" w:rsidRDefault="00485094" w:rsidP="009909FD">
            <w:pPr>
              <w:pStyle w:val="TableText"/>
              <w:jc w:val="center"/>
              <w:rPr>
                <w:b/>
                <w:i/>
              </w:rPr>
            </w:pPr>
            <w:r>
              <w:rPr>
                <w:b/>
                <w:i/>
              </w:rPr>
              <w:t>Assessed</w:t>
            </w:r>
          </w:p>
        </w:tc>
      </w:tr>
      <w:tr w:rsidR="00485094" w:rsidTr="009909FD">
        <w:trPr>
          <w:trHeight w:val="247"/>
          <w:jc w:val="center"/>
        </w:trPr>
        <w:tc>
          <w:tcPr>
            <w:tcW w:w="2684" w:type="dxa"/>
            <w:tcBorders>
              <w:top w:val="double" w:sz="4" w:space="0" w:color="auto"/>
            </w:tcBorders>
            <w:shd w:val="clear" w:color="auto" w:fill="FFFFCC"/>
            <w:vAlign w:val="center"/>
          </w:tcPr>
          <w:p w:rsidR="00485094" w:rsidRDefault="00485094" w:rsidP="009909FD">
            <w:pPr>
              <w:pStyle w:val="TableText"/>
              <w:jc w:val="center"/>
            </w:pPr>
            <w:r>
              <w:t>Rivers/Streams</w:t>
            </w:r>
          </w:p>
        </w:tc>
        <w:tc>
          <w:tcPr>
            <w:tcW w:w="1619" w:type="dxa"/>
            <w:tcBorders>
              <w:top w:val="double" w:sz="4" w:space="0" w:color="auto"/>
            </w:tcBorders>
            <w:vAlign w:val="center"/>
          </w:tcPr>
          <w:p w:rsidR="00485094" w:rsidRDefault="00485094" w:rsidP="005F5866">
            <w:pPr>
              <w:pStyle w:val="TableText"/>
              <w:jc w:val="center"/>
            </w:pPr>
            <w:r>
              <w:t>3,996</w:t>
            </w:r>
          </w:p>
        </w:tc>
        <w:tc>
          <w:tcPr>
            <w:tcW w:w="2250" w:type="dxa"/>
            <w:tcBorders>
              <w:top w:val="double" w:sz="4" w:space="0" w:color="auto"/>
            </w:tcBorders>
            <w:vAlign w:val="center"/>
          </w:tcPr>
          <w:p w:rsidR="00485094" w:rsidRDefault="00485094" w:rsidP="005F5866">
            <w:pPr>
              <w:pStyle w:val="TableText"/>
              <w:jc w:val="center"/>
            </w:pPr>
            <w:r>
              <w:t>13,919 miles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Lakes</w:t>
            </w:r>
          </w:p>
        </w:tc>
        <w:tc>
          <w:tcPr>
            <w:tcW w:w="1619" w:type="dxa"/>
            <w:vAlign w:val="center"/>
          </w:tcPr>
          <w:p w:rsidR="00485094" w:rsidRDefault="00485094" w:rsidP="005F5866">
            <w:pPr>
              <w:pStyle w:val="TableText"/>
              <w:jc w:val="center"/>
            </w:pPr>
            <w:r>
              <w:t>1,324</w:t>
            </w:r>
          </w:p>
        </w:tc>
        <w:tc>
          <w:tcPr>
            <w:tcW w:w="2250" w:type="dxa"/>
            <w:vAlign w:val="center"/>
          </w:tcPr>
          <w:p w:rsidR="00485094" w:rsidRDefault="00485094" w:rsidP="005F5866">
            <w:pPr>
              <w:pStyle w:val="TableText"/>
              <w:jc w:val="center"/>
            </w:pPr>
            <w:r>
              <w:t>1,203,632 acres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Estuaries</w:t>
            </w:r>
          </w:p>
        </w:tc>
        <w:tc>
          <w:tcPr>
            <w:tcW w:w="1619" w:type="dxa"/>
            <w:vAlign w:val="center"/>
          </w:tcPr>
          <w:p w:rsidR="00485094" w:rsidRDefault="00485094" w:rsidP="005F5866">
            <w:pPr>
              <w:pStyle w:val="TableText"/>
              <w:jc w:val="center"/>
            </w:pPr>
            <w:r>
              <w:t>579</w:t>
            </w:r>
          </w:p>
        </w:tc>
        <w:tc>
          <w:tcPr>
            <w:tcW w:w="2250" w:type="dxa"/>
            <w:vAlign w:val="center"/>
          </w:tcPr>
          <w:p w:rsidR="00485094" w:rsidRDefault="00485094" w:rsidP="005F5866">
            <w:pPr>
              <w:pStyle w:val="TableText"/>
              <w:jc w:val="center"/>
            </w:pPr>
            <w:r>
              <w:t>2,473 square miles</w:t>
            </w:r>
          </w:p>
        </w:tc>
      </w:tr>
      <w:tr w:rsidR="00485094" w:rsidTr="009909FD">
        <w:trPr>
          <w:trHeight w:val="247"/>
          <w:jc w:val="center"/>
        </w:trPr>
        <w:tc>
          <w:tcPr>
            <w:tcW w:w="2684" w:type="dxa"/>
            <w:shd w:val="clear" w:color="auto" w:fill="FFFFCC"/>
            <w:vAlign w:val="center"/>
          </w:tcPr>
          <w:p w:rsidR="00485094" w:rsidRDefault="00485094" w:rsidP="005F5866">
            <w:pPr>
              <w:pStyle w:val="TableText"/>
              <w:jc w:val="center"/>
            </w:pPr>
            <w:r>
              <w:t>Coastal Waters</w:t>
            </w:r>
          </w:p>
        </w:tc>
        <w:tc>
          <w:tcPr>
            <w:tcW w:w="1619" w:type="dxa"/>
            <w:vAlign w:val="center"/>
          </w:tcPr>
          <w:p w:rsidR="00485094" w:rsidRDefault="00485094" w:rsidP="005F5866">
            <w:pPr>
              <w:pStyle w:val="TableText"/>
              <w:jc w:val="center"/>
            </w:pPr>
            <w:r>
              <w:t>154</w:t>
            </w:r>
          </w:p>
        </w:tc>
        <w:tc>
          <w:tcPr>
            <w:tcW w:w="2250" w:type="dxa"/>
            <w:vAlign w:val="center"/>
          </w:tcPr>
          <w:p w:rsidR="00485094" w:rsidRDefault="00485094" w:rsidP="005F5866">
            <w:pPr>
              <w:pStyle w:val="TableText"/>
              <w:jc w:val="center"/>
            </w:pPr>
            <w:r>
              <w:t>6,699 square miles</w:t>
            </w:r>
          </w:p>
        </w:tc>
      </w:tr>
    </w:tbl>
    <w:p w:rsidR="00485094" w:rsidRDefault="00485094" w:rsidP="00A60DC3">
      <w:pPr>
        <w:pStyle w:val="Bodytextreduced"/>
      </w:pPr>
    </w:p>
    <w:p w:rsidR="00485094" w:rsidRDefault="00485094" w:rsidP="00A60DC3">
      <w:pPr>
        <w:pStyle w:val="Bodytextreduced"/>
      </w:pPr>
    </w:p>
    <w:p w:rsidR="00485094" w:rsidRDefault="00485094" w:rsidP="00A60DC3">
      <w:pPr>
        <w:pStyle w:val="Bodytextreduced"/>
      </w:pPr>
    </w:p>
    <w:p w:rsidR="00485094" w:rsidRDefault="00485094" w:rsidP="000C28CE">
      <w:pPr>
        <w:pStyle w:val="Tableheading"/>
        <w:rPr>
          <w:sz w:val="16"/>
          <w:szCs w:val="16"/>
        </w:rPr>
      </w:pPr>
      <w:bookmarkStart w:id="582" w:name="_Toc254267137"/>
      <w:bookmarkStart w:id="583" w:name="_Toc255807511"/>
      <w:bookmarkStart w:id="584" w:name="_Toc271889864"/>
      <w:r w:rsidRPr="00010E67">
        <w:t xml:space="preserve">Table </w:t>
      </w:r>
      <w:r>
        <w:t>8.2.</w:t>
      </w:r>
      <w:r w:rsidRPr="00010E67">
        <w:t xml:space="preserve">  Size of Surface Waters Assigned to</w:t>
      </w:r>
      <w:r>
        <w:t xml:space="preserve"> Each EPA Integrated </w:t>
      </w:r>
      <w:r w:rsidRPr="00010E67">
        <w:t>Report Categor</w:t>
      </w:r>
      <w:r>
        <w:t>y</w:t>
      </w:r>
      <w:bookmarkEnd w:id="582"/>
      <w:bookmarkEnd w:id="583"/>
      <w:bookmarkEnd w:id="584"/>
    </w:p>
    <w:p w:rsidR="00485094" w:rsidRDefault="00485094" w:rsidP="009909FD">
      <w:pPr>
        <w:pStyle w:val="TabledescriptionBF"/>
      </w:pPr>
      <w:r>
        <w:t>This is a 10-column table.  Column 1 lists the waterbody type, Columns 2 through 6 list the number of each waterbody type in Categories 2 through 5, respectively, Column 7 lists the number with no data, Column 8 lists the number with insufficient data, Column 9 lists the number of total waters assessed, and Column 10 lists the total number in the state.</w:t>
      </w:r>
    </w:p>
    <w:p w:rsidR="00485094" w:rsidRDefault="00485094" w:rsidP="00B501CB">
      <w:pPr>
        <w:pStyle w:val="Bodytext"/>
        <w:rPr>
          <w:sz w:val="16"/>
          <w:szCs w:val="16"/>
        </w:rPr>
      </w:pPr>
    </w:p>
    <w:p w:rsidR="00485094" w:rsidRDefault="00485094" w:rsidP="009909FD">
      <w:pPr>
        <w:pStyle w:val="Bodytext"/>
        <w:rPr>
          <w:sz w:val="16"/>
          <w:szCs w:val="16"/>
        </w:rPr>
      </w:pPr>
      <w:r w:rsidRPr="00945371">
        <w:rPr>
          <w:b/>
          <w:sz w:val="16"/>
          <w:szCs w:val="16"/>
        </w:rPr>
        <w:t>Note:</w:t>
      </w:r>
      <w:r>
        <w:rPr>
          <w:sz w:val="16"/>
          <w:szCs w:val="16"/>
        </w:rPr>
        <w:t xml:space="preserve">  There are no waters in EPA Category 1 (attaining all designated uses) because FDEP does not sample for all uses.  Category 2 comprises waters attaining all the uses that are sampled for.</w:t>
      </w:r>
    </w:p>
    <w:p w:rsidR="00485094" w:rsidRDefault="00485094" w:rsidP="009909FD">
      <w:pPr>
        <w:pStyle w:val="Bodytext"/>
        <w:rPr>
          <w:sz w:val="16"/>
          <w:szCs w:val="16"/>
        </w:rPr>
      </w:pPr>
    </w:p>
    <w:p w:rsidR="00485094" w:rsidRPr="006B65A3" w:rsidRDefault="00485094" w:rsidP="009909FD">
      <w:pPr>
        <w:pStyle w:val="Bodytext"/>
        <w:rPr>
          <w:sz w:val="16"/>
          <w:szCs w:val="16"/>
        </w:rPr>
      </w:pPr>
      <w:r>
        <w:rPr>
          <w:b/>
          <w:sz w:val="16"/>
          <w:szCs w:val="16"/>
        </w:rPr>
        <w:t xml:space="preserve">* </w:t>
      </w:r>
      <w:r w:rsidRPr="006B65A3">
        <w:rPr>
          <w:sz w:val="16"/>
          <w:szCs w:val="16"/>
        </w:rPr>
        <w:t>The EPA’s Integrated Report categories are as follows:</w:t>
      </w:r>
    </w:p>
    <w:p w:rsidR="00485094" w:rsidRPr="006B65A3" w:rsidRDefault="00485094" w:rsidP="009909FD">
      <w:pPr>
        <w:pStyle w:val="Bodytext"/>
        <w:ind w:left="900" w:hanging="360"/>
        <w:rPr>
          <w:sz w:val="16"/>
          <w:szCs w:val="16"/>
        </w:rPr>
      </w:pPr>
      <w:r w:rsidRPr="006B65A3">
        <w:rPr>
          <w:sz w:val="16"/>
          <w:szCs w:val="16"/>
        </w:rPr>
        <w:t>1—Attains all designated uses;</w:t>
      </w:r>
    </w:p>
    <w:p w:rsidR="00485094" w:rsidRPr="006B65A3" w:rsidRDefault="00485094" w:rsidP="009909FD">
      <w:pPr>
        <w:pStyle w:val="Bodytext"/>
        <w:ind w:left="900" w:hanging="360"/>
        <w:rPr>
          <w:sz w:val="16"/>
          <w:szCs w:val="16"/>
        </w:rPr>
      </w:pPr>
      <w:r w:rsidRPr="006B65A3">
        <w:rPr>
          <w:sz w:val="16"/>
          <w:szCs w:val="16"/>
        </w:rPr>
        <w:t>2—Attains some designated uses;</w:t>
      </w:r>
    </w:p>
    <w:p w:rsidR="00485094" w:rsidRPr="006B65A3" w:rsidRDefault="00485094" w:rsidP="009909FD">
      <w:pPr>
        <w:pStyle w:val="Bodytext"/>
        <w:ind w:left="900" w:hanging="360"/>
        <w:rPr>
          <w:sz w:val="16"/>
          <w:szCs w:val="16"/>
        </w:rPr>
      </w:pPr>
      <w:r w:rsidRPr="006B65A3">
        <w:rPr>
          <w:sz w:val="16"/>
          <w:szCs w:val="16"/>
        </w:rPr>
        <w:t>3a—No data and information are available to determine if any designated use is attained;</w:t>
      </w:r>
    </w:p>
    <w:p w:rsidR="00485094" w:rsidRPr="006B65A3" w:rsidRDefault="00485094" w:rsidP="009909FD">
      <w:pPr>
        <w:pStyle w:val="Bodytext"/>
        <w:ind w:left="900" w:hanging="360"/>
        <w:rPr>
          <w:sz w:val="16"/>
          <w:szCs w:val="16"/>
        </w:rPr>
      </w:pPr>
      <w:r w:rsidRPr="006B65A3">
        <w:rPr>
          <w:sz w:val="16"/>
          <w:szCs w:val="16"/>
        </w:rPr>
        <w:t>3b—Some data and information are available, but they are insufficient for determining if any designated use is attained;</w:t>
      </w:r>
    </w:p>
    <w:p w:rsidR="00485094" w:rsidRPr="006B65A3" w:rsidRDefault="00485094" w:rsidP="009909FD">
      <w:pPr>
        <w:pStyle w:val="Bodytext"/>
        <w:ind w:left="900" w:hanging="360"/>
        <w:rPr>
          <w:sz w:val="16"/>
          <w:szCs w:val="16"/>
        </w:rPr>
      </w:pPr>
      <w:r w:rsidRPr="006B65A3">
        <w:rPr>
          <w:sz w:val="16"/>
          <w:szCs w:val="16"/>
        </w:rPr>
        <w:t>3c—Meets Planning List criteria and is potentially impaired for one or more designated uses;</w:t>
      </w:r>
    </w:p>
    <w:p w:rsidR="00485094" w:rsidRPr="006B65A3" w:rsidRDefault="00485094" w:rsidP="009909FD">
      <w:pPr>
        <w:pStyle w:val="Bodytext"/>
        <w:ind w:left="900" w:hanging="360"/>
        <w:rPr>
          <w:sz w:val="16"/>
          <w:szCs w:val="16"/>
        </w:rPr>
      </w:pPr>
      <w:r w:rsidRPr="006B65A3">
        <w:rPr>
          <w:sz w:val="16"/>
          <w:szCs w:val="16"/>
        </w:rPr>
        <w:t>3d—Meets Verified List criteria and is potentially impaired for one or more designated uses;</w:t>
      </w:r>
    </w:p>
    <w:p w:rsidR="00485094" w:rsidRPr="006B65A3" w:rsidRDefault="00485094" w:rsidP="009909FD">
      <w:pPr>
        <w:pStyle w:val="Bodytext"/>
        <w:ind w:left="900" w:hanging="360"/>
        <w:rPr>
          <w:sz w:val="16"/>
          <w:szCs w:val="16"/>
        </w:rPr>
      </w:pPr>
      <w:r w:rsidRPr="006B65A3">
        <w:rPr>
          <w:sz w:val="16"/>
          <w:szCs w:val="16"/>
        </w:rPr>
        <w:t>4a—Impaired for one or more designated uses and the TMDL is complete;</w:t>
      </w:r>
    </w:p>
    <w:p w:rsidR="00485094" w:rsidRPr="006B65A3" w:rsidRDefault="00485094" w:rsidP="009909FD">
      <w:pPr>
        <w:pStyle w:val="Bodytext"/>
        <w:ind w:left="900" w:hanging="360"/>
        <w:rPr>
          <w:sz w:val="16"/>
          <w:szCs w:val="16"/>
        </w:rPr>
      </w:pPr>
      <w:r w:rsidRPr="006B65A3">
        <w:rPr>
          <w:sz w:val="16"/>
          <w:szCs w:val="16"/>
        </w:rPr>
        <w:t xml:space="preserve">4b—Impaired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9909FD">
      <w:pPr>
        <w:pStyle w:val="Bodytext"/>
        <w:ind w:left="900" w:hanging="360"/>
        <w:rPr>
          <w:sz w:val="16"/>
          <w:szCs w:val="16"/>
        </w:rPr>
      </w:pPr>
      <w:r w:rsidRPr="006B65A3">
        <w:rPr>
          <w:sz w:val="16"/>
          <w:szCs w:val="16"/>
        </w:rPr>
        <w:t xml:space="preserve">4c—Impaired for one or more designated uses but no TMDL is required because the impairment is not caused by a pollutant; </w:t>
      </w:r>
    </w:p>
    <w:p w:rsidR="00485094" w:rsidRDefault="00485094" w:rsidP="009909FD">
      <w:pPr>
        <w:pStyle w:val="Bodytext"/>
        <w:ind w:left="900" w:hanging="360"/>
        <w:rPr>
          <w:sz w:val="16"/>
          <w:szCs w:val="16"/>
        </w:rPr>
      </w:pPr>
      <w:r>
        <w:rPr>
          <w:sz w:val="16"/>
          <w:szCs w:val="16"/>
        </w:rPr>
        <w:t>4d</w:t>
      </w:r>
      <w:r w:rsidRPr="006B65A3">
        <w:rPr>
          <w:sz w:val="16"/>
          <w:szCs w:val="16"/>
        </w:rPr>
        <w:t>—</w:t>
      </w:r>
      <w:r w:rsidRPr="007001D2">
        <w:rPr>
          <w:sz w:val="16"/>
          <w:szCs w:val="16"/>
        </w:rPr>
        <w:t>No causative pollutant has been identified</w:t>
      </w:r>
      <w:r>
        <w:rPr>
          <w:sz w:val="16"/>
          <w:szCs w:val="16"/>
        </w:rPr>
        <w:t>;</w:t>
      </w:r>
    </w:p>
    <w:p w:rsidR="00485094" w:rsidRDefault="00485094" w:rsidP="009909FD">
      <w:pPr>
        <w:pStyle w:val="Bodytext"/>
        <w:ind w:left="900" w:hanging="360"/>
        <w:rPr>
          <w:sz w:val="16"/>
          <w:szCs w:val="16"/>
        </w:rPr>
      </w:pPr>
      <w:r>
        <w:rPr>
          <w:sz w:val="16"/>
          <w:szCs w:val="16"/>
        </w:rPr>
        <w:t>4e</w:t>
      </w:r>
      <w:r w:rsidRPr="006B65A3">
        <w:rPr>
          <w:sz w:val="16"/>
          <w:szCs w:val="16"/>
        </w:rPr>
        <w:t>—</w:t>
      </w:r>
      <w:r w:rsidRPr="007001D2">
        <w:rPr>
          <w:sz w:val="16"/>
          <w:szCs w:val="16"/>
        </w:rPr>
        <w:t>Impaired, but recently completed or ongoing restoration activities should restore the designated uses of the waterbody</w:t>
      </w:r>
      <w:r>
        <w:rPr>
          <w:sz w:val="16"/>
          <w:szCs w:val="16"/>
        </w:rPr>
        <w:t>; and</w:t>
      </w:r>
    </w:p>
    <w:p w:rsidR="00485094" w:rsidRPr="003A4461" w:rsidRDefault="00485094" w:rsidP="00B501CB">
      <w:pPr>
        <w:pStyle w:val="Bodytext"/>
        <w:ind w:left="900" w:hanging="360"/>
        <w:rPr>
          <w:rFonts w:cs="Arial"/>
          <w:szCs w:val="22"/>
        </w:rPr>
      </w:pPr>
      <w:r w:rsidRPr="006B65A3">
        <w:rPr>
          <w:sz w:val="16"/>
          <w:szCs w:val="16"/>
        </w:rPr>
        <w:t>5—Water quality standards are not attained and a TMDL is required.</w:t>
      </w:r>
    </w:p>
    <w:tbl>
      <w:tblPr>
        <w:tblW w:w="11420" w:type="dxa"/>
        <w:jc w:val="center"/>
        <w:tblInd w:w="14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1472"/>
        <w:gridCol w:w="1050"/>
        <w:gridCol w:w="1170"/>
        <w:gridCol w:w="1208"/>
        <w:gridCol w:w="1170"/>
        <w:gridCol w:w="1080"/>
        <w:gridCol w:w="990"/>
        <w:gridCol w:w="1170"/>
        <w:gridCol w:w="1024"/>
        <w:gridCol w:w="1086"/>
      </w:tblGrid>
      <w:tr w:rsidR="00485094" w:rsidRPr="00B501CB" w:rsidTr="00E86B70">
        <w:trPr>
          <w:trHeight w:val="247"/>
          <w:jc w:val="center"/>
        </w:trPr>
        <w:tc>
          <w:tcPr>
            <w:tcW w:w="1472"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Waterbody Type</w:t>
            </w:r>
          </w:p>
        </w:tc>
        <w:tc>
          <w:tcPr>
            <w:tcW w:w="105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Category 2*</w:t>
            </w:r>
          </w:p>
        </w:tc>
        <w:tc>
          <w:tcPr>
            <w:tcW w:w="117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3c and 3d (Planning List)*</w:t>
            </w:r>
          </w:p>
        </w:tc>
        <w:tc>
          <w:tcPr>
            <w:tcW w:w="1208"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4a, 4b, 4c</w:t>
            </w:r>
            <w:r>
              <w:rPr>
                <w:b/>
                <w:i/>
                <w:sz w:val="16"/>
                <w:szCs w:val="16"/>
              </w:rPr>
              <w:t>*</w:t>
            </w:r>
          </w:p>
        </w:tc>
        <w:tc>
          <w:tcPr>
            <w:tcW w:w="117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Categories 4d, 4e</w:t>
            </w:r>
            <w:r>
              <w:rPr>
                <w:b/>
                <w:i/>
                <w:sz w:val="16"/>
                <w:szCs w:val="16"/>
              </w:rPr>
              <w:t>*</w:t>
            </w:r>
          </w:p>
        </w:tc>
        <w:tc>
          <w:tcPr>
            <w:tcW w:w="1080"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Categor</w:t>
            </w:r>
            <w:r>
              <w:rPr>
                <w:b/>
                <w:i/>
                <w:sz w:val="16"/>
                <w:szCs w:val="16"/>
              </w:rPr>
              <w:t>y</w:t>
            </w:r>
            <w:r w:rsidRPr="00B501CB">
              <w:rPr>
                <w:b/>
                <w:i/>
                <w:sz w:val="16"/>
                <w:szCs w:val="16"/>
              </w:rPr>
              <w:t xml:space="preserve"> 5*</w:t>
            </w:r>
          </w:p>
        </w:tc>
        <w:tc>
          <w:tcPr>
            <w:tcW w:w="990"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No</w:t>
            </w:r>
            <w:r>
              <w:rPr>
                <w:b/>
                <w:i/>
                <w:sz w:val="16"/>
                <w:szCs w:val="16"/>
              </w:rPr>
              <w:t xml:space="preserve"> </w:t>
            </w:r>
            <w:r w:rsidRPr="00B501CB">
              <w:rPr>
                <w:b/>
                <w:i/>
                <w:sz w:val="16"/>
                <w:szCs w:val="16"/>
              </w:rPr>
              <w:t>Data</w:t>
            </w:r>
            <w:r>
              <w:rPr>
                <w:b/>
                <w:i/>
                <w:sz w:val="16"/>
                <w:szCs w:val="16"/>
              </w:rPr>
              <w:t xml:space="preserve"> (Category 3a)*</w:t>
            </w:r>
          </w:p>
        </w:tc>
        <w:tc>
          <w:tcPr>
            <w:tcW w:w="1170"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Insufficient Data</w:t>
            </w:r>
            <w:r>
              <w:rPr>
                <w:b/>
                <w:i/>
                <w:sz w:val="16"/>
                <w:szCs w:val="16"/>
              </w:rPr>
              <w:t xml:space="preserve"> (Category 3b)*</w:t>
            </w:r>
          </w:p>
        </w:tc>
        <w:tc>
          <w:tcPr>
            <w:tcW w:w="1024" w:type="dxa"/>
            <w:tcBorders>
              <w:bottom w:val="double" w:sz="4" w:space="0" w:color="auto"/>
            </w:tcBorders>
            <w:shd w:val="clear" w:color="auto" w:fill="BDFFFF"/>
            <w:vAlign w:val="bottom"/>
          </w:tcPr>
          <w:p w:rsidR="00485094" w:rsidRPr="00B501CB" w:rsidRDefault="00485094" w:rsidP="005C33A6">
            <w:pPr>
              <w:pStyle w:val="TableText"/>
              <w:jc w:val="center"/>
              <w:rPr>
                <w:b/>
                <w:i/>
                <w:sz w:val="16"/>
                <w:szCs w:val="16"/>
              </w:rPr>
            </w:pPr>
            <w:r w:rsidRPr="00B501CB">
              <w:rPr>
                <w:b/>
                <w:i/>
                <w:sz w:val="16"/>
                <w:szCs w:val="16"/>
              </w:rPr>
              <w:t>Total Waters Assessed</w:t>
            </w:r>
            <w:r>
              <w:rPr>
                <w:b/>
                <w:i/>
                <w:sz w:val="16"/>
                <w:szCs w:val="16"/>
              </w:rPr>
              <w:t xml:space="preserve"> for at Least 1 Parameter</w:t>
            </w:r>
          </w:p>
        </w:tc>
        <w:tc>
          <w:tcPr>
            <w:tcW w:w="1086" w:type="dxa"/>
            <w:tcBorders>
              <w:bottom w:val="double" w:sz="4" w:space="0" w:color="auto"/>
            </w:tcBorders>
            <w:shd w:val="clear" w:color="auto" w:fill="BDFFFF"/>
            <w:vAlign w:val="bottom"/>
          </w:tcPr>
          <w:p w:rsidR="00485094" w:rsidRPr="00B501CB" w:rsidRDefault="00485094" w:rsidP="00B501CB">
            <w:pPr>
              <w:pStyle w:val="TableText"/>
              <w:jc w:val="center"/>
              <w:rPr>
                <w:b/>
                <w:i/>
                <w:sz w:val="16"/>
                <w:szCs w:val="16"/>
              </w:rPr>
            </w:pPr>
            <w:r w:rsidRPr="00B501CB">
              <w:rPr>
                <w:b/>
                <w:i/>
                <w:sz w:val="16"/>
                <w:szCs w:val="16"/>
              </w:rPr>
              <w:t>Total in State</w:t>
            </w:r>
          </w:p>
        </w:tc>
      </w:tr>
      <w:tr w:rsidR="00485094" w:rsidRPr="00B501CB" w:rsidTr="00457B8C">
        <w:trPr>
          <w:trHeight w:val="247"/>
          <w:jc w:val="center"/>
        </w:trPr>
        <w:tc>
          <w:tcPr>
            <w:tcW w:w="1472" w:type="dxa"/>
            <w:tcBorders>
              <w:top w:val="double" w:sz="4" w:space="0" w:color="auto"/>
            </w:tcBorders>
            <w:shd w:val="clear" w:color="auto" w:fill="FFFFCC"/>
            <w:vAlign w:val="center"/>
          </w:tcPr>
          <w:p w:rsidR="00485094" w:rsidRPr="00B501CB" w:rsidRDefault="00485094" w:rsidP="005F5866">
            <w:pPr>
              <w:pStyle w:val="TableText"/>
              <w:jc w:val="center"/>
              <w:rPr>
                <w:sz w:val="16"/>
                <w:szCs w:val="16"/>
              </w:rPr>
            </w:pPr>
            <w:r w:rsidRPr="00B501CB">
              <w:rPr>
                <w:sz w:val="16"/>
                <w:szCs w:val="16"/>
              </w:rPr>
              <w:t>Rivers/</w:t>
            </w:r>
          </w:p>
          <w:p w:rsidR="00485094" w:rsidRPr="00B501CB" w:rsidRDefault="00485094" w:rsidP="005F5866">
            <w:pPr>
              <w:pStyle w:val="TableText"/>
              <w:jc w:val="center"/>
              <w:rPr>
                <w:sz w:val="16"/>
                <w:szCs w:val="16"/>
              </w:rPr>
            </w:pPr>
            <w:r w:rsidRPr="00B501CB">
              <w:rPr>
                <w:sz w:val="16"/>
                <w:szCs w:val="16"/>
              </w:rPr>
              <w:t>Streams</w:t>
            </w:r>
          </w:p>
          <w:p w:rsidR="00485094" w:rsidRPr="00B501CB" w:rsidRDefault="00485094" w:rsidP="005F5866">
            <w:pPr>
              <w:pStyle w:val="TableText"/>
              <w:jc w:val="center"/>
              <w:rPr>
                <w:sz w:val="16"/>
                <w:szCs w:val="16"/>
              </w:rPr>
            </w:pPr>
            <w:r w:rsidRPr="00B501CB">
              <w:rPr>
                <w:sz w:val="16"/>
                <w:szCs w:val="16"/>
              </w:rPr>
              <w:t>(miles)</w:t>
            </w:r>
          </w:p>
        </w:tc>
        <w:tc>
          <w:tcPr>
            <w:tcW w:w="1050"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919</w:t>
            </w:r>
          </w:p>
        </w:tc>
        <w:tc>
          <w:tcPr>
            <w:tcW w:w="1170"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2,354</w:t>
            </w:r>
          </w:p>
        </w:tc>
        <w:tc>
          <w:tcPr>
            <w:tcW w:w="1208"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658</w:t>
            </w:r>
          </w:p>
        </w:tc>
        <w:tc>
          <w:tcPr>
            <w:tcW w:w="117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2,193</w:t>
            </w:r>
          </w:p>
        </w:tc>
        <w:tc>
          <w:tcPr>
            <w:tcW w:w="108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7,796</w:t>
            </w:r>
          </w:p>
        </w:tc>
        <w:tc>
          <w:tcPr>
            <w:tcW w:w="99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7,695</w:t>
            </w:r>
          </w:p>
        </w:tc>
        <w:tc>
          <w:tcPr>
            <w:tcW w:w="1170" w:type="dxa"/>
            <w:tcBorders>
              <w:top w:val="double" w:sz="4" w:space="0" w:color="auto"/>
            </w:tcBorders>
            <w:vAlign w:val="center"/>
          </w:tcPr>
          <w:p w:rsidR="00485094" w:rsidRPr="001725EE" w:rsidRDefault="00485094" w:rsidP="005F5866">
            <w:pPr>
              <w:pStyle w:val="TableText"/>
              <w:jc w:val="center"/>
              <w:rPr>
                <w:sz w:val="16"/>
                <w:szCs w:val="16"/>
              </w:rPr>
            </w:pPr>
            <w:r w:rsidRPr="001725EE">
              <w:rPr>
                <w:sz w:val="16"/>
                <w:szCs w:val="16"/>
              </w:rPr>
              <w:t>2,308</w:t>
            </w:r>
          </w:p>
        </w:tc>
        <w:tc>
          <w:tcPr>
            <w:tcW w:w="1024" w:type="dxa"/>
            <w:tcBorders>
              <w:top w:val="double" w:sz="4" w:space="0" w:color="auto"/>
            </w:tcBorders>
            <w:vAlign w:val="center"/>
          </w:tcPr>
          <w:p w:rsidR="00485094" w:rsidRPr="001725EE" w:rsidRDefault="00485094" w:rsidP="005F5866">
            <w:pPr>
              <w:pStyle w:val="TableText"/>
              <w:jc w:val="center"/>
              <w:rPr>
                <w:sz w:val="16"/>
                <w:szCs w:val="16"/>
              </w:rPr>
            </w:pPr>
            <w:r>
              <w:rPr>
                <w:sz w:val="16"/>
                <w:szCs w:val="16"/>
              </w:rPr>
              <w:t>13,919</w:t>
            </w:r>
          </w:p>
        </w:tc>
        <w:tc>
          <w:tcPr>
            <w:tcW w:w="1086" w:type="dxa"/>
            <w:tcBorders>
              <w:top w:val="double" w:sz="4" w:space="0" w:color="auto"/>
            </w:tcBorders>
            <w:vAlign w:val="center"/>
          </w:tcPr>
          <w:p w:rsidR="00485094" w:rsidRPr="00B501CB" w:rsidRDefault="00485094" w:rsidP="005F5866">
            <w:pPr>
              <w:pStyle w:val="TableText"/>
              <w:jc w:val="center"/>
              <w:rPr>
                <w:sz w:val="16"/>
                <w:szCs w:val="16"/>
              </w:rPr>
            </w:pPr>
            <w:r w:rsidRPr="00B501CB">
              <w:rPr>
                <w:sz w:val="16"/>
                <w:szCs w:val="16"/>
              </w:rPr>
              <w:t>23,922</w:t>
            </w:r>
          </w:p>
        </w:tc>
      </w:tr>
      <w:tr w:rsidR="00485094" w:rsidRPr="00B501CB" w:rsidTr="00457B8C">
        <w:trPr>
          <w:trHeight w:val="247"/>
          <w:jc w:val="center"/>
        </w:trPr>
        <w:tc>
          <w:tcPr>
            <w:tcW w:w="1472" w:type="dxa"/>
            <w:shd w:val="clear" w:color="auto" w:fill="FFFFCC"/>
            <w:vAlign w:val="center"/>
          </w:tcPr>
          <w:p w:rsidR="00485094" w:rsidRPr="00B501CB" w:rsidRDefault="00485094" w:rsidP="005F5866">
            <w:pPr>
              <w:pStyle w:val="TableText"/>
              <w:jc w:val="center"/>
              <w:rPr>
                <w:sz w:val="16"/>
                <w:szCs w:val="16"/>
              </w:rPr>
            </w:pPr>
            <w:r w:rsidRPr="00B501CB">
              <w:rPr>
                <w:sz w:val="16"/>
                <w:szCs w:val="16"/>
              </w:rPr>
              <w:t xml:space="preserve">Lakes </w:t>
            </w:r>
          </w:p>
          <w:p w:rsidR="00485094" w:rsidRPr="00B501CB" w:rsidRDefault="00485094" w:rsidP="005F5866">
            <w:pPr>
              <w:pStyle w:val="TableText"/>
              <w:jc w:val="center"/>
              <w:rPr>
                <w:sz w:val="16"/>
                <w:szCs w:val="16"/>
              </w:rPr>
            </w:pPr>
            <w:r w:rsidRPr="00B501CB">
              <w:rPr>
                <w:sz w:val="16"/>
                <w:szCs w:val="16"/>
              </w:rPr>
              <w:t>(acres)</w:t>
            </w:r>
          </w:p>
        </w:tc>
        <w:tc>
          <w:tcPr>
            <w:tcW w:w="1050" w:type="dxa"/>
            <w:vAlign w:val="center"/>
          </w:tcPr>
          <w:p w:rsidR="00485094" w:rsidRPr="00B501CB" w:rsidRDefault="00485094" w:rsidP="001725EE">
            <w:pPr>
              <w:pStyle w:val="TableText"/>
              <w:jc w:val="center"/>
              <w:rPr>
                <w:sz w:val="16"/>
                <w:szCs w:val="16"/>
              </w:rPr>
            </w:pPr>
            <w:r w:rsidRPr="00B501CB">
              <w:rPr>
                <w:sz w:val="16"/>
                <w:szCs w:val="16"/>
              </w:rPr>
              <w:t>59,2</w:t>
            </w:r>
            <w:r>
              <w:rPr>
                <w:sz w:val="16"/>
                <w:szCs w:val="16"/>
              </w:rPr>
              <w:t>2</w:t>
            </w:r>
            <w:r w:rsidRPr="00B501CB">
              <w:rPr>
                <w:sz w:val="16"/>
                <w:szCs w:val="16"/>
              </w:rPr>
              <w:t>7</w:t>
            </w:r>
          </w:p>
        </w:tc>
        <w:tc>
          <w:tcPr>
            <w:tcW w:w="1170" w:type="dxa"/>
            <w:vAlign w:val="center"/>
          </w:tcPr>
          <w:p w:rsidR="00485094" w:rsidRPr="00B501CB" w:rsidRDefault="00485094" w:rsidP="005F5866">
            <w:pPr>
              <w:pStyle w:val="TableText"/>
              <w:jc w:val="center"/>
              <w:rPr>
                <w:sz w:val="16"/>
                <w:szCs w:val="16"/>
              </w:rPr>
            </w:pPr>
            <w:r w:rsidRPr="00B501CB">
              <w:rPr>
                <w:sz w:val="16"/>
                <w:szCs w:val="16"/>
              </w:rPr>
              <w:t>58,540</w:t>
            </w:r>
          </w:p>
        </w:tc>
        <w:tc>
          <w:tcPr>
            <w:tcW w:w="1208" w:type="dxa"/>
            <w:vAlign w:val="center"/>
          </w:tcPr>
          <w:p w:rsidR="00485094" w:rsidRPr="001725EE" w:rsidRDefault="00485094" w:rsidP="005F5866">
            <w:pPr>
              <w:pStyle w:val="TableText"/>
              <w:jc w:val="center"/>
              <w:rPr>
                <w:sz w:val="16"/>
                <w:szCs w:val="16"/>
              </w:rPr>
            </w:pPr>
            <w:r w:rsidRPr="001725EE">
              <w:rPr>
                <w:sz w:val="16"/>
                <w:szCs w:val="16"/>
              </w:rPr>
              <w:t>84,908</w:t>
            </w:r>
          </w:p>
        </w:tc>
        <w:tc>
          <w:tcPr>
            <w:tcW w:w="1170" w:type="dxa"/>
            <w:vAlign w:val="center"/>
          </w:tcPr>
          <w:p w:rsidR="00485094" w:rsidRPr="001725EE" w:rsidRDefault="00485094" w:rsidP="005F5866">
            <w:pPr>
              <w:pStyle w:val="TableText"/>
              <w:jc w:val="center"/>
              <w:rPr>
                <w:sz w:val="16"/>
                <w:szCs w:val="16"/>
              </w:rPr>
            </w:pPr>
            <w:r w:rsidRPr="001725EE">
              <w:rPr>
                <w:sz w:val="16"/>
                <w:szCs w:val="16"/>
              </w:rPr>
              <w:t>9,380</w:t>
            </w:r>
          </w:p>
        </w:tc>
        <w:tc>
          <w:tcPr>
            <w:tcW w:w="1080" w:type="dxa"/>
            <w:vAlign w:val="center"/>
          </w:tcPr>
          <w:p w:rsidR="00485094" w:rsidRPr="001725EE" w:rsidRDefault="00485094" w:rsidP="005F5866">
            <w:pPr>
              <w:pStyle w:val="TableText"/>
              <w:jc w:val="center"/>
              <w:rPr>
                <w:sz w:val="16"/>
                <w:szCs w:val="16"/>
              </w:rPr>
            </w:pPr>
            <w:r w:rsidRPr="001725EE">
              <w:rPr>
                <w:sz w:val="16"/>
                <w:szCs w:val="16"/>
              </w:rPr>
              <w:t>991,576</w:t>
            </w:r>
          </w:p>
        </w:tc>
        <w:tc>
          <w:tcPr>
            <w:tcW w:w="990" w:type="dxa"/>
            <w:vAlign w:val="center"/>
          </w:tcPr>
          <w:p w:rsidR="00485094" w:rsidRPr="001725EE" w:rsidRDefault="00485094" w:rsidP="005F5866">
            <w:pPr>
              <w:pStyle w:val="TableText"/>
              <w:jc w:val="center"/>
              <w:rPr>
                <w:sz w:val="16"/>
                <w:szCs w:val="16"/>
              </w:rPr>
            </w:pPr>
            <w:r w:rsidRPr="001725EE">
              <w:rPr>
                <w:sz w:val="16"/>
                <w:szCs w:val="16"/>
              </w:rPr>
              <w:t>177,693</w:t>
            </w:r>
          </w:p>
        </w:tc>
        <w:tc>
          <w:tcPr>
            <w:tcW w:w="1170" w:type="dxa"/>
            <w:vAlign w:val="center"/>
          </w:tcPr>
          <w:p w:rsidR="00485094" w:rsidRPr="001725EE" w:rsidRDefault="00485094" w:rsidP="005F5866">
            <w:pPr>
              <w:pStyle w:val="TableText"/>
              <w:jc w:val="center"/>
              <w:rPr>
                <w:sz w:val="16"/>
                <w:szCs w:val="16"/>
              </w:rPr>
            </w:pPr>
            <w:r w:rsidRPr="001725EE">
              <w:rPr>
                <w:sz w:val="16"/>
                <w:szCs w:val="16"/>
              </w:rPr>
              <w:t>89,814</w:t>
            </w:r>
          </w:p>
        </w:tc>
        <w:tc>
          <w:tcPr>
            <w:tcW w:w="1024" w:type="dxa"/>
            <w:vAlign w:val="center"/>
          </w:tcPr>
          <w:p w:rsidR="00485094" w:rsidRPr="001725EE" w:rsidRDefault="00485094" w:rsidP="005F5866">
            <w:pPr>
              <w:pStyle w:val="TableText"/>
              <w:jc w:val="center"/>
              <w:rPr>
                <w:sz w:val="16"/>
                <w:szCs w:val="16"/>
              </w:rPr>
            </w:pPr>
            <w:r>
              <w:rPr>
                <w:sz w:val="16"/>
                <w:szCs w:val="16"/>
              </w:rPr>
              <w:t>1,203,632</w:t>
            </w:r>
          </w:p>
        </w:tc>
        <w:tc>
          <w:tcPr>
            <w:tcW w:w="1086" w:type="dxa"/>
            <w:vAlign w:val="center"/>
          </w:tcPr>
          <w:p w:rsidR="00485094" w:rsidRPr="00B501CB" w:rsidRDefault="00485094" w:rsidP="005F5866">
            <w:pPr>
              <w:pStyle w:val="TableText"/>
              <w:jc w:val="center"/>
              <w:rPr>
                <w:sz w:val="16"/>
                <w:szCs w:val="16"/>
              </w:rPr>
            </w:pPr>
            <w:r w:rsidRPr="00B501CB">
              <w:rPr>
                <w:sz w:val="16"/>
                <w:szCs w:val="16"/>
              </w:rPr>
              <w:t>1,471,139</w:t>
            </w:r>
          </w:p>
        </w:tc>
      </w:tr>
      <w:tr w:rsidR="00485094" w:rsidRPr="00B501CB" w:rsidTr="00457B8C">
        <w:trPr>
          <w:trHeight w:val="247"/>
          <w:jc w:val="center"/>
        </w:trPr>
        <w:tc>
          <w:tcPr>
            <w:tcW w:w="1472" w:type="dxa"/>
            <w:shd w:val="clear" w:color="auto" w:fill="FFFFCC"/>
            <w:vAlign w:val="center"/>
          </w:tcPr>
          <w:p w:rsidR="00485094" w:rsidRDefault="00485094" w:rsidP="005F5866">
            <w:pPr>
              <w:pStyle w:val="TableText"/>
              <w:jc w:val="center"/>
              <w:rPr>
                <w:sz w:val="16"/>
                <w:szCs w:val="16"/>
              </w:rPr>
            </w:pPr>
            <w:r w:rsidRPr="00B501CB">
              <w:rPr>
                <w:sz w:val="16"/>
                <w:szCs w:val="16"/>
              </w:rPr>
              <w:t xml:space="preserve">Estuaries </w:t>
            </w:r>
          </w:p>
          <w:p w:rsidR="00485094" w:rsidRPr="00B501CB" w:rsidRDefault="00485094" w:rsidP="005F5866">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5F5866">
            <w:pPr>
              <w:pStyle w:val="TableText"/>
              <w:jc w:val="center"/>
              <w:rPr>
                <w:sz w:val="16"/>
                <w:szCs w:val="16"/>
              </w:rPr>
            </w:pPr>
            <w:r w:rsidRPr="00B501CB">
              <w:rPr>
                <w:sz w:val="16"/>
                <w:szCs w:val="16"/>
              </w:rPr>
              <w:t>23</w:t>
            </w:r>
          </w:p>
        </w:tc>
        <w:tc>
          <w:tcPr>
            <w:tcW w:w="1170" w:type="dxa"/>
            <w:vAlign w:val="center"/>
          </w:tcPr>
          <w:p w:rsidR="00485094" w:rsidRPr="00B501CB" w:rsidRDefault="00485094" w:rsidP="005F5866">
            <w:pPr>
              <w:pStyle w:val="TableText"/>
              <w:jc w:val="center"/>
              <w:rPr>
                <w:sz w:val="16"/>
                <w:szCs w:val="16"/>
              </w:rPr>
            </w:pPr>
            <w:r w:rsidRPr="00B501CB">
              <w:rPr>
                <w:sz w:val="16"/>
                <w:szCs w:val="16"/>
              </w:rPr>
              <w:t>58</w:t>
            </w:r>
          </w:p>
        </w:tc>
        <w:tc>
          <w:tcPr>
            <w:tcW w:w="1208"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80" w:type="dxa"/>
            <w:vAlign w:val="center"/>
          </w:tcPr>
          <w:p w:rsidR="00485094" w:rsidRPr="00B501CB" w:rsidRDefault="00485094" w:rsidP="005F5866">
            <w:pPr>
              <w:pStyle w:val="TableText"/>
              <w:jc w:val="center"/>
              <w:rPr>
                <w:sz w:val="16"/>
                <w:szCs w:val="16"/>
              </w:rPr>
            </w:pPr>
            <w:r w:rsidRPr="00B501CB">
              <w:rPr>
                <w:sz w:val="16"/>
                <w:szCs w:val="16"/>
              </w:rPr>
              <w:t>2,573</w:t>
            </w:r>
          </w:p>
        </w:tc>
        <w:tc>
          <w:tcPr>
            <w:tcW w:w="990" w:type="dxa"/>
            <w:vAlign w:val="center"/>
          </w:tcPr>
          <w:p w:rsidR="00485094" w:rsidRPr="00B501CB" w:rsidRDefault="00485094" w:rsidP="005F5866">
            <w:pPr>
              <w:pStyle w:val="TableText"/>
              <w:jc w:val="center"/>
              <w:rPr>
                <w:sz w:val="16"/>
                <w:szCs w:val="16"/>
              </w:rPr>
            </w:pPr>
            <w:r w:rsidRPr="00B501CB">
              <w:rPr>
                <w:sz w:val="16"/>
                <w:szCs w:val="16"/>
              </w:rPr>
              <w:t>184</w:t>
            </w:r>
          </w:p>
        </w:tc>
        <w:tc>
          <w:tcPr>
            <w:tcW w:w="1170" w:type="dxa"/>
            <w:vAlign w:val="center"/>
          </w:tcPr>
          <w:p w:rsidR="00485094" w:rsidRPr="00B501CB" w:rsidRDefault="00485094" w:rsidP="005F5866">
            <w:pPr>
              <w:pStyle w:val="TableText"/>
              <w:jc w:val="center"/>
              <w:rPr>
                <w:sz w:val="16"/>
                <w:szCs w:val="16"/>
              </w:rPr>
            </w:pPr>
            <w:r w:rsidRPr="00B501CB">
              <w:rPr>
                <w:sz w:val="16"/>
                <w:szCs w:val="16"/>
              </w:rPr>
              <w:t>4</w:t>
            </w:r>
          </w:p>
        </w:tc>
        <w:tc>
          <w:tcPr>
            <w:tcW w:w="1024" w:type="dxa"/>
            <w:vAlign w:val="center"/>
          </w:tcPr>
          <w:p w:rsidR="00485094" w:rsidRPr="00B501CB" w:rsidRDefault="00485094" w:rsidP="005F5866">
            <w:pPr>
              <w:pStyle w:val="TableText"/>
              <w:jc w:val="center"/>
              <w:rPr>
                <w:sz w:val="16"/>
                <w:szCs w:val="16"/>
              </w:rPr>
            </w:pPr>
            <w:r>
              <w:rPr>
                <w:sz w:val="16"/>
                <w:szCs w:val="16"/>
              </w:rPr>
              <w:t>2,473</w:t>
            </w:r>
          </w:p>
        </w:tc>
        <w:tc>
          <w:tcPr>
            <w:tcW w:w="1086" w:type="dxa"/>
            <w:vAlign w:val="center"/>
          </w:tcPr>
          <w:p w:rsidR="00485094" w:rsidRPr="00B501CB" w:rsidRDefault="00485094" w:rsidP="005F5866">
            <w:pPr>
              <w:pStyle w:val="TableText"/>
              <w:jc w:val="center"/>
              <w:rPr>
                <w:sz w:val="16"/>
                <w:szCs w:val="16"/>
              </w:rPr>
            </w:pPr>
            <w:r w:rsidRPr="00B501CB">
              <w:rPr>
                <w:sz w:val="16"/>
                <w:szCs w:val="16"/>
              </w:rPr>
              <w:t>2,661</w:t>
            </w:r>
          </w:p>
        </w:tc>
      </w:tr>
      <w:tr w:rsidR="00485094" w:rsidRPr="00B501CB" w:rsidTr="00457B8C">
        <w:trPr>
          <w:trHeight w:val="247"/>
          <w:jc w:val="center"/>
        </w:trPr>
        <w:tc>
          <w:tcPr>
            <w:tcW w:w="1472" w:type="dxa"/>
            <w:shd w:val="clear" w:color="auto" w:fill="FFFFCC"/>
            <w:vAlign w:val="center"/>
          </w:tcPr>
          <w:p w:rsidR="00485094" w:rsidRPr="00B501CB" w:rsidRDefault="00485094" w:rsidP="005F5866">
            <w:pPr>
              <w:pStyle w:val="TableText"/>
              <w:jc w:val="center"/>
              <w:rPr>
                <w:sz w:val="16"/>
                <w:szCs w:val="16"/>
              </w:rPr>
            </w:pPr>
            <w:r w:rsidRPr="00B501CB">
              <w:rPr>
                <w:sz w:val="16"/>
                <w:szCs w:val="16"/>
              </w:rPr>
              <w:t xml:space="preserve">Coastal </w:t>
            </w:r>
          </w:p>
          <w:p w:rsidR="00485094" w:rsidRPr="00B501CB" w:rsidRDefault="00485094" w:rsidP="005F5866">
            <w:pPr>
              <w:pStyle w:val="TableText"/>
              <w:jc w:val="center"/>
              <w:rPr>
                <w:sz w:val="16"/>
                <w:szCs w:val="16"/>
              </w:rPr>
            </w:pPr>
            <w:r w:rsidRPr="00B501CB">
              <w:rPr>
                <w:sz w:val="16"/>
                <w:szCs w:val="16"/>
              </w:rPr>
              <w:t xml:space="preserve">Waters </w:t>
            </w:r>
          </w:p>
          <w:p w:rsidR="00485094" w:rsidRPr="00B501CB" w:rsidRDefault="00485094" w:rsidP="005F5866">
            <w:pPr>
              <w:pStyle w:val="TableText"/>
              <w:jc w:val="center"/>
              <w:rPr>
                <w:sz w:val="16"/>
                <w:szCs w:val="16"/>
              </w:rPr>
            </w:pPr>
            <w:r w:rsidRPr="00B501CB">
              <w:rPr>
                <w:sz w:val="16"/>
                <w:szCs w:val="16"/>
              </w:rPr>
              <w:t>(square miles)</w:t>
            </w:r>
          </w:p>
        </w:tc>
        <w:tc>
          <w:tcPr>
            <w:tcW w:w="1050"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208"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80" w:type="dxa"/>
            <w:vAlign w:val="center"/>
          </w:tcPr>
          <w:p w:rsidR="00485094" w:rsidRPr="00B501CB" w:rsidRDefault="00485094" w:rsidP="005F5866">
            <w:pPr>
              <w:pStyle w:val="TableText"/>
              <w:jc w:val="center"/>
              <w:rPr>
                <w:sz w:val="16"/>
                <w:szCs w:val="16"/>
              </w:rPr>
            </w:pPr>
            <w:r w:rsidRPr="00B501CB">
              <w:rPr>
                <w:sz w:val="16"/>
                <w:szCs w:val="16"/>
              </w:rPr>
              <w:t>6,699</w:t>
            </w:r>
          </w:p>
        </w:tc>
        <w:tc>
          <w:tcPr>
            <w:tcW w:w="990" w:type="dxa"/>
            <w:vAlign w:val="center"/>
          </w:tcPr>
          <w:p w:rsidR="00485094" w:rsidRPr="00B501CB" w:rsidRDefault="00485094" w:rsidP="005F5866">
            <w:pPr>
              <w:pStyle w:val="TableText"/>
              <w:jc w:val="center"/>
              <w:rPr>
                <w:sz w:val="16"/>
                <w:szCs w:val="16"/>
              </w:rPr>
            </w:pPr>
            <w:r w:rsidRPr="00B501CB">
              <w:rPr>
                <w:sz w:val="16"/>
                <w:szCs w:val="16"/>
              </w:rPr>
              <w:t>0</w:t>
            </w:r>
          </w:p>
        </w:tc>
        <w:tc>
          <w:tcPr>
            <w:tcW w:w="1170" w:type="dxa"/>
            <w:vAlign w:val="center"/>
          </w:tcPr>
          <w:p w:rsidR="00485094" w:rsidRPr="00B501CB" w:rsidRDefault="00485094" w:rsidP="005F5866">
            <w:pPr>
              <w:pStyle w:val="TableText"/>
              <w:jc w:val="center"/>
              <w:rPr>
                <w:sz w:val="16"/>
                <w:szCs w:val="16"/>
              </w:rPr>
            </w:pPr>
            <w:r w:rsidRPr="00B501CB">
              <w:rPr>
                <w:sz w:val="16"/>
                <w:szCs w:val="16"/>
              </w:rPr>
              <w:t>0</w:t>
            </w:r>
          </w:p>
        </w:tc>
        <w:tc>
          <w:tcPr>
            <w:tcW w:w="1024" w:type="dxa"/>
            <w:vAlign w:val="center"/>
          </w:tcPr>
          <w:p w:rsidR="00485094" w:rsidRPr="00B501CB" w:rsidRDefault="00485094" w:rsidP="005F5866">
            <w:pPr>
              <w:pStyle w:val="TableText"/>
              <w:jc w:val="center"/>
              <w:rPr>
                <w:sz w:val="16"/>
                <w:szCs w:val="16"/>
              </w:rPr>
            </w:pPr>
            <w:r w:rsidRPr="00B501CB">
              <w:rPr>
                <w:sz w:val="16"/>
                <w:szCs w:val="16"/>
              </w:rPr>
              <w:t>6,699</w:t>
            </w:r>
          </w:p>
        </w:tc>
        <w:tc>
          <w:tcPr>
            <w:tcW w:w="1086" w:type="dxa"/>
            <w:vAlign w:val="center"/>
          </w:tcPr>
          <w:p w:rsidR="00485094" w:rsidRPr="00B501CB" w:rsidRDefault="00485094" w:rsidP="005F5866">
            <w:pPr>
              <w:pStyle w:val="TableText"/>
              <w:jc w:val="center"/>
              <w:rPr>
                <w:sz w:val="16"/>
                <w:szCs w:val="16"/>
              </w:rPr>
            </w:pPr>
            <w:r w:rsidRPr="00B501CB">
              <w:rPr>
                <w:sz w:val="16"/>
                <w:szCs w:val="16"/>
              </w:rPr>
              <w:t>6,699</w:t>
            </w:r>
          </w:p>
        </w:tc>
      </w:tr>
    </w:tbl>
    <w:p w:rsidR="00485094" w:rsidRDefault="00485094" w:rsidP="005F5866">
      <w:pPr>
        <w:pStyle w:val="Bodytext"/>
        <w:rPr>
          <w:sz w:val="16"/>
          <w:szCs w:val="16"/>
        </w:rPr>
      </w:pPr>
    </w:p>
    <w:p w:rsidR="00485094" w:rsidRDefault="00485094">
      <w:pPr>
        <w:rPr>
          <w:rFonts w:ascii="Arial" w:hAnsi="Arial"/>
          <w:b/>
          <w:sz w:val="32"/>
          <w:szCs w:val="20"/>
        </w:rPr>
      </w:pPr>
      <w:bookmarkStart w:id="585" w:name="_Toc254269889"/>
      <w:bookmarkStart w:id="586" w:name="_Toc255822551"/>
      <w:r>
        <w:br w:type="page"/>
      </w:r>
    </w:p>
    <w:p w:rsidR="00485094" w:rsidRDefault="00485094">
      <w:pPr>
        <w:pStyle w:val="Heading2"/>
        <w:rPr>
          <w:i/>
          <w:snapToGrid w:val="0"/>
        </w:rPr>
      </w:pPr>
      <w:bookmarkStart w:id="587" w:name="_Toc271794364"/>
      <w:bookmarkEnd w:id="585"/>
      <w:bookmarkEnd w:id="586"/>
      <w:r>
        <w:lastRenderedPageBreak/>
        <w:t>Summary of Causes of Impairment</w:t>
      </w:r>
      <w:bookmarkEnd w:id="587"/>
    </w:p>
    <w:p w:rsidR="00485094" w:rsidRPr="00A73185" w:rsidRDefault="00485094" w:rsidP="005F5866">
      <w:pPr>
        <w:pStyle w:val="Bodytext"/>
        <w:rPr>
          <w:snapToGrid w:val="0"/>
        </w:rPr>
      </w:pPr>
      <w:r w:rsidRPr="00A73185">
        <w:rPr>
          <w:b/>
          <w:i/>
          <w:snapToGrid w:val="0"/>
        </w:rPr>
        <w:t>Table</w:t>
      </w:r>
      <w:r>
        <w:rPr>
          <w:b/>
          <w:i/>
          <w:snapToGrid w:val="0"/>
        </w:rPr>
        <w:t>s</w:t>
      </w:r>
      <w:r w:rsidRPr="00A73185">
        <w:rPr>
          <w:b/>
          <w:i/>
          <w:snapToGrid w:val="0"/>
        </w:rPr>
        <w:t xml:space="preserve"> </w:t>
      </w:r>
      <w:r>
        <w:rPr>
          <w:b/>
          <w:i/>
          <w:snapToGrid w:val="0"/>
        </w:rPr>
        <w:t xml:space="preserve">8.3a </w:t>
      </w:r>
      <w:r w:rsidRPr="00567F73">
        <w:rPr>
          <w:snapToGrid w:val="0"/>
        </w:rPr>
        <w:t>through</w:t>
      </w:r>
      <w:r>
        <w:rPr>
          <w:b/>
          <w:i/>
          <w:snapToGrid w:val="0"/>
        </w:rPr>
        <w:t xml:space="preserve"> 8.3d</w:t>
      </w:r>
      <w:r w:rsidRPr="00A73185">
        <w:rPr>
          <w:snapToGrid w:val="0"/>
        </w:rPr>
        <w:t xml:space="preserve"> summarize the size of waters impaired by various causes for each waterbody type</w:t>
      </w:r>
      <w:r>
        <w:rPr>
          <w:snapToGrid w:val="0"/>
        </w:rPr>
        <w:t>.  T</w:t>
      </w:r>
      <w:r w:rsidRPr="00A73185">
        <w:rPr>
          <w:snapToGrid w:val="0"/>
        </w:rPr>
        <w:t>he principal causes of impairment are as follows:</w:t>
      </w:r>
    </w:p>
    <w:p w:rsidR="00485094" w:rsidRPr="00A73185" w:rsidRDefault="00485094" w:rsidP="005F5866">
      <w:pPr>
        <w:pStyle w:val="Bodytext"/>
        <w:rPr>
          <w:snapToGrid w:val="0"/>
        </w:rPr>
      </w:pPr>
    </w:p>
    <w:p w:rsidR="00485094" w:rsidRPr="00A73185" w:rsidRDefault="00485094" w:rsidP="005F5866">
      <w:pPr>
        <w:pStyle w:val="StyleListBullet11pt"/>
        <w:rPr>
          <w:snapToGrid w:val="0"/>
        </w:rPr>
      </w:pPr>
      <w:r w:rsidRPr="006167C5">
        <w:rPr>
          <w:snapToGrid w:val="0"/>
        </w:rPr>
        <w:t>Out of 1,</w:t>
      </w:r>
      <w:r>
        <w:rPr>
          <w:snapToGrid w:val="0"/>
        </w:rPr>
        <w:t>589</w:t>
      </w:r>
      <w:r w:rsidRPr="006167C5">
        <w:rPr>
          <w:snapToGrid w:val="0"/>
        </w:rPr>
        <w:t xml:space="preserve"> river/stream segments assessed:  </w:t>
      </w:r>
      <w:r>
        <w:rPr>
          <w:snapToGrid w:val="0"/>
        </w:rPr>
        <w:t xml:space="preserve">DO, fecal coliform, </w:t>
      </w:r>
      <w:r w:rsidRPr="00A73185">
        <w:rPr>
          <w:snapToGrid w:val="0"/>
        </w:rPr>
        <w:t xml:space="preserve">fish advisories for mercury, </w:t>
      </w:r>
      <w:r>
        <w:rPr>
          <w:snapToGrid w:val="0"/>
        </w:rPr>
        <w:t xml:space="preserve">and </w:t>
      </w:r>
      <w:r w:rsidRPr="006167C5">
        <w:rPr>
          <w:snapToGrid w:val="0"/>
        </w:rPr>
        <w:t>chlorophyll</w:t>
      </w:r>
      <w:r>
        <w:rPr>
          <w:snapToGrid w:val="0"/>
        </w:rPr>
        <w:t xml:space="preserve"> a</w:t>
      </w:r>
      <w:r w:rsidRPr="00A73185">
        <w:rPr>
          <w:snapToGrid w:val="0"/>
        </w:rPr>
        <w:t>.</w:t>
      </w:r>
    </w:p>
    <w:p w:rsidR="00485094" w:rsidRPr="00A73185" w:rsidRDefault="00485094" w:rsidP="005F5866">
      <w:pPr>
        <w:pStyle w:val="StyleListBullet11pt"/>
        <w:rPr>
          <w:snapToGrid w:val="0"/>
        </w:rPr>
      </w:pPr>
      <w:r w:rsidRPr="00A73185">
        <w:rPr>
          <w:snapToGrid w:val="0"/>
        </w:rPr>
        <w:t xml:space="preserve">Out of </w:t>
      </w:r>
      <w:r>
        <w:rPr>
          <w:snapToGrid w:val="0"/>
        </w:rPr>
        <w:t>429</w:t>
      </w:r>
      <w:r w:rsidRPr="006167C5">
        <w:rPr>
          <w:snapToGrid w:val="0"/>
        </w:rPr>
        <w:t xml:space="preserve"> </w:t>
      </w:r>
      <w:r w:rsidRPr="00A73185">
        <w:rPr>
          <w:snapToGrid w:val="0"/>
        </w:rPr>
        <w:t xml:space="preserve">lake segments assessed:  </w:t>
      </w:r>
      <w:r>
        <w:rPr>
          <w:snapToGrid w:val="0"/>
        </w:rPr>
        <w:t xml:space="preserve">nutrients (TSI), </w:t>
      </w:r>
      <w:r w:rsidRPr="00A73185">
        <w:rPr>
          <w:snapToGrid w:val="0"/>
        </w:rPr>
        <w:t>fish advisories for mercury,</w:t>
      </w:r>
      <w:r>
        <w:rPr>
          <w:snapToGrid w:val="0"/>
        </w:rPr>
        <w:t xml:space="preserve"> and </w:t>
      </w:r>
      <w:r w:rsidRPr="00A73185">
        <w:rPr>
          <w:snapToGrid w:val="0"/>
        </w:rPr>
        <w:t>DO.</w:t>
      </w:r>
    </w:p>
    <w:p w:rsidR="00485094" w:rsidRPr="00A73185" w:rsidRDefault="00485094" w:rsidP="005F5866">
      <w:pPr>
        <w:pStyle w:val="StyleListBullet11pt"/>
        <w:rPr>
          <w:snapToGrid w:val="0"/>
        </w:rPr>
      </w:pPr>
      <w:r w:rsidRPr="00A73185">
        <w:rPr>
          <w:snapToGrid w:val="0"/>
        </w:rPr>
        <w:t xml:space="preserve">Out of </w:t>
      </w:r>
      <w:r>
        <w:rPr>
          <w:snapToGrid w:val="0"/>
        </w:rPr>
        <w:t>970</w:t>
      </w:r>
      <w:r w:rsidRPr="006167C5">
        <w:rPr>
          <w:snapToGrid w:val="0"/>
        </w:rPr>
        <w:t xml:space="preserve"> </w:t>
      </w:r>
      <w:r w:rsidRPr="00A73185">
        <w:rPr>
          <w:snapToGrid w:val="0"/>
        </w:rPr>
        <w:t xml:space="preserve">estuarine segments assessed:  fish advisories for mercury, </w:t>
      </w:r>
      <w:r>
        <w:rPr>
          <w:snapToGrid w:val="0"/>
        </w:rPr>
        <w:t>DO, nutrients (chlorophyll a), and</w:t>
      </w:r>
      <w:r w:rsidRPr="00A73185">
        <w:rPr>
          <w:snapToGrid w:val="0"/>
        </w:rPr>
        <w:t xml:space="preserve"> fecal coliform</w:t>
      </w:r>
      <w:r>
        <w:rPr>
          <w:snapToGrid w:val="0"/>
        </w:rPr>
        <w:t>.</w:t>
      </w:r>
    </w:p>
    <w:p w:rsidR="00485094" w:rsidRDefault="00485094" w:rsidP="005F5866">
      <w:pPr>
        <w:pStyle w:val="StyleListBullet11pt"/>
        <w:rPr>
          <w:snapToGrid w:val="0"/>
        </w:rPr>
      </w:pPr>
      <w:r w:rsidRPr="00A73185">
        <w:rPr>
          <w:snapToGrid w:val="0"/>
        </w:rPr>
        <w:t xml:space="preserve">Out of </w:t>
      </w:r>
      <w:r>
        <w:rPr>
          <w:snapToGrid w:val="0"/>
        </w:rPr>
        <w:t>196</w:t>
      </w:r>
      <w:r w:rsidRPr="006167C5">
        <w:rPr>
          <w:snapToGrid w:val="0"/>
        </w:rPr>
        <w:t xml:space="preserve"> </w:t>
      </w:r>
      <w:r w:rsidRPr="00A73185">
        <w:rPr>
          <w:snapToGrid w:val="0"/>
        </w:rPr>
        <w:t>coastal segments assessed:  fish advisories for mercury</w:t>
      </w:r>
      <w:r>
        <w:rPr>
          <w:snapToGrid w:val="0"/>
        </w:rPr>
        <w:t xml:space="preserve"> and DO</w:t>
      </w:r>
      <w:r w:rsidRPr="00A73185">
        <w:rPr>
          <w:snapToGrid w:val="0"/>
        </w:rPr>
        <w:t>.</w:t>
      </w:r>
    </w:p>
    <w:p w:rsidR="00485094" w:rsidRDefault="00485094">
      <w:pPr>
        <w:pStyle w:val="Bodytextreduced"/>
      </w:pPr>
    </w:p>
    <w:p w:rsidR="00485094" w:rsidRDefault="00485094">
      <w:pPr>
        <w:pStyle w:val="Bodytextreduced"/>
      </w:pPr>
      <w:bookmarkStart w:id="588" w:name="_Toc254267139"/>
      <w:bookmarkStart w:id="589" w:name="_Toc255807513"/>
    </w:p>
    <w:p w:rsidR="00485094" w:rsidRDefault="00485094" w:rsidP="00A11646">
      <w:pPr>
        <w:pStyle w:val="Tableheading"/>
        <w:rPr>
          <w:rFonts w:cs="Arial"/>
          <w:bCs/>
          <w:sz w:val="22"/>
          <w:szCs w:val="22"/>
        </w:rPr>
      </w:pPr>
      <w:bookmarkStart w:id="590" w:name="_Toc271889865"/>
      <w:r w:rsidRPr="003A4461">
        <w:t xml:space="preserve">Table </w:t>
      </w:r>
      <w:r>
        <w:t>8.3a.</w:t>
      </w:r>
      <w:r w:rsidRPr="003A4461">
        <w:t xml:space="preserve">  </w:t>
      </w:r>
      <w:r>
        <w:t>Miles of Rivers/Streams Impaired by Cause</w:t>
      </w:r>
      <w:bookmarkEnd w:id="588"/>
      <w:bookmarkEnd w:id="589"/>
      <w:bookmarkEnd w:id="590"/>
    </w:p>
    <w:p w:rsidR="00485094" w:rsidRDefault="00485094" w:rsidP="0039573D">
      <w:pPr>
        <w:pStyle w:val="TabledescriptionBF"/>
      </w:pPr>
      <w:r>
        <w:t>This is a three-column table.  Column 1 lists the parameter, Column 2 lists the number of waterbodies, and Column 3 lists the miles impaired.</w:t>
      </w:r>
    </w:p>
    <w:p w:rsidR="00485094" w:rsidRPr="00D03596" w:rsidRDefault="00485094" w:rsidP="000D304A">
      <w:pPr>
        <w:autoSpaceDE w:val="0"/>
        <w:autoSpaceDN w:val="0"/>
        <w:adjustRightInd w:val="0"/>
        <w:rPr>
          <w:rFonts w:ascii="Arial" w:hAnsi="Arial" w:cs="Arial"/>
          <w:bCs/>
          <w:sz w:val="16"/>
          <w:szCs w:val="16"/>
        </w:rPr>
      </w:pPr>
    </w:p>
    <w:tbl>
      <w:tblPr>
        <w:tblW w:w="5174" w:type="dxa"/>
        <w:jc w:val="center"/>
        <w:tblInd w:w="-11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82"/>
        <w:gridCol w:w="1332"/>
        <w:gridCol w:w="1060"/>
      </w:tblGrid>
      <w:tr w:rsidR="00485094" w:rsidRPr="00F1075E" w:rsidTr="00E86B70">
        <w:trPr>
          <w:trHeight w:val="265"/>
          <w:jc w:val="center"/>
        </w:trPr>
        <w:tc>
          <w:tcPr>
            <w:tcW w:w="2782"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Parameter</w:t>
            </w:r>
          </w:p>
        </w:tc>
        <w:tc>
          <w:tcPr>
            <w:tcW w:w="1332"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Number of Waterbodies</w:t>
            </w:r>
          </w:p>
        </w:tc>
        <w:tc>
          <w:tcPr>
            <w:tcW w:w="1060" w:type="dxa"/>
            <w:tcBorders>
              <w:bottom w:val="double" w:sz="4" w:space="0" w:color="auto"/>
            </w:tcBorders>
            <w:shd w:val="clear" w:color="auto" w:fill="BDFFFF"/>
            <w:vAlign w:val="bottom"/>
          </w:tcPr>
          <w:p w:rsidR="00485094" w:rsidRPr="00F1075E" w:rsidRDefault="00485094" w:rsidP="005B103D">
            <w:pPr>
              <w:pStyle w:val="TableText"/>
              <w:jc w:val="center"/>
              <w:rPr>
                <w:b/>
                <w:i/>
              </w:rPr>
            </w:pPr>
            <w:r w:rsidRPr="00F1075E">
              <w:rPr>
                <w:b/>
                <w:i/>
              </w:rPr>
              <w:t>Miles Impaired</w:t>
            </w:r>
          </w:p>
        </w:tc>
      </w:tr>
      <w:tr w:rsidR="00485094" w:rsidRPr="00F1075E" w:rsidTr="001C044D">
        <w:trPr>
          <w:trHeight w:val="233"/>
          <w:jc w:val="center"/>
        </w:trPr>
        <w:tc>
          <w:tcPr>
            <w:tcW w:w="2782" w:type="dxa"/>
            <w:tcBorders>
              <w:top w:val="double" w:sz="4" w:space="0" w:color="auto"/>
            </w:tcBorders>
            <w:shd w:val="clear" w:color="auto" w:fill="FFFFCC"/>
            <w:vAlign w:val="center"/>
          </w:tcPr>
          <w:p w:rsidR="00485094" w:rsidRPr="00251A97" w:rsidRDefault="00485094" w:rsidP="001C044D">
            <w:pPr>
              <w:pStyle w:val="TableText"/>
              <w:jc w:val="center"/>
              <w:rPr>
                <w:highlight w:val="yellow"/>
              </w:rPr>
            </w:pPr>
            <w:r>
              <w:t>DO</w:t>
            </w:r>
          </w:p>
        </w:tc>
        <w:tc>
          <w:tcPr>
            <w:tcW w:w="1332" w:type="dxa"/>
            <w:tcBorders>
              <w:top w:val="double" w:sz="4" w:space="0" w:color="auto"/>
            </w:tcBorders>
            <w:vAlign w:val="center"/>
          </w:tcPr>
          <w:p w:rsidR="00485094" w:rsidRPr="00251A97" w:rsidRDefault="00485094" w:rsidP="001C044D">
            <w:pPr>
              <w:pStyle w:val="TableText"/>
              <w:jc w:val="center"/>
              <w:rPr>
                <w:highlight w:val="yellow"/>
              </w:rPr>
            </w:pPr>
            <w:r w:rsidRPr="008E7978">
              <w:t>642</w:t>
            </w:r>
          </w:p>
        </w:tc>
        <w:tc>
          <w:tcPr>
            <w:tcW w:w="1060" w:type="dxa"/>
            <w:tcBorders>
              <w:top w:val="double" w:sz="4" w:space="0" w:color="auto"/>
            </w:tcBorders>
            <w:vAlign w:val="center"/>
          </w:tcPr>
          <w:p w:rsidR="00485094" w:rsidRPr="00F1075E" w:rsidRDefault="00485094" w:rsidP="001C044D">
            <w:pPr>
              <w:pStyle w:val="TableText"/>
              <w:jc w:val="center"/>
            </w:pPr>
            <w:r w:rsidRPr="00ED17D9">
              <w:t>6</w:t>
            </w:r>
            <w:r>
              <w:t>,</w:t>
            </w:r>
            <w:r w:rsidRPr="00ED17D9">
              <w:t>976</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Fecal Coliform</w:t>
            </w:r>
          </w:p>
        </w:tc>
        <w:tc>
          <w:tcPr>
            <w:tcW w:w="1332" w:type="dxa"/>
            <w:vAlign w:val="center"/>
          </w:tcPr>
          <w:p w:rsidR="00485094" w:rsidRPr="00F1075E" w:rsidRDefault="00485094" w:rsidP="001C044D">
            <w:pPr>
              <w:pStyle w:val="TableText"/>
              <w:jc w:val="center"/>
            </w:pPr>
            <w:r w:rsidRPr="008E7978">
              <w:t>324</w:t>
            </w:r>
          </w:p>
        </w:tc>
        <w:tc>
          <w:tcPr>
            <w:tcW w:w="1060" w:type="dxa"/>
            <w:vAlign w:val="center"/>
          </w:tcPr>
          <w:p w:rsidR="00485094" w:rsidRPr="00F1075E" w:rsidRDefault="00485094" w:rsidP="001C044D">
            <w:pPr>
              <w:pStyle w:val="TableText"/>
              <w:jc w:val="center"/>
            </w:pPr>
            <w:r w:rsidRPr="00ED17D9">
              <w:t>2</w:t>
            </w:r>
            <w:r>
              <w:t>,</w:t>
            </w:r>
            <w:r w:rsidRPr="00ED17D9">
              <w:t>729</w:t>
            </w:r>
          </w:p>
        </w:tc>
      </w:tr>
      <w:tr w:rsidR="00485094" w:rsidRPr="003E7E92" w:rsidTr="001C044D">
        <w:trPr>
          <w:trHeight w:val="233"/>
          <w:jc w:val="center"/>
        </w:trPr>
        <w:tc>
          <w:tcPr>
            <w:tcW w:w="2782" w:type="dxa"/>
            <w:shd w:val="clear" w:color="auto" w:fill="FFFFCC"/>
            <w:vAlign w:val="center"/>
          </w:tcPr>
          <w:p w:rsidR="00485094" w:rsidRPr="003E7E92" w:rsidRDefault="00485094" w:rsidP="001C044D">
            <w:pPr>
              <w:pStyle w:val="TableText"/>
              <w:jc w:val="center"/>
            </w:pPr>
            <w:r>
              <w:t>Mercury in Fish</w:t>
            </w:r>
          </w:p>
        </w:tc>
        <w:tc>
          <w:tcPr>
            <w:tcW w:w="1332" w:type="dxa"/>
            <w:vAlign w:val="center"/>
          </w:tcPr>
          <w:p w:rsidR="00485094" w:rsidRPr="003E7E92" w:rsidRDefault="00485094" w:rsidP="001C044D">
            <w:pPr>
              <w:pStyle w:val="TableText"/>
              <w:jc w:val="center"/>
            </w:pPr>
            <w:r w:rsidRPr="008E7978">
              <w:t>236</w:t>
            </w:r>
          </w:p>
        </w:tc>
        <w:tc>
          <w:tcPr>
            <w:tcW w:w="1060" w:type="dxa"/>
            <w:vAlign w:val="center"/>
          </w:tcPr>
          <w:p w:rsidR="00485094" w:rsidRPr="003E7E92" w:rsidRDefault="00485094" w:rsidP="001C044D">
            <w:pPr>
              <w:pStyle w:val="TableText"/>
              <w:jc w:val="center"/>
            </w:pPr>
            <w:r w:rsidRPr="00ED17D9">
              <w:t>3</w:t>
            </w:r>
            <w:r>
              <w:t>,</w:t>
            </w:r>
            <w:r w:rsidRPr="00ED17D9">
              <w:t>057</w:t>
            </w:r>
          </w:p>
        </w:tc>
      </w:tr>
      <w:tr w:rsidR="00485094" w:rsidRPr="00F1075E" w:rsidTr="001C044D">
        <w:trPr>
          <w:trHeight w:val="233"/>
          <w:jc w:val="center"/>
        </w:trPr>
        <w:tc>
          <w:tcPr>
            <w:tcW w:w="2782" w:type="dxa"/>
            <w:shd w:val="clear" w:color="auto" w:fill="FFFFCC"/>
            <w:vAlign w:val="center"/>
          </w:tcPr>
          <w:p w:rsidR="00485094" w:rsidRPr="003E7E92" w:rsidRDefault="00485094" w:rsidP="001C044D">
            <w:pPr>
              <w:pStyle w:val="TableText"/>
              <w:jc w:val="center"/>
            </w:pPr>
            <w:r>
              <w:t xml:space="preserve">Chlorophyll </w:t>
            </w:r>
            <w:r w:rsidRPr="0039573D">
              <w:rPr>
                <w:i/>
              </w:rPr>
              <w:t>a</w:t>
            </w:r>
          </w:p>
        </w:tc>
        <w:tc>
          <w:tcPr>
            <w:tcW w:w="1332" w:type="dxa"/>
            <w:vAlign w:val="center"/>
          </w:tcPr>
          <w:p w:rsidR="00485094" w:rsidRPr="003E7E92" w:rsidRDefault="00485094" w:rsidP="001C044D">
            <w:pPr>
              <w:pStyle w:val="TableText"/>
              <w:jc w:val="center"/>
            </w:pPr>
            <w:r w:rsidRPr="008E7978">
              <w:t>173</w:t>
            </w:r>
          </w:p>
        </w:tc>
        <w:tc>
          <w:tcPr>
            <w:tcW w:w="1060" w:type="dxa"/>
            <w:vAlign w:val="center"/>
          </w:tcPr>
          <w:p w:rsidR="00485094" w:rsidRPr="003E7E92" w:rsidRDefault="00485094" w:rsidP="001C044D">
            <w:pPr>
              <w:pStyle w:val="TableText"/>
              <w:jc w:val="center"/>
            </w:pPr>
            <w:r w:rsidRPr="00ED17D9">
              <w:t>1</w:t>
            </w:r>
            <w:r>
              <w:t>,</w:t>
            </w:r>
            <w:r w:rsidRPr="00ED17D9">
              <w:t>317</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 xml:space="preserve">Historical Chlorophyll </w:t>
            </w:r>
            <w:r w:rsidRPr="0039573D">
              <w:rPr>
                <w:i/>
              </w:rPr>
              <w:t>a</w:t>
            </w:r>
          </w:p>
        </w:tc>
        <w:tc>
          <w:tcPr>
            <w:tcW w:w="1332" w:type="dxa"/>
            <w:vAlign w:val="center"/>
          </w:tcPr>
          <w:p w:rsidR="00485094" w:rsidRPr="00F1075E" w:rsidRDefault="00485094" w:rsidP="001C044D">
            <w:pPr>
              <w:pStyle w:val="TableText"/>
              <w:jc w:val="center"/>
            </w:pPr>
            <w:r w:rsidRPr="008E7978">
              <w:t>49</w:t>
            </w:r>
          </w:p>
        </w:tc>
        <w:tc>
          <w:tcPr>
            <w:tcW w:w="1060" w:type="dxa"/>
            <w:vAlign w:val="center"/>
          </w:tcPr>
          <w:p w:rsidR="00485094" w:rsidRPr="00F1075E" w:rsidRDefault="00485094" w:rsidP="001C044D">
            <w:pPr>
              <w:pStyle w:val="TableText"/>
              <w:jc w:val="center"/>
            </w:pPr>
            <w:r w:rsidRPr="00ED17D9">
              <w:t>601</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Biology</w:t>
            </w:r>
          </w:p>
        </w:tc>
        <w:tc>
          <w:tcPr>
            <w:tcW w:w="1332" w:type="dxa"/>
            <w:vAlign w:val="center"/>
          </w:tcPr>
          <w:p w:rsidR="00485094" w:rsidRPr="00F1075E" w:rsidRDefault="00485094" w:rsidP="001C044D">
            <w:pPr>
              <w:pStyle w:val="TableText"/>
              <w:jc w:val="center"/>
            </w:pPr>
            <w:r w:rsidRPr="008E7978">
              <w:t>25</w:t>
            </w:r>
          </w:p>
        </w:tc>
        <w:tc>
          <w:tcPr>
            <w:tcW w:w="1060" w:type="dxa"/>
            <w:vAlign w:val="center"/>
          </w:tcPr>
          <w:p w:rsidR="00485094" w:rsidRPr="00F1075E" w:rsidRDefault="00485094" w:rsidP="001C044D">
            <w:pPr>
              <w:pStyle w:val="TableText"/>
              <w:jc w:val="center"/>
            </w:pPr>
            <w:r w:rsidRPr="00ED17D9">
              <w:t>254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Iron</w:t>
            </w:r>
          </w:p>
        </w:tc>
        <w:tc>
          <w:tcPr>
            <w:tcW w:w="1332" w:type="dxa"/>
            <w:vAlign w:val="center"/>
          </w:tcPr>
          <w:p w:rsidR="00485094" w:rsidRPr="00F1075E" w:rsidRDefault="00485094" w:rsidP="001C044D">
            <w:pPr>
              <w:pStyle w:val="TableText"/>
              <w:jc w:val="center"/>
            </w:pPr>
            <w:r w:rsidRPr="008E7978">
              <w:t>20</w:t>
            </w:r>
          </w:p>
        </w:tc>
        <w:tc>
          <w:tcPr>
            <w:tcW w:w="1060" w:type="dxa"/>
            <w:vAlign w:val="center"/>
          </w:tcPr>
          <w:p w:rsidR="00485094" w:rsidRPr="00F1075E" w:rsidRDefault="00485094" w:rsidP="001C044D">
            <w:pPr>
              <w:pStyle w:val="TableText"/>
              <w:jc w:val="center"/>
            </w:pPr>
            <w:r w:rsidRPr="00ED17D9">
              <w:t>528</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Specific Conductance</w:t>
            </w:r>
          </w:p>
        </w:tc>
        <w:tc>
          <w:tcPr>
            <w:tcW w:w="1332" w:type="dxa"/>
            <w:vAlign w:val="center"/>
          </w:tcPr>
          <w:p w:rsidR="00485094" w:rsidRPr="00F1075E" w:rsidRDefault="00485094" w:rsidP="001C044D">
            <w:pPr>
              <w:pStyle w:val="TableText"/>
              <w:jc w:val="center"/>
            </w:pPr>
            <w:r w:rsidRPr="008E7978">
              <w:t>16</w:t>
            </w:r>
          </w:p>
        </w:tc>
        <w:tc>
          <w:tcPr>
            <w:tcW w:w="1060" w:type="dxa"/>
            <w:vAlign w:val="center"/>
          </w:tcPr>
          <w:p w:rsidR="00485094" w:rsidRPr="00F1075E" w:rsidRDefault="00485094" w:rsidP="001C044D">
            <w:pPr>
              <w:pStyle w:val="TableText"/>
              <w:jc w:val="center"/>
            </w:pPr>
            <w:r w:rsidRPr="00ED17D9">
              <w:t>174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Lead</w:t>
            </w:r>
          </w:p>
        </w:tc>
        <w:tc>
          <w:tcPr>
            <w:tcW w:w="1332" w:type="dxa"/>
            <w:vAlign w:val="center"/>
          </w:tcPr>
          <w:p w:rsidR="00485094" w:rsidRPr="00F1075E" w:rsidRDefault="00485094" w:rsidP="001C044D">
            <w:pPr>
              <w:pStyle w:val="TableText"/>
              <w:jc w:val="center"/>
            </w:pPr>
            <w:r w:rsidRPr="008E7978">
              <w:t>13</w:t>
            </w:r>
          </w:p>
        </w:tc>
        <w:tc>
          <w:tcPr>
            <w:tcW w:w="1060" w:type="dxa"/>
            <w:vAlign w:val="center"/>
          </w:tcPr>
          <w:p w:rsidR="00485094" w:rsidRPr="00F1075E" w:rsidRDefault="00485094" w:rsidP="001C044D">
            <w:pPr>
              <w:pStyle w:val="TableText"/>
              <w:jc w:val="center"/>
            </w:pPr>
            <w:r w:rsidRPr="00ED17D9">
              <w:t>128</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Alkalinity</w:t>
            </w:r>
          </w:p>
        </w:tc>
        <w:tc>
          <w:tcPr>
            <w:tcW w:w="1332" w:type="dxa"/>
            <w:vAlign w:val="center"/>
          </w:tcPr>
          <w:p w:rsidR="00485094" w:rsidRPr="00F1075E" w:rsidRDefault="00485094" w:rsidP="001C044D">
            <w:pPr>
              <w:pStyle w:val="TableText"/>
              <w:jc w:val="center"/>
            </w:pPr>
            <w:r w:rsidRPr="008E7978">
              <w:t>12</w:t>
            </w:r>
          </w:p>
        </w:tc>
        <w:tc>
          <w:tcPr>
            <w:tcW w:w="1060" w:type="dxa"/>
            <w:vAlign w:val="center"/>
          </w:tcPr>
          <w:p w:rsidR="00485094" w:rsidRPr="00F1075E" w:rsidRDefault="00485094" w:rsidP="001C044D">
            <w:pPr>
              <w:pStyle w:val="TableText"/>
              <w:jc w:val="center"/>
            </w:pPr>
            <w:r w:rsidRPr="00ED17D9">
              <w:t>216</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Bacteria in Shellfish</w:t>
            </w:r>
          </w:p>
        </w:tc>
        <w:tc>
          <w:tcPr>
            <w:tcW w:w="1332" w:type="dxa"/>
            <w:vAlign w:val="center"/>
          </w:tcPr>
          <w:p w:rsidR="00485094" w:rsidRPr="00F1075E" w:rsidRDefault="00485094" w:rsidP="001C044D">
            <w:pPr>
              <w:pStyle w:val="TableText"/>
              <w:jc w:val="center"/>
            </w:pPr>
            <w:r w:rsidRPr="008E7978">
              <w:t>11</w:t>
            </w:r>
          </w:p>
        </w:tc>
        <w:tc>
          <w:tcPr>
            <w:tcW w:w="1060" w:type="dxa"/>
            <w:vAlign w:val="center"/>
          </w:tcPr>
          <w:p w:rsidR="00485094" w:rsidRPr="00F1075E" w:rsidRDefault="00485094" w:rsidP="001C044D">
            <w:pPr>
              <w:pStyle w:val="TableText"/>
              <w:jc w:val="center"/>
            </w:pPr>
            <w:r w:rsidRPr="00ED17D9">
              <w:t>152</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Turbidity</w:t>
            </w:r>
          </w:p>
        </w:tc>
        <w:tc>
          <w:tcPr>
            <w:tcW w:w="1332" w:type="dxa"/>
            <w:vAlign w:val="center"/>
          </w:tcPr>
          <w:p w:rsidR="00485094" w:rsidRPr="00F1075E" w:rsidRDefault="00485094" w:rsidP="001C044D">
            <w:pPr>
              <w:pStyle w:val="TableText"/>
              <w:jc w:val="center"/>
            </w:pPr>
            <w:r w:rsidRPr="008E7978">
              <w:t>10</w:t>
            </w:r>
          </w:p>
        </w:tc>
        <w:tc>
          <w:tcPr>
            <w:tcW w:w="1060" w:type="dxa"/>
            <w:vAlign w:val="center"/>
          </w:tcPr>
          <w:p w:rsidR="00485094" w:rsidRPr="00F1075E" w:rsidRDefault="00485094" w:rsidP="001C044D">
            <w:pPr>
              <w:pStyle w:val="TableText"/>
              <w:jc w:val="center"/>
            </w:pPr>
            <w:r w:rsidRPr="00ED17D9">
              <w:t>64</w:t>
            </w:r>
          </w:p>
        </w:tc>
      </w:tr>
      <w:tr w:rsidR="00485094" w:rsidRPr="00F1075E" w:rsidTr="001C044D">
        <w:trPr>
          <w:trHeight w:val="233"/>
          <w:jc w:val="center"/>
        </w:trPr>
        <w:tc>
          <w:tcPr>
            <w:tcW w:w="2782" w:type="dxa"/>
            <w:shd w:val="clear" w:color="auto" w:fill="FFFFCC"/>
            <w:vAlign w:val="center"/>
          </w:tcPr>
          <w:p w:rsidR="00485094" w:rsidRPr="00F1075E" w:rsidRDefault="00485094" w:rsidP="001C044D">
            <w:pPr>
              <w:pStyle w:val="TableText"/>
              <w:jc w:val="center"/>
            </w:pPr>
            <w:r>
              <w:t>Un-ionized Ammonia</w:t>
            </w:r>
          </w:p>
        </w:tc>
        <w:tc>
          <w:tcPr>
            <w:tcW w:w="1332" w:type="dxa"/>
            <w:vAlign w:val="center"/>
          </w:tcPr>
          <w:p w:rsidR="00485094" w:rsidRPr="00F1075E" w:rsidRDefault="00485094" w:rsidP="001C044D">
            <w:pPr>
              <w:pStyle w:val="TableText"/>
              <w:jc w:val="center"/>
            </w:pPr>
            <w:r w:rsidRPr="008E7978">
              <w:t>7</w:t>
            </w:r>
          </w:p>
        </w:tc>
        <w:tc>
          <w:tcPr>
            <w:tcW w:w="1060" w:type="dxa"/>
            <w:vAlign w:val="center"/>
          </w:tcPr>
          <w:p w:rsidR="00485094" w:rsidRPr="00F1075E" w:rsidRDefault="00485094" w:rsidP="001C044D">
            <w:pPr>
              <w:pStyle w:val="TableText"/>
              <w:jc w:val="center"/>
            </w:pPr>
            <w:r w:rsidRPr="00ED17D9">
              <w:t>57</w:t>
            </w:r>
          </w:p>
        </w:tc>
      </w:tr>
      <w:tr w:rsidR="00485094" w:rsidRPr="00F1075E" w:rsidTr="001C044D">
        <w:trPr>
          <w:trHeight w:val="233"/>
          <w:jc w:val="center"/>
        </w:trPr>
        <w:tc>
          <w:tcPr>
            <w:tcW w:w="2782" w:type="dxa"/>
            <w:shd w:val="clear" w:color="auto" w:fill="FFFFCC"/>
            <w:vAlign w:val="center"/>
          </w:tcPr>
          <w:p w:rsidR="00485094" w:rsidRPr="002F1384" w:rsidRDefault="00485094" w:rsidP="001C044D">
            <w:pPr>
              <w:pStyle w:val="TableText"/>
              <w:jc w:val="center"/>
            </w:pPr>
            <w:r>
              <w:t>Dissolved Solids</w:t>
            </w:r>
          </w:p>
        </w:tc>
        <w:tc>
          <w:tcPr>
            <w:tcW w:w="1332" w:type="dxa"/>
            <w:vAlign w:val="center"/>
          </w:tcPr>
          <w:p w:rsidR="00485094" w:rsidRPr="00F1075E" w:rsidRDefault="00485094" w:rsidP="001C044D">
            <w:pPr>
              <w:pStyle w:val="TableText"/>
              <w:jc w:val="center"/>
            </w:pPr>
            <w:r w:rsidRPr="008E7978">
              <w:t>2</w:t>
            </w:r>
          </w:p>
        </w:tc>
        <w:tc>
          <w:tcPr>
            <w:tcW w:w="1060" w:type="dxa"/>
            <w:vAlign w:val="center"/>
          </w:tcPr>
          <w:p w:rsidR="00485094" w:rsidRPr="00F1075E" w:rsidRDefault="00485094" w:rsidP="001C044D">
            <w:pPr>
              <w:pStyle w:val="TableText"/>
              <w:jc w:val="center"/>
            </w:pPr>
            <w:r w:rsidRPr="00ED17D9">
              <w:t>6</w:t>
            </w:r>
          </w:p>
        </w:tc>
      </w:tr>
      <w:tr w:rsidR="00485094" w:rsidRPr="00F1075E" w:rsidTr="001C044D">
        <w:trPr>
          <w:trHeight w:val="233"/>
          <w:jc w:val="center"/>
        </w:trPr>
        <w:tc>
          <w:tcPr>
            <w:tcW w:w="2782" w:type="dxa"/>
            <w:shd w:val="clear" w:color="auto" w:fill="FFFFCC"/>
            <w:vAlign w:val="center"/>
          </w:tcPr>
          <w:p w:rsidR="00485094" w:rsidRPr="002F1384" w:rsidRDefault="00485094" w:rsidP="001C044D">
            <w:pPr>
              <w:pStyle w:val="TableText"/>
              <w:jc w:val="center"/>
            </w:pPr>
            <w:r>
              <w:t>Silver</w:t>
            </w:r>
          </w:p>
        </w:tc>
        <w:tc>
          <w:tcPr>
            <w:tcW w:w="1332" w:type="dxa"/>
            <w:vAlign w:val="center"/>
          </w:tcPr>
          <w:p w:rsidR="00485094" w:rsidRPr="00F1075E" w:rsidRDefault="00485094" w:rsidP="001C044D">
            <w:pPr>
              <w:pStyle w:val="TableText"/>
              <w:jc w:val="center"/>
            </w:pPr>
            <w:r w:rsidRPr="008E7978">
              <w:t>1</w:t>
            </w:r>
          </w:p>
        </w:tc>
        <w:tc>
          <w:tcPr>
            <w:tcW w:w="1060" w:type="dxa"/>
            <w:vAlign w:val="center"/>
          </w:tcPr>
          <w:p w:rsidR="00485094" w:rsidRPr="00F1075E" w:rsidRDefault="00485094" w:rsidP="001C044D">
            <w:pPr>
              <w:pStyle w:val="TableText"/>
              <w:jc w:val="center"/>
            </w:pPr>
            <w:r w:rsidRPr="00ED17D9">
              <w:t>6</w:t>
            </w:r>
          </w:p>
        </w:tc>
      </w:tr>
    </w:tbl>
    <w:p w:rsidR="00485094" w:rsidRPr="00F1075E" w:rsidRDefault="00485094" w:rsidP="005F5866">
      <w:pPr>
        <w:pStyle w:val="TableText"/>
      </w:pPr>
    </w:p>
    <w:p w:rsidR="00485094" w:rsidRPr="00D03596" w:rsidRDefault="00485094" w:rsidP="004D2E30">
      <w:pPr>
        <w:autoSpaceDE w:val="0"/>
        <w:autoSpaceDN w:val="0"/>
        <w:adjustRightInd w:val="0"/>
        <w:rPr>
          <w:rFonts w:ascii="Arial" w:hAnsi="Arial" w:cs="Arial"/>
          <w:bCs/>
          <w:sz w:val="16"/>
          <w:szCs w:val="16"/>
        </w:rPr>
      </w:pPr>
    </w:p>
    <w:p w:rsidR="00485094" w:rsidRDefault="00485094">
      <w:pPr>
        <w:rPr>
          <w:rFonts w:ascii="Arial" w:hAnsi="Arial"/>
          <w:b/>
          <w:i/>
          <w:sz w:val="20"/>
          <w:szCs w:val="20"/>
        </w:rPr>
      </w:pPr>
      <w:r>
        <w:br w:type="page"/>
      </w:r>
    </w:p>
    <w:p w:rsidR="00485094" w:rsidRPr="006E2D78" w:rsidRDefault="00485094" w:rsidP="00567F73">
      <w:pPr>
        <w:pStyle w:val="Tableheading"/>
        <w:rPr>
          <w:bCs/>
          <w:szCs w:val="22"/>
        </w:rPr>
      </w:pPr>
      <w:bookmarkStart w:id="591" w:name="_Toc271889866"/>
      <w:r w:rsidRPr="003A4461">
        <w:lastRenderedPageBreak/>
        <w:t xml:space="preserve">Table </w:t>
      </w:r>
      <w:r>
        <w:t>8.3b.</w:t>
      </w:r>
      <w:r w:rsidRPr="003A4461">
        <w:t xml:space="preserve">  </w:t>
      </w:r>
      <w:r>
        <w:t>Acres of Lakes Impaired by Cause</w:t>
      </w:r>
      <w:bookmarkEnd w:id="591"/>
    </w:p>
    <w:p w:rsidR="00485094" w:rsidRDefault="00485094" w:rsidP="0039573D">
      <w:pPr>
        <w:pStyle w:val="TabledescriptionBF"/>
      </w:pPr>
      <w:r>
        <w:t>This is a three-column table.  Column 1 lists the parameter, Column 2 lists the number of waterbodies, and Column 3 lists the acres impaired.</w:t>
      </w:r>
    </w:p>
    <w:p w:rsidR="00485094" w:rsidRPr="00D03596" w:rsidRDefault="00485094" w:rsidP="000D304A">
      <w:pPr>
        <w:autoSpaceDE w:val="0"/>
        <w:autoSpaceDN w:val="0"/>
        <w:adjustRightInd w:val="0"/>
        <w:rPr>
          <w:rFonts w:ascii="Arial" w:hAnsi="Arial" w:cs="Arial"/>
          <w:bCs/>
          <w:sz w:val="16"/>
          <w:szCs w:val="16"/>
        </w:rPr>
      </w:pPr>
    </w:p>
    <w:tbl>
      <w:tblPr>
        <w:tblW w:w="5207" w:type="dxa"/>
        <w:jc w:val="center"/>
        <w:tblInd w:w="-109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76"/>
        <w:gridCol w:w="1309"/>
        <w:gridCol w:w="1122"/>
      </w:tblGrid>
      <w:tr w:rsidR="00485094" w:rsidRPr="00E931FA" w:rsidTr="001C044D">
        <w:trPr>
          <w:trHeight w:val="220"/>
          <w:jc w:val="center"/>
        </w:trPr>
        <w:tc>
          <w:tcPr>
            <w:tcW w:w="2776" w:type="dxa"/>
            <w:tcBorders>
              <w:bottom w:val="double" w:sz="4" w:space="0" w:color="auto"/>
            </w:tcBorders>
            <w:shd w:val="clear" w:color="auto" w:fill="BDFFFF"/>
            <w:vAlign w:val="bottom"/>
          </w:tcPr>
          <w:p w:rsidR="00485094" w:rsidRPr="00E931FA" w:rsidRDefault="00485094" w:rsidP="001C044D">
            <w:pPr>
              <w:pStyle w:val="TableText"/>
              <w:jc w:val="center"/>
              <w:rPr>
                <w:b/>
                <w:i/>
              </w:rPr>
            </w:pPr>
            <w:r w:rsidRPr="00E931FA">
              <w:rPr>
                <w:b/>
                <w:i/>
              </w:rPr>
              <w:t>Parameter</w:t>
            </w:r>
          </w:p>
        </w:tc>
        <w:tc>
          <w:tcPr>
            <w:tcW w:w="1309" w:type="dxa"/>
            <w:tcBorders>
              <w:bottom w:val="double" w:sz="4" w:space="0" w:color="auto"/>
            </w:tcBorders>
            <w:shd w:val="clear" w:color="auto" w:fill="BDFFFF"/>
            <w:vAlign w:val="bottom"/>
          </w:tcPr>
          <w:p w:rsidR="00485094" w:rsidRPr="00E931FA" w:rsidRDefault="00485094" w:rsidP="001C044D">
            <w:pPr>
              <w:pStyle w:val="TableText"/>
              <w:jc w:val="center"/>
              <w:rPr>
                <w:b/>
                <w:i/>
              </w:rPr>
            </w:pPr>
            <w:r w:rsidRPr="00E931FA">
              <w:rPr>
                <w:b/>
                <w:i/>
              </w:rPr>
              <w:t>Number of Waterbodies</w:t>
            </w:r>
          </w:p>
        </w:tc>
        <w:tc>
          <w:tcPr>
            <w:tcW w:w="1122" w:type="dxa"/>
            <w:tcBorders>
              <w:bottom w:val="double" w:sz="4" w:space="0" w:color="auto"/>
            </w:tcBorders>
            <w:shd w:val="clear" w:color="auto" w:fill="BDFFFF"/>
            <w:vAlign w:val="bottom"/>
          </w:tcPr>
          <w:p w:rsidR="00485094" w:rsidRPr="00E931FA" w:rsidRDefault="00485094" w:rsidP="001C044D">
            <w:pPr>
              <w:pStyle w:val="TableText"/>
              <w:jc w:val="center"/>
              <w:rPr>
                <w:b/>
                <w:i/>
              </w:rPr>
            </w:pPr>
            <w:r>
              <w:rPr>
                <w:b/>
                <w:i/>
              </w:rPr>
              <w:t>Acres</w:t>
            </w:r>
            <w:r w:rsidRPr="00E931FA">
              <w:rPr>
                <w:b/>
                <w:i/>
              </w:rPr>
              <w:t xml:space="preserve"> Impaired</w:t>
            </w:r>
          </w:p>
        </w:tc>
      </w:tr>
      <w:tr w:rsidR="00485094" w:rsidTr="001C044D">
        <w:trPr>
          <w:trHeight w:val="220"/>
          <w:jc w:val="center"/>
        </w:trPr>
        <w:tc>
          <w:tcPr>
            <w:tcW w:w="2776" w:type="dxa"/>
            <w:tcBorders>
              <w:top w:val="double" w:sz="4" w:space="0" w:color="auto"/>
            </w:tcBorders>
            <w:shd w:val="clear" w:color="auto" w:fill="FFFFCC"/>
            <w:vAlign w:val="center"/>
          </w:tcPr>
          <w:p w:rsidR="00485094" w:rsidRPr="003E7E92" w:rsidRDefault="00485094" w:rsidP="001C044D">
            <w:pPr>
              <w:pStyle w:val="TableText"/>
              <w:jc w:val="center"/>
            </w:pPr>
            <w:r>
              <w:t>TSI</w:t>
            </w:r>
          </w:p>
        </w:tc>
        <w:tc>
          <w:tcPr>
            <w:tcW w:w="1309" w:type="dxa"/>
            <w:tcBorders>
              <w:top w:val="double" w:sz="4" w:space="0" w:color="auto"/>
            </w:tcBorders>
            <w:vAlign w:val="center"/>
          </w:tcPr>
          <w:p w:rsidR="00485094" w:rsidRPr="003E7E92" w:rsidRDefault="00485094" w:rsidP="001C044D">
            <w:pPr>
              <w:pStyle w:val="TableText"/>
              <w:jc w:val="center"/>
            </w:pPr>
            <w:r w:rsidRPr="009D2FCB">
              <w:t>154</w:t>
            </w:r>
          </w:p>
        </w:tc>
        <w:tc>
          <w:tcPr>
            <w:tcW w:w="1122" w:type="dxa"/>
            <w:tcBorders>
              <w:top w:val="double" w:sz="4" w:space="0" w:color="auto"/>
            </w:tcBorders>
            <w:vAlign w:val="center"/>
          </w:tcPr>
          <w:p w:rsidR="00485094" w:rsidRPr="003E7E92" w:rsidRDefault="00485094" w:rsidP="001C044D">
            <w:pPr>
              <w:pStyle w:val="TableText"/>
              <w:jc w:val="center"/>
            </w:pPr>
            <w:r w:rsidRPr="0023103E">
              <w:t>304</w:t>
            </w:r>
            <w:r>
              <w:t>,</w:t>
            </w:r>
            <w:r w:rsidRPr="0023103E">
              <w:t>879</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Mercury in Fish</w:t>
            </w:r>
          </w:p>
        </w:tc>
        <w:tc>
          <w:tcPr>
            <w:tcW w:w="1309" w:type="dxa"/>
            <w:vAlign w:val="center"/>
          </w:tcPr>
          <w:p w:rsidR="00485094" w:rsidRDefault="00485094" w:rsidP="001C044D">
            <w:pPr>
              <w:pStyle w:val="TableText"/>
              <w:jc w:val="center"/>
            </w:pPr>
            <w:r w:rsidRPr="009D2FCB">
              <w:t>111</w:t>
            </w:r>
          </w:p>
        </w:tc>
        <w:tc>
          <w:tcPr>
            <w:tcW w:w="1122" w:type="dxa"/>
            <w:vAlign w:val="center"/>
          </w:tcPr>
          <w:p w:rsidR="00485094" w:rsidRDefault="00485094" w:rsidP="001C044D">
            <w:pPr>
              <w:pStyle w:val="TableText"/>
              <w:jc w:val="center"/>
            </w:pPr>
            <w:r w:rsidRPr="0023103E">
              <w:t>813</w:t>
            </w:r>
            <w:r>
              <w:t>,</w:t>
            </w:r>
            <w:r w:rsidRPr="0023103E">
              <w:t>002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DO</w:t>
            </w:r>
          </w:p>
        </w:tc>
        <w:tc>
          <w:tcPr>
            <w:tcW w:w="1309" w:type="dxa"/>
            <w:vAlign w:val="center"/>
          </w:tcPr>
          <w:p w:rsidR="00485094" w:rsidRDefault="00485094" w:rsidP="001C044D">
            <w:pPr>
              <w:pStyle w:val="TableText"/>
              <w:jc w:val="center"/>
            </w:pPr>
            <w:r w:rsidRPr="009D2FCB">
              <w:t>89</w:t>
            </w:r>
          </w:p>
        </w:tc>
        <w:tc>
          <w:tcPr>
            <w:tcW w:w="1122" w:type="dxa"/>
            <w:vAlign w:val="center"/>
          </w:tcPr>
          <w:p w:rsidR="00485094" w:rsidRDefault="00485094" w:rsidP="001C044D">
            <w:pPr>
              <w:pStyle w:val="TableText"/>
              <w:jc w:val="center"/>
            </w:pPr>
            <w:r w:rsidRPr="0023103E">
              <w:t>183</w:t>
            </w:r>
            <w:r>
              <w:t>,</w:t>
            </w:r>
            <w:r w:rsidRPr="0023103E">
              <w:t>147</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Historical TSI</w:t>
            </w:r>
          </w:p>
        </w:tc>
        <w:tc>
          <w:tcPr>
            <w:tcW w:w="1309" w:type="dxa"/>
            <w:vAlign w:val="center"/>
          </w:tcPr>
          <w:p w:rsidR="00485094" w:rsidRDefault="00485094" w:rsidP="001C044D">
            <w:pPr>
              <w:pStyle w:val="TableText"/>
              <w:jc w:val="center"/>
            </w:pPr>
            <w:r w:rsidRPr="009D2FCB">
              <w:t>29</w:t>
            </w:r>
          </w:p>
        </w:tc>
        <w:tc>
          <w:tcPr>
            <w:tcW w:w="1122" w:type="dxa"/>
            <w:vAlign w:val="center"/>
          </w:tcPr>
          <w:p w:rsidR="00485094" w:rsidRDefault="00485094" w:rsidP="001C044D">
            <w:pPr>
              <w:pStyle w:val="TableText"/>
              <w:jc w:val="center"/>
            </w:pPr>
            <w:r w:rsidRPr="0023103E">
              <w:t>59</w:t>
            </w:r>
            <w:r>
              <w:t>,</w:t>
            </w:r>
            <w:r w:rsidRPr="0023103E">
              <w:t>950</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Fecal coliform</w:t>
            </w:r>
          </w:p>
        </w:tc>
        <w:tc>
          <w:tcPr>
            <w:tcW w:w="1309" w:type="dxa"/>
            <w:vAlign w:val="center"/>
          </w:tcPr>
          <w:p w:rsidR="00485094" w:rsidRDefault="00485094" w:rsidP="001C044D">
            <w:pPr>
              <w:pStyle w:val="TableText"/>
              <w:jc w:val="center"/>
            </w:pPr>
            <w:r w:rsidRPr="009D2FCB">
              <w:t>10</w:t>
            </w:r>
          </w:p>
        </w:tc>
        <w:tc>
          <w:tcPr>
            <w:tcW w:w="1122" w:type="dxa"/>
            <w:vAlign w:val="center"/>
          </w:tcPr>
          <w:p w:rsidR="00485094" w:rsidRDefault="00485094" w:rsidP="001C044D">
            <w:pPr>
              <w:pStyle w:val="TableText"/>
              <w:jc w:val="center"/>
            </w:pPr>
            <w:r w:rsidRPr="0023103E">
              <w:t>9</w:t>
            </w:r>
            <w:r>
              <w:t>,</w:t>
            </w:r>
            <w:r w:rsidRPr="0023103E">
              <w:t>548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Trend TSI</w:t>
            </w:r>
          </w:p>
        </w:tc>
        <w:tc>
          <w:tcPr>
            <w:tcW w:w="1309" w:type="dxa"/>
            <w:vAlign w:val="center"/>
          </w:tcPr>
          <w:p w:rsidR="00485094" w:rsidRDefault="00485094" w:rsidP="001C044D">
            <w:pPr>
              <w:pStyle w:val="TableText"/>
              <w:jc w:val="center"/>
            </w:pPr>
            <w:r w:rsidRPr="009D2FCB">
              <w:t>9</w:t>
            </w:r>
          </w:p>
        </w:tc>
        <w:tc>
          <w:tcPr>
            <w:tcW w:w="1122" w:type="dxa"/>
            <w:vAlign w:val="center"/>
          </w:tcPr>
          <w:p w:rsidR="00485094" w:rsidRDefault="00485094" w:rsidP="001C044D">
            <w:pPr>
              <w:pStyle w:val="TableText"/>
              <w:jc w:val="center"/>
            </w:pPr>
            <w:r w:rsidRPr="0023103E">
              <w:t>13</w:t>
            </w:r>
            <w:r>
              <w:t>,</w:t>
            </w:r>
            <w:r w:rsidRPr="0023103E">
              <w:t>328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Iron</w:t>
            </w:r>
          </w:p>
        </w:tc>
        <w:tc>
          <w:tcPr>
            <w:tcW w:w="1309" w:type="dxa"/>
            <w:vAlign w:val="center"/>
          </w:tcPr>
          <w:p w:rsidR="00485094" w:rsidRDefault="00485094" w:rsidP="001C044D">
            <w:pPr>
              <w:pStyle w:val="TableText"/>
              <w:jc w:val="center"/>
            </w:pPr>
            <w:r w:rsidRPr="009D2FCB">
              <w:t>6</w:t>
            </w:r>
          </w:p>
        </w:tc>
        <w:tc>
          <w:tcPr>
            <w:tcW w:w="1122" w:type="dxa"/>
            <w:vAlign w:val="center"/>
          </w:tcPr>
          <w:p w:rsidR="00485094" w:rsidRDefault="00485094" w:rsidP="001C044D">
            <w:pPr>
              <w:pStyle w:val="TableText"/>
              <w:jc w:val="center"/>
            </w:pPr>
            <w:r w:rsidRPr="0023103E">
              <w:t>335</w:t>
            </w:r>
            <w:r>
              <w:t>,</w:t>
            </w:r>
            <w:r w:rsidRPr="0023103E">
              <w:t>336</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Lead</w:t>
            </w:r>
          </w:p>
        </w:tc>
        <w:tc>
          <w:tcPr>
            <w:tcW w:w="1309" w:type="dxa"/>
            <w:vAlign w:val="center"/>
          </w:tcPr>
          <w:p w:rsidR="00485094" w:rsidRDefault="00485094" w:rsidP="001C044D">
            <w:pPr>
              <w:pStyle w:val="TableText"/>
              <w:jc w:val="center"/>
            </w:pPr>
            <w:r w:rsidRPr="009D2FCB">
              <w:t>6</w:t>
            </w:r>
          </w:p>
        </w:tc>
        <w:tc>
          <w:tcPr>
            <w:tcW w:w="1122" w:type="dxa"/>
            <w:vAlign w:val="center"/>
          </w:tcPr>
          <w:p w:rsidR="00485094" w:rsidRDefault="00485094" w:rsidP="001C044D">
            <w:pPr>
              <w:pStyle w:val="TableText"/>
              <w:jc w:val="center"/>
            </w:pPr>
            <w:r w:rsidRPr="0023103E">
              <w:t>4</w:t>
            </w:r>
            <w:r>
              <w:t>,</w:t>
            </w:r>
            <w:r w:rsidRPr="0023103E">
              <w:t>892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Un-ionized Ammonia</w:t>
            </w:r>
          </w:p>
        </w:tc>
        <w:tc>
          <w:tcPr>
            <w:tcW w:w="1309" w:type="dxa"/>
            <w:vAlign w:val="center"/>
          </w:tcPr>
          <w:p w:rsidR="00485094" w:rsidRDefault="00485094" w:rsidP="001C044D">
            <w:pPr>
              <w:pStyle w:val="TableText"/>
              <w:jc w:val="center"/>
            </w:pPr>
            <w:r w:rsidRPr="009D2FCB">
              <w:t>3</w:t>
            </w:r>
          </w:p>
        </w:tc>
        <w:tc>
          <w:tcPr>
            <w:tcW w:w="1122" w:type="dxa"/>
            <w:vAlign w:val="center"/>
          </w:tcPr>
          <w:p w:rsidR="00485094" w:rsidRDefault="00485094" w:rsidP="001C044D">
            <w:pPr>
              <w:pStyle w:val="TableText"/>
              <w:jc w:val="center"/>
            </w:pPr>
            <w:r w:rsidRPr="0023103E">
              <w:t>23</w:t>
            </w:r>
            <w:r>
              <w:t>,</w:t>
            </w:r>
            <w:r w:rsidRPr="0023103E">
              <w:t>79</w:t>
            </w:r>
            <w:r>
              <w:t>4</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Copper</w:t>
            </w:r>
          </w:p>
        </w:tc>
        <w:tc>
          <w:tcPr>
            <w:tcW w:w="1309" w:type="dxa"/>
            <w:vAlign w:val="center"/>
          </w:tcPr>
          <w:p w:rsidR="00485094" w:rsidRDefault="00485094" w:rsidP="001C044D">
            <w:pPr>
              <w:pStyle w:val="TableText"/>
              <w:jc w:val="center"/>
            </w:pPr>
            <w:r w:rsidRPr="009D2FCB">
              <w:t>2</w:t>
            </w:r>
          </w:p>
        </w:tc>
        <w:tc>
          <w:tcPr>
            <w:tcW w:w="1122" w:type="dxa"/>
            <w:vAlign w:val="center"/>
          </w:tcPr>
          <w:p w:rsidR="00485094" w:rsidRDefault="00485094" w:rsidP="001C044D">
            <w:pPr>
              <w:pStyle w:val="TableText"/>
              <w:jc w:val="center"/>
            </w:pPr>
            <w:r w:rsidRPr="0023103E">
              <w:t>12</w:t>
            </w:r>
            <w:r>
              <w:t>,</w:t>
            </w:r>
            <w:r w:rsidRPr="0023103E">
              <w:t>293</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Turbidity</w:t>
            </w:r>
          </w:p>
        </w:tc>
        <w:tc>
          <w:tcPr>
            <w:tcW w:w="1309" w:type="dxa"/>
            <w:vAlign w:val="center"/>
          </w:tcPr>
          <w:p w:rsidR="00485094" w:rsidRDefault="00485094" w:rsidP="001C044D">
            <w:pPr>
              <w:pStyle w:val="TableText"/>
              <w:jc w:val="center"/>
            </w:pPr>
            <w:r w:rsidRPr="009D2FCB">
              <w:t>2</w:t>
            </w:r>
          </w:p>
        </w:tc>
        <w:tc>
          <w:tcPr>
            <w:tcW w:w="1122" w:type="dxa"/>
            <w:vAlign w:val="center"/>
          </w:tcPr>
          <w:p w:rsidR="00485094" w:rsidRDefault="00485094" w:rsidP="001C044D">
            <w:pPr>
              <w:pStyle w:val="TableText"/>
              <w:jc w:val="center"/>
            </w:pPr>
            <w:r w:rsidRPr="0023103E">
              <w:t>402</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Silver</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7</w:t>
            </w:r>
            <w:r>
              <w:t>,</w:t>
            </w:r>
            <w:r w:rsidRPr="0023103E">
              <w:t>428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Alkalinity</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76</w:t>
            </w:r>
            <w:r>
              <w:t>,</w:t>
            </w:r>
            <w:r w:rsidRPr="0023103E">
              <w:t>741</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 xml:space="preserve">Chlorophyll </w:t>
            </w:r>
            <w:r w:rsidRPr="0039573D">
              <w:rPr>
                <w:i/>
              </w:rPr>
              <w:t>a</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278</w:t>
            </w:r>
          </w:p>
        </w:tc>
      </w:tr>
      <w:tr w:rsidR="00485094" w:rsidTr="001C044D">
        <w:trPr>
          <w:trHeight w:val="220"/>
          <w:jc w:val="center"/>
        </w:trPr>
        <w:tc>
          <w:tcPr>
            <w:tcW w:w="2776" w:type="dxa"/>
            <w:shd w:val="clear" w:color="auto" w:fill="FFFFCC"/>
            <w:vAlign w:val="center"/>
          </w:tcPr>
          <w:p w:rsidR="00485094" w:rsidRDefault="00485094" w:rsidP="001C044D">
            <w:pPr>
              <w:pStyle w:val="TableText"/>
              <w:jc w:val="center"/>
            </w:pPr>
            <w:r>
              <w:t>Thallium</w:t>
            </w:r>
          </w:p>
        </w:tc>
        <w:tc>
          <w:tcPr>
            <w:tcW w:w="1309" w:type="dxa"/>
            <w:vAlign w:val="center"/>
          </w:tcPr>
          <w:p w:rsidR="00485094" w:rsidRDefault="00485094" w:rsidP="001C044D">
            <w:pPr>
              <w:pStyle w:val="TableText"/>
              <w:jc w:val="center"/>
            </w:pPr>
            <w:r w:rsidRPr="00340082">
              <w:t>1</w:t>
            </w:r>
          </w:p>
        </w:tc>
        <w:tc>
          <w:tcPr>
            <w:tcW w:w="1122" w:type="dxa"/>
            <w:vAlign w:val="center"/>
          </w:tcPr>
          <w:p w:rsidR="00485094" w:rsidRDefault="00485094" w:rsidP="001C044D">
            <w:pPr>
              <w:pStyle w:val="TableText"/>
              <w:jc w:val="center"/>
            </w:pPr>
            <w:r w:rsidRPr="0023103E">
              <w:t>3</w:t>
            </w:r>
            <w:r>
              <w:t>,</w:t>
            </w:r>
            <w:r w:rsidRPr="0023103E">
              <w:t>761</w:t>
            </w:r>
          </w:p>
        </w:tc>
      </w:tr>
    </w:tbl>
    <w:p w:rsidR="00485094" w:rsidRDefault="00485094" w:rsidP="005F5866">
      <w:pPr>
        <w:pStyle w:val="TableText"/>
      </w:pPr>
    </w:p>
    <w:p w:rsidR="00485094" w:rsidRDefault="00485094" w:rsidP="00A11646">
      <w:pPr>
        <w:pStyle w:val="Bodytextreduced"/>
      </w:pPr>
    </w:p>
    <w:p w:rsidR="00485094" w:rsidRDefault="00485094" w:rsidP="00A11646">
      <w:pPr>
        <w:pStyle w:val="Tableheading"/>
        <w:rPr>
          <w:b w:val="0"/>
        </w:rPr>
      </w:pPr>
      <w:bookmarkStart w:id="592" w:name="_Toc271889867"/>
      <w:r w:rsidRPr="003A4461">
        <w:t xml:space="preserve">Table </w:t>
      </w:r>
      <w:r>
        <w:t>8.3c.</w:t>
      </w:r>
      <w:r w:rsidRPr="003A4461">
        <w:t xml:space="preserve">  </w:t>
      </w:r>
      <w:r>
        <w:t>Square Miles of Estuaries Impaired by Cause</w:t>
      </w:r>
      <w:bookmarkEnd w:id="592"/>
    </w:p>
    <w:p w:rsidR="00485094" w:rsidRDefault="00485094" w:rsidP="004041A6">
      <w:pPr>
        <w:pStyle w:val="TabledescriptionBF"/>
      </w:pPr>
      <w:r>
        <w:t>This is a three-column table.  Column 1 lists the parameter, Column 2 lists the number of waterbodies, and Column 3 lists the square miles impaired.</w:t>
      </w:r>
    </w:p>
    <w:p w:rsidR="00485094" w:rsidRPr="00D03596" w:rsidRDefault="00485094" w:rsidP="000D304A">
      <w:pPr>
        <w:autoSpaceDE w:val="0"/>
        <w:autoSpaceDN w:val="0"/>
        <w:adjustRightInd w:val="0"/>
        <w:rPr>
          <w:rFonts w:ascii="Arial" w:hAnsi="Arial" w:cs="Arial"/>
          <w:bCs/>
          <w:sz w:val="16"/>
          <w:szCs w:val="16"/>
        </w:rPr>
      </w:pPr>
    </w:p>
    <w:tbl>
      <w:tblPr>
        <w:tblW w:w="5126" w:type="dxa"/>
        <w:jc w:val="center"/>
        <w:tblInd w:w="-101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706"/>
        <w:gridCol w:w="1352"/>
        <w:gridCol w:w="1068"/>
      </w:tblGrid>
      <w:tr w:rsidR="00485094" w:rsidRPr="00D03596" w:rsidTr="00E86B70">
        <w:trPr>
          <w:trHeight w:val="250"/>
          <w:jc w:val="center"/>
        </w:trPr>
        <w:tc>
          <w:tcPr>
            <w:tcW w:w="2706" w:type="dxa"/>
            <w:tcBorders>
              <w:bottom w:val="double" w:sz="4" w:space="0" w:color="auto"/>
            </w:tcBorders>
            <w:shd w:val="clear" w:color="auto" w:fill="BDFFFF"/>
            <w:vAlign w:val="bottom"/>
          </w:tcPr>
          <w:p w:rsidR="00485094" w:rsidRPr="00D03596" w:rsidRDefault="00485094" w:rsidP="005B103D">
            <w:pPr>
              <w:pStyle w:val="TableText"/>
              <w:jc w:val="center"/>
              <w:rPr>
                <w:b/>
                <w:i/>
              </w:rPr>
            </w:pPr>
            <w:r w:rsidRPr="00D03596">
              <w:rPr>
                <w:b/>
                <w:i/>
              </w:rPr>
              <w:t>Parameter</w:t>
            </w:r>
          </w:p>
        </w:tc>
        <w:tc>
          <w:tcPr>
            <w:tcW w:w="1352" w:type="dxa"/>
            <w:tcBorders>
              <w:bottom w:val="double" w:sz="4" w:space="0" w:color="auto"/>
            </w:tcBorders>
            <w:shd w:val="clear" w:color="auto" w:fill="BDFFFF"/>
            <w:vAlign w:val="bottom"/>
          </w:tcPr>
          <w:p w:rsidR="00485094" w:rsidRPr="00D03596" w:rsidRDefault="00485094" w:rsidP="005B103D">
            <w:pPr>
              <w:pStyle w:val="TableText"/>
              <w:jc w:val="center"/>
              <w:rPr>
                <w:b/>
                <w:i/>
              </w:rPr>
            </w:pPr>
            <w:r w:rsidRPr="00D03596">
              <w:rPr>
                <w:b/>
                <w:i/>
              </w:rPr>
              <w:t>Number of Waterbodies</w:t>
            </w:r>
          </w:p>
        </w:tc>
        <w:tc>
          <w:tcPr>
            <w:tcW w:w="1068" w:type="dxa"/>
            <w:tcBorders>
              <w:bottom w:val="double" w:sz="4" w:space="0" w:color="auto"/>
            </w:tcBorders>
            <w:shd w:val="clear" w:color="auto" w:fill="BDFFFF"/>
            <w:vAlign w:val="bottom"/>
          </w:tcPr>
          <w:p w:rsidR="00485094" w:rsidRPr="00D03596" w:rsidRDefault="00485094" w:rsidP="005B103D">
            <w:pPr>
              <w:pStyle w:val="TableText"/>
              <w:jc w:val="center"/>
              <w:rPr>
                <w:b/>
                <w:i/>
              </w:rPr>
            </w:pPr>
            <w:r>
              <w:rPr>
                <w:b/>
                <w:i/>
              </w:rPr>
              <w:t xml:space="preserve">Square </w:t>
            </w:r>
            <w:r w:rsidRPr="00D03596">
              <w:rPr>
                <w:b/>
                <w:i/>
              </w:rPr>
              <w:t>Miles Impaired</w:t>
            </w:r>
          </w:p>
        </w:tc>
      </w:tr>
      <w:tr w:rsidR="00485094" w:rsidTr="001C044D">
        <w:trPr>
          <w:trHeight w:val="250"/>
          <w:jc w:val="center"/>
        </w:trPr>
        <w:tc>
          <w:tcPr>
            <w:tcW w:w="2706" w:type="dxa"/>
            <w:tcBorders>
              <w:top w:val="double" w:sz="4" w:space="0" w:color="auto"/>
            </w:tcBorders>
            <w:shd w:val="clear" w:color="auto" w:fill="FFFFCC"/>
            <w:vAlign w:val="center"/>
          </w:tcPr>
          <w:p w:rsidR="00485094" w:rsidRDefault="00485094" w:rsidP="001C044D">
            <w:pPr>
              <w:pStyle w:val="TableText"/>
              <w:jc w:val="center"/>
            </w:pPr>
            <w:r>
              <w:t>Mercury in Fish</w:t>
            </w:r>
          </w:p>
        </w:tc>
        <w:tc>
          <w:tcPr>
            <w:tcW w:w="1352" w:type="dxa"/>
            <w:tcBorders>
              <w:top w:val="double" w:sz="4" w:space="0" w:color="auto"/>
            </w:tcBorders>
            <w:vAlign w:val="center"/>
          </w:tcPr>
          <w:p w:rsidR="00485094" w:rsidRDefault="00485094" w:rsidP="001C044D">
            <w:pPr>
              <w:pStyle w:val="TableText"/>
              <w:jc w:val="center"/>
            </w:pPr>
            <w:r w:rsidRPr="003C2ADE">
              <w:t>495</w:t>
            </w:r>
          </w:p>
        </w:tc>
        <w:tc>
          <w:tcPr>
            <w:tcW w:w="1068" w:type="dxa"/>
            <w:tcBorders>
              <w:top w:val="double" w:sz="4" w:space="0" w:color="auto"/>
            </w:tcBorders>
            <w:vAlign w:val="center"/>
          </w:tcPr>
          <w:p w:rsidR="00485094" w:rsidRDefault="00485094" w:rsidP="001C044D">
            <w:pPr>
              <w:pStyle w:val="TableText"/>
              <w:jc w:val="center"/>
            </w:pPr>
            <w:r w:rsidRPr="00E11B11">
              <w:t>2</w:t>
            </w:r>
            <w:r>
              <w:t>,</w:t>
            </w:r>
            <w:r w:rsidRPr="00E11B11">
              <w:t>683</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DO</w:t>
            </w:r>
          </w:p>
        </w:tc>
        <w:tc>
          <w:tcPr>
            <w:tcW w:w="1352" w:type="dxa"/>
            <w:vAlign w:val="center"/>
          </w:tcPr>
          <w:p w:rsidR="00485094" w:rsidRDefault="00485094" w:rsidP="001C044D">
            <w:pPr>
              <w:pStyle w:val="TableText"/>
              <w:jc w:val="center"/>
            </w:pPr>
            <w:r w:rsidRPr="003C2ADE">
              <w:t>129</w:t>
            </w:r>
          </w:p>
        </w:tc>
        <w:tc>
          <w:tcPr>
            <w:tcW w:w="1068" w:type="dxa"/>
            <w:vAlign w:val="center"/>
          </w:tcPr>
          <w:p w:rsidR="00485094" w:rsidRDefault="00485094" w:rsidP="001C044D">
            <w:pPr>
              <w:pStyle w:val="TableText"/>
              <w:jc w:val="center"/>
            </w:pPr>
            <w:r w:rsidRPr="00E11B11">
              <w:t>432</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 xml:space="preserve">Chlorophyll </w:t>
            </w:r>
            <w:r w:rsidRPr="004041A6">
              <w:rPr>
                <w:i/>
              </w:rPr>
              <w:t>a</w:t>
            </w:r>
          </w:p>
        </w:tc>
        <w:tc>
          <w:tcPr>
            <w:tcW w:w="1352" w:type="dxa"/>
            <w:vAlign w:val="center"/>
          </w:tcPr>
          <w:p w:rsidR="00485094" w:rsidRDefault="00485094" w:rsidP="001C044D">
            <w:pPr>
              <w:pStyle w:val="TableText"/>
              <w:jc w:val="center"/>
            </w:pPr>
            <w:r w:rsidRPr="003C2ADE">
              <w:t>99</w:t>
            </w:r>
          </w:p>
        </w:tc>
        <w:tc>
          <w:tcPr>
            <w:tcW w:w="1068" w:type="dxa"/>
            <w:vAlign w:val="center"/>
          </w:tcPr>
          <w:p w:rsidR="00485094" w:rsidRDefault="00485094" w:rsidP="001C044D">
            <w:pPr>
              <w:pStyle w:val="TableText"/>
              <w:jc w:val="center"/>
            </w:pPr>
            <w:r w:rsidRPr="00E11B11">
              <w:t>470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Fecal Coliform</w:t>
            </w:r>
          </w:p>
        </w:tc>
        <w:tc>
          <w:tcPr>
            <w:tcW w:w="1352" w:type="dxa"/>
            <w:vAlign w:val="center"/>
          </w:tcPr>
          <w:p w:rsidR="00485094" w:rsidRDefault="00485094" w:rsidP="001C044D">
            <w:pPr>
              <w:pStyle w:val="TableText"/>
              <w:jc w:val="center"/>
            </w:pPr>
            <w:r>
              <w:t>97</w:t>
            </w:r>
          </w:p>
        </w:tc>
        <w:tc>
          <w:tcPr>
            <w:tcW w:w="1068" w:type="dxa"/>
            <w:vAlign w:val="center"/>
          </w:tcPr>
          <w:p w:rsidR="00485094" w:rsidRDefault="00485094" w:rsidP="001C044D">
            <w:pPr>
              <w:pStyle w:val="TableText"/>
              <w:jc w:val="center"/>
            </w:pPr>
            <w:r>
              <w:t>472</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Bacteria in Shellfish</w:t>
            </w:r>
          </w:p>
        </w:tc>
        <w:tc>
          <w:tcPr>
            <w:tcW w:w="1352" w:type="dxa"/>
            <w:vAlign w:val="center"/>
          </w:tcPr>
          <w:p w:rsidR="00485094" w:rsidRDefault="00485094" w:rsidP="001C044D">
            <w:pPr>
              <w:pStyle w:val="TableText"/>
              <w:jc w:val="center"/>
            </w:pPr>
            <w:r w:rsidRPr="003C2ADE">
              <w:t>71</w:t>
            </w:r>
          </w:p>
        </w:tc>
        <w:tc>
          <w:tcPr>
            <w:tcW w:w="1068" w:type="dxa"/>
            <w:vAlign w:val="center"/>
          </w:tcPr>
          <w:p w:rsidR="00485094" w:rsidRDefault="00485094" w:rsidP="001C044D">
            <w:pPr>
              <w:pStyle w:val="TableText"/>
              <w:jc w:val="center"/>
            </w:pPr>
            <w:r w:rsidRPr="00E11B11">
              <w:t>846</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Copper</w:t>
            </w:r>
          </w:p>
        </w:tc>
        <w:tc>
          <w:tcPr>
            <w:tcW w:w="1352" w:type="dxa"/>
            <w:vAlign w:val="center"/>
          </w:tcPr>
          <w:p w:rsidR="00485094" w:rsidRDefault="00485094" w:rsidP="001C044D">
            <w:pPr>
              <w:pStyle w:val="TableText"/>
              <w:jc w:val="center"/>
            </w:pPr>
            <w:r w:rsidRPr="003C2ADE">
              <w:t>22</w:t>
            </w:r>
          </w:p>
        </w:tc>
        <w:tc>
          <w:tcPr>
            <w:tcW w:w="1068" w:type="dxa"/>
            <w:vAlign w:val="center"/>
          </w:tcPr>
          <w:p w:rsidR="00485094" w:rsidRDefault="00485094" w:rsidP="001C044D">
            <w:pPr>
              <w:pStyle w:val="TableText"/>
              <w:jc w:val="center"/>
            </w:pPr>
            <w:r w:rsidRPr="00E11B11">
              <w:t>100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 xml:space="preserve">Historical Chlorophyll </w:t>
            </w:r>
            <w:r w:rsidRPr="0039573D">
              <w:rPr>
                <w:i/>
              </w:rPr>
              <w:t>a</w:t>
            </w:r>
          </w:p>
        </w:tc>
        <w:tc>
          <w:tcPr>
            <w:tcW w:w="1352" w:type="dxa"/>
            <w:vAlign w:val="center"/>
          </w:tcPr>
          <w:p w:rsidR="00485094" w:rsidRDefault="00485094" w:rsidP="001C044D">
            <w:pPr>
              <w:pStyle w:val="TableText"/>
              <w:jc w:val="center"/>
            </w:pPr>
            <w:r w:rsidRPr="003C2ADE">
              <w:t>21</w:t>
            </w:r>
          </w:p>
        </w:tc>
        <w:tc>
          <w:tcPr>
            <w:tcW w:w="1068" w:type="dxa"/>
            <w:vAlign w:val="center"/>
          </w:tcPr>
          <w:p w:rsidR="00485094" w:rsidRDefault="00485094" w:rsidP="001C044D">
            <w:pPr>
              <w:pStyle w:val="TableText"/>
              <w:jc w:val="center"/>
            </w:pPr>
            <w:r w:rsidRPr="00E11B11">
              <w:t>99</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Iron</w:t>
            </w:r>
          </w:p>
        </w:tc>
        <w:tc>
          <w:tcPr>
            <w:tcW w:w="1352" w:type="dxa"/>
            <w:vAlign w:val="center"/>
          </w:tcPr>
          <w:p w:rsidR="00485094" w:rsidRDefault="00485094" w:rsidP="001C044D">
            <w:pPr>
              <w:pStyle w:val="TableText"/>
              <w:jc w:val="center"/>
            </w:pPr>
            <w:r w:rsidRPr="003C2ADE">
              <w:t>17</w:t>
            </w:r>
          </w:p>
        </w:tc>
        <w:tc>
          <w:tcPr>
            <w:tcW w:w="1068" w:type="dxa"/>
            <w:vAlign w:val="center"/>
          </w:tcPr>
          <w:p w:rsidR="00485094" w:rsidRDefault="00485094" w:rsidP="001C044D">
            <w:pPr>
              <w:pStyle w:val="TableText"/>
              <w:jc w:val="center"/>
            </w:pPr>
            <w:r w:rsidRPr="00E11B11">
              <w:t>98</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Lead</w:t>
            </w:r>
          </w:p>
        </w:tc>
        <w:tc>
          <w:tcPr>
            <w:tcW w:w="1352" w:type="dxa"/>
            <w:vAlign w:val="center"/>
          </w:tcPr>
          <w:p w:rsidR="00485094" w:rsidRDefault="00485094" w:rsidP="001C044D">
            <w:pPr>
              <w:pStyle w:val="TableText"/>
              <w:jc w:val="center"/>
            </w:pPr>
            <w:r w:rsidRPr="003C2ADE">
              <w:t>4</w:t>
            </w:r>
          </w:p>
        </w:tc>
        <w:tc>
          <w:tcPr>
            <w:tcW w:w="1068" w:type="dxa"/>
            <w:vAlign w:val="center"/>
          </w:tcPr>
          <w:p w:rsidR="00485094" w:rsidRDefault="00485094" w:rsidP="001C044D">
            <w:pPr>
              <w:pStyle w:val="TableText"/>
              <w:jc w:val="center"/>
            </w:pPr>
            <w:r w:rsidRPr="00E11B11">
              <w:t>7</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Nickel</w:t>
            </w:r>
          </w:p>
        </w:tc>
        <w:tc>
          <w:tcPr>
            <w:tcW w:w="1352" w:type="dxa"/>
            <w:vAlign w:val="center"/>
          </w:tcPr>
          <w:p w:rsidR="00485094" w:rsidRDefault="00485094" w:rsidP="001C044D">
            <w:pPr>
              <w:pStyle w:val="TableText"/>
              <w:jc w:val="center"/>
            </w:pPr>
            <w:r w:rsidRPr="003C2ADE">
              <w:t>3</w:t>
            </w:r>
          </w:p>
        </w:tc>
        <w:tc>
          <w:tcPr>
            <w:tcW w:w="1068" w:type="dxa"/>
            <w:vAlign w:val="center"/>
          </w:tcPr>
          <w:p w:rsidR="00485094" w:rsidRDefault="00485094" w:rsidP="001C044D">
            <w:pPr>
              <w:pStyle w:val="TableText"/>
              <w:jc w:val="center"/>
            </w:pPr>
            <w:r w:rsidRPr="00E11B11">
              <w:t>40</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Arsenic</w:t>
            </w:r>
          </w:p>
        </w:tc>
        <w:tc>
          <w:tcPr>
            <w:tcW w:w="1352" w:type="dxa"/>
            <w:vAlign w:val="center"/>
          </w:tcPr>
          <w:p w:rsidR="00485094" w:rsidRDefault="00485094" w:rsidP="001C044D">
            <w:pPr>
              <w:pStyle w:val="TableText"/>
              <w:jc w:val="center"/>
            </w:pPr>
            <w:r w:rsidRPr="003C2ADE">
              <w:t>2</w:t>
            </w:r>
          </w:p>
        </w:tc>
        <w:tc>
          <w:tcPr>
            <w:tcW w:w="1068" w:type="dxa"/>
            <w:vAlign w:val="center"/>
          </w:tcPr>
          <w:p w:rsidR="00485094" w:rsidRDefault="00485094" w:rsidP="001C044D">
            <w:pPr>
              <w:pStyle w:val="TableText"/>
              <w:jc w:val="center"/>
            </w:pPr>
            <w:r w:rsidRPr="00E11B11">
              <w:t>8</w:t>
            </w:r>
          </w:p>
        </w:tc>
      </w:tr>
      <w:tr w:rsidR="00485094" w:rsidTr="001C044D">
        <w:trPr>
          <w:trHeight w:val="250"/>
          <w:jc w:val="center"/>
        </w:trPr>
        <w:tc>
          <w:tcPr>
            <w:tcW w:w="2706" w:type="dxa"/>
            <w:shd w:val="clear" w:color="auto" w:fill="FFFFCC"/>
            <w:vAlign w:val="center"/>
          </w:tcPr>
          <w:p w:rsidR="00485094" w:rsidRDefault="00485094" w:rsidP="001C044D">
            <w:pPr>
              <w:pStyle w:val="TableText"/>
              <w:jc w:val="center"/>
            </w:pPr>
            <w:r>
              <w:t>Turbidity</w:t>
            </w:r>
          </w:p>
        </w:tc>
        <w:tc>
          <w:tcPr>
            <w:tcW w:w="1352" w:type="dxa"/>
            <w:vAlign w:val="center"/>
          </w:tcPr>
          <w:p w:rsidR="00485094" w:rsidRDefault="00485094" w:rsidP="001C044D">
            <w:pPr>
              <w:pStyle w:val="TableText"/>
              <w:jc w:val="center"/>
            </w:pPr>
            <w:r w:rsidRPr="003C2ADE">
              <w:t>1</w:t>
            </w:r>
          </w:p>
        </w:tc>
        <w:tc>
          <w:tcPr>
            <w:tcW w:w="1068" w:type="dxa"/>
            <w:vAlign w:val="center"/>
          </w:tcPr>
          <w:p w:rsidR="00485094" w:rsidRDefault="00485094" w:rsidP="001C044D">
            <w:pPr>
              <w:pStyle w:val="TableText"/>
              <w:jc w:val="center"/>
            </w:pPr>
            <w:r w:rsidRPr="00E11B11">
              <w:t>1</w:t>
            </w:r>
          </w:p>
        </w:tc>
      </w:tr>
    </w:tbl>
    <w:p w:rsidR="00485094" w:rsidRDefault="00485094" w:rsidP="005F5866">
      <w:pPr>
        <w:pStyle w:val="TableText"/>
        <w:rPr>
          <w:b/>
        </w:rPr>
      </w:pPr>
    </w:p>
    <w:p w:rsidR="00485094" w:rsidRDefault="00485094" w:rsidP="005F5866">
      <w:pPr>
        <w:pStyle w:val="TableText"/>
        <w:rPr>
          <w:b/>
        </w:rPr>
      </w:pPr>
    </w:p>
    <w:p w:rsidR="00485094" w:rsidRDefault="00485094">
      <w:pPr>
        <w:rPr>
          <w:rFonts w:ascii="Arial" w:hAnsi="Arial"/>
          <w:b/>
          <w:i/>
          <w:sz w:val="20"/>
          <w:szCs w:val="20"/>
        </w:rPr>
      </w:pPr>
      <w:r>
        <w:br w:type="page"/>
      </w:r>
    </w:p>
    <w:p w:rsidR="00485094" w:rsidRDefault="00485094" w:rsidP="00A11646">
      <w:pPr>
        <w:pStyle w:val="Tableheading"/>
        <w:rPr>
          <w:b w:val="0"/>
        </w:rPr>
      </w:pPr>
      <w:bookmarkStart w:id="593" w:name="_Toc271889868"/>
      <w:r w:rsidRPr="003A4461">
        <w:lastRenderedPageBreak/>
        <w:t xml:space="preserve">Table </w:t>
      </w:r>
      <w:r>
        <w:t>8.3d.</w:t>
      </w:r>
      <w:r w:rsidRPr="003A4461">
        <w:t xml:space="preserve">  </w:t>
      </w:r>
      <w:r>
        <w:t>Square Miles of Coastal Waters Impaired by Cause</w:t>
      </w:r>
      <w:bookmarkEnd w:id="593"/>
    </w:p>
    <w:p w:rsidR="00485094" w:rsidRDefault="00485094" w:rsidP="004041A6">
      <w:pPr>
        <w:pStyle w:val="TabledescriptionBF"/>
      </w:pPr>
      <w:r>
        <w:t>This is a three-column table.  Column 1 lists the parameter, Column 2 lists the number of waterbodies, and Column 3 lists the square miles impaired.</w:t>
      </w:r>
    </w:p>
    <w:p w:rsidR="00485094" w:rsidRPr="00D03596" w:rsidRDefault="00485094" w:rsidP="000D304A">
      <w:pPr>
        <w:autoSpaceDE w:val="0"/>
        <w:autoSpaceDN w:val="0"/>
        <w:adjustRightInd w:val="0"/>
        <w:rPr>
          <w:rFonts w:ascii="Arial" w:hAnsi="Arial" w:cs="Arial"/>
          <w:bCs/>
          <w:sz w:val="16"/>
          <w:szCs w:val="16"/>
        </w:rPr>
      </w:pPr>
    </w:p>
    <w:tbl>
      <w:tblPr>
        <w:tblW w:w="5117" w:type="dxa"/>
        <w:jc w:val="center"/>
        <w:tblInd w:w="-10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1E0"/>
      </w:tblPr>
      <w:tblGrid>
        <w:gridCol w:w="2686"/>
        <w:gridCol w:w="1309"/>
        <w:gridCol w:w="1122"/>
      </w:tblGrid>
      <w:tr w:rsidR="00485094" w:rsidRPr="00E76B4B" w:rsidTr="00E86B70">
        <w:trPr>
          <w:trHeight w:val="250"/>
          <w:jc w:val="center"/>
        </w:trPr>
        <w:tc>
          <w:tcPr>
            <w:tcW w:w="2686"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Parameter</w:t>
            </w:r>
          </w:p>
        </w:tc>
        <w:tc>
          <w:tcPr>
            <w:tcW w:w="1309"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Number of Waterbodies</w:t>
            </w:r>
          </w:p>
        </w:tc>
        <w:tc>
          <w:tcPr>
            <w:tcW w:w="1122" w:type="dxa"/>
            <w:tcBorders>
              <w:top w:val="single" w:sz="6" w:space="0" w:color="000000"/>
              <w:left w:val="single" w:sz="6" w:space="0" w:color="000000"/>
              <w:bottom w:val="double" w:sz="4" w:space="0" w:color="auto"/>
              <w:right w:val="single" w:sz="6" w:space="0" w:color="000000"/>
            </w:tcBorders>
            <w:shd w:val="clear" w:color="auto" w:fill="BDFFFF"/>
            <w:vAlign w:val="bottom"/>
          </w:tcPr>
          <w:p w:rsidR="00485094" w:rsidRPr="00E76B4B" w:rsidRDefault="00485094" w:rsidP="005B103D">
            <w:pPr>
              <w:pStyle w:val="TableText"/>
              <w:jc w:val="center"/>
              <w:rPr>
                <w:b/>
                <w:bCs/>
                <w:i/>
              </w:rPr>
            </w:pPr>
            <w:r w:rsidRPr="00E76B4B">
              <w:rPr>
                <w:b/>
                <w:bCs/>
                <w:i/>
              </w:rPr>
              <w:t>Square Miles Impaired</w:t>
            </w:r>
          </w:p>
        </w:tc>
      </w:tr>
      <w:tr w:rsidR="00485094" w:rsidRPr="00E76B4B" w:rsidTr="001C044D">
        <w:trPr>
          <w:trHeight w:val="250"/>
          <w:jc w:val="center"/>
        </w:trPr>
        <w:tc>
          <w:tcPr>
            <w:tcW w:w="2686" w:type="dxa"/>
            <w:tcBorders>
              <w:top w:val="double" w:sz="4" w:space="0" w:color="auto"/>
            </w:tcBorders>
            <w:shd w:val="clear" w:color="auto" w:fill="FFFFCC"/>
            <w:vAlign w:val="center"/>
          </w:tcPr>
          <w:p w:rsidR="00485094" w:rsidRDefault="00485094" w:rsidP="001C044D">
            <w:pPr>
              <w:pStyle w:val="TableText"/>
              <w:jc w:val="center"/>
            </w:pPr>
            <w:r>
              <w:t>Mercury in Fish</w:t>
            </w:r>
          </w:p>
        </w:tc>
        <w:tc>
          <w:tcPr>
            <w:tcW w:w="1309" w:type="dxa"/>
            <w:tcBorders>
              <w:top w:val="double" w:sz="4" w:space="0" w:color="auto"/>
            </w:tcBorders>
            <w:vAlign w:val="center"/>
          </w:tcPr>
          <w:p w:rsidR="00485094" w:rsidRDefault="00485094" w:rsidP="001C044D">
            <w:pPr>
              <w:pStyle w:val="TableText"/>
              <w:jc w:val="center"/>
            </w:pPr>
            <w:r w:rsidRPr="00A87E2C">
              <w:t>158</w:t>
            </w:r>
          </w:p>
        </w:tc>
        <w:tc>
          <w:tcPr>
            <w:tcW w:w="1122" w:type="dxa"/>
            <w:tcBorders>
              <w:top w:val="double" w:sz="4" w:space="0" w:color="auto"/>
            </w:tcBorders>
            <w:vAlign w:val="center"/>
          </w:tcPr>
          <w:p w:rsidR="00485094" w:rsidRDefault="00485094" w:rsidP="001C044D">
            <w:pPr>
              <w:pStyle w:val="TableText"/>
              <w:jc w:val="center"/>
            </w:pPr>
            <w:r w:rsidRPr="009212AF">
              <w:t>6</w:t>
            </w:r>
            <w:r>
              <w:t>,</w:t>
            </w:r>
            <w:r w:rsidRPr="009212AF">
              <w:t>830</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DO</w:t>
            </w:r>
          </w:p>
        </w:tc>
        <w:tc>
          <w:tcPr>
            <w:tcW w:w="1309" w:type="dxa"/>
            <w:vAlign w:val="center"/>
          </w:tcPr>
          <w:p w:rsidR="00485094" w:rsidRDefault="00485094" w:rsidP="001C044D">
            <w:pPr>
              <w:pStyle w:val="TableText"/>
              <w:jc w:val="center"/>
            </w:pPr>
            <w:r w:rsidRPr="00A87E2C">
              <w:t>17</w:t>
            </w:r>
          </w:p>
        </w:tc>
        <w:tc>
          <w:tcPr>
            <w:tcW w:w="1122" w:type="dxa"/>
            <w:vAlign w:val="center"/>
          </w:tcPr>
          <w:p w:rsidR="00485094" w:rsidRDefault="00485094" w:rsidP="001C044D">
            <w:pPr>
              <w:pStyle w:val="TableText"/>
              <w:jc w:val="center"/>
            </w:pPr>
            <w:r w:rsidRPr="009212AF">
              <w:t>294</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Copper</w:t>
            </w:r>
          </w:p>
        </w:tc>
        <w:tc>
          <w:tcPr>
            <w:tcW w:w="1309" w:type="dxa"/>
            <w:vAlign w:val="center"/>
          </w:tcPr>
          <w:p w:rsidR="00485094" w:rsidRDefault="00485094" w:rsidP="001C044D">
            <w:pPr>
              <w:pStyle w:val="TableText"/>
              <w:jc w:val="center"/>
            </w:pPr>
            <w:r w:rsidRPr="00A87E2C">
              <w:t>9</w:t>
            </w:r>
          </w:p>
        </w:tc>
        <w:tc>
          <w:tcPr>
            <w:tcW w:w="1122" w:type="dxa"/>
            <w:vAlign w:val="center"/>
          </w:tcPr>
          <w:p w:rsidR="00485094" w:rsidRDefault="00485094" w:rsidP="001C044D">
            <w:pPr>
              <w:pStyle w:val="TableText"/>
              <w:jc w:val="center"/>
            </w:pPr>
            <w:r w:rsidRPr="009212AF">
              <w:t>93</w:t>
            </w:r>
          </w:p>
        </w:tc>
      </w:tr>
      <w:tr w:rsidR="00485094" w:rsidRPr="00E76B4B" w:rsidTr="001C044D">
        <w:trPr>
          <w:trHeight w:val="250"/>
          <w:jc w:val="center"/>
        </w:trPr>
        <w:tc>
          <w:tcPr>
            <w:tcW w:w="2686" w:type="dxa"/>
            <w:shd w:val="clear" w:color="auto" w:fill="FFFFCC"/>
            <w:vAlign w:val="center"/>
          </w:tcPr>
          <w:p w:rsidR="00485094" w:rsidRDefault="00485094" w:rsidP="001C044D">
            <w:pPr>
              <w:pStyle w:val="TableText"/>
              <w:jc w:val="center"/>
            </w:pPr>
            <w:r>
              <w:t>Bacteria in Shellfish</w:t>
            </w:r>
          </w:p>
        </w:tc>
        <w:tc>
          <w:tcPr>
            <w:tcW w:w="1309" w:type="dxa"/>
            <w:vAlign w:val="center"/>
          </w:tcPr>
          <w:p w:rsidR="00485094" w:rsidRDefault="00485094" w:rsidP="001C044D">
            <w:pPr>
              <w:pStyle w:val="TableText"/>
              <w:jc w:val="center"/>
            </w:pPr>
            <w:r w:rsidRPr="00A87E2C">
              <w:t>6</w:t>
            </w:r>
          </w:p>
        </w:tc>
        <w:tc>
          <w:tcPr>
            <w:tcW w:w="1122" w:type="dxa"/>
            <w:vAlign w:val="center"/>
          </w:tcPr>
          <w:p w:rsidR="00485094" w:rsidRDefault="00485094" w:rsidP="001C044D">
            <w:pPr>
              <w:pStyle w:val="TableText"/>
              <w:jc w:val="center"/>
            </w:pPr>
            <w:r w:rsidRPr="009212AF">
              <w:t>403</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Beach Advisories</w:t>
            </w:r>
          </w:p>
        </w:tc>
        <w:tc>
          <w:tcPr>
            <w:tcW w:w="1309" w:type="dxa"/>
            <w:vAlign w:val="center"/>
          </w:tcPr>
          <w:p w:rsidR="00485094" w:rsidRPr="003E7E92" w:rsidRDefault="00485094" w:rsidP="001C044D">
            <w:pPr>
              <w:pStyle w:val="TableText"/>
              <w:jc w:val="center"/>
            </w:pPr>
            <w:r w:rsidRPr="00A87E2C">
              <w:t>2</w:t>
            </w:r>
          </w:p>
        </w:tc>
        <w:tc>
          <w:tcPr>
            <w:tcW w:w="1122" w:type="dxa"/>
            <w:vAlign w:val="center"/>
          </w:tcPr>
          <w:p w:rsidR="00485094" w:rsidRPr="003E7E92" w:rsidRDefault="00485094" w:rsidP="001C044D">
            <w:pPr>
              <w:pStyle w:val="TableText"/>
              <w:jc w:val="center"/>
            </w:pPr>
            <w:r w:rsidRPr="009212AF">
              <w:t>0</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Fecal Coliform</w:t>
            </w:r>
          </w:p>
        </w:tc>
        <w:tc>
          <w:tcPr>
            <w:tcW w:w="1309" w:type="dxa"/>
            <w:vAlign w:val="center"/>
          </w:tcPr>
          <w:p w:rsidR="00485094" w:rsidRPr="003E7E92" w:rsidRDefault="00485094" w:rsidP="001C044D">
            <w:pPr>
              <w:pStyle w:val="TableText"/>
              <w:jc w:val="center"/>
            </w:pPr>
            <w:r>
              <w:t>3</w:t>
            </w:r>
          </w:p>
        </w:tc>
        <w:tc>
          <w:tcPr>
            <w:tcW w:w="1122" w:type="dxa"/>
            <w:vAlign w:val="center"/>
          </w:tcPr>
          <w:p w:rsidR="00485094" w:rsidRPr="003E7E92" w:rsidRDefault="00485094" w:rsidP="001C044D">
            <w:pPr>
              <w:pStyle w:val="TableText"/>
              <w:jc w:val="center"/>
            </w:pPr>
            <w:r>
              <w:t>430</w:t>
            </w:r>
          </w:p>
        </w:tc>
      </w:tr>
      <w:tr w:rsidR="00485094" w:rsidRPr="00E76B4B" w:rsidTr="001C044D">
        <w:trPr>
          <w:trHeight w:val="250"/>
          <w:jc w:val="center"/>
        </w:trPr>
        <w:tc>
          <w:tcPr>
            <w:tcW w:w="2686" w:type="dxa"/>
            <w:shd w:val="clear" w:color="auto" w:fill="FFFFCC"/>
            <w:vAlign w:val="center"/>
          </w:tcPr>
          <w:p w:rsidR="00485094" w:rsidRPr="003E7E92" w:rsidRDefault="00485094" w:rsidP="001C044D">
            <w:pPr>
              <w:pStyle w:val="TableText"/>
              <w:jc w:val="center"/>
            </w:pPr>
            <w:r>
              <w:t xml:space="preserve">Chlorophyll </w:t>
            </w:r>
            <w:r w:rsidRPr="009D19A3">
              <w:rPr>
                <w:i/>
              </w:rPr>
              <w:t>a</w:t>
            </w:r>
          </w:p>
        </w:tc>
        <w:tc>
          <w:tcPr>
            <w:tcW w:w="1309" w:type="dxa"/>
            <w:vAlign w:val="center"/>
          </w:tcPr>
          <w:p w:rsidR="00485094" w:rsidRPr="003E7E92" w:rsidRDefault="00485094" w:rsidP="001C044D">
            <w:pPr>
              <w:pStyle w:val="TableText"/>
              <w:jc w:val="center"/>
            </w:pPr>
            <w:r w:rsidRPr="00A87E2C">
              <w:t>1</w:t>
            </w:r>
          </w:p>
        </w:tc>
        <w:tc>
          <w:tcPr>
            <w:tcW w:w="1122" w:type="dxa"/>
            <w:vAlign w:val="center"/>
          </w:tcPr>
          <w:p w:rsidR="00485094" w:rsidRPr="003E7E92" w:rsidRDefault="00485094" w:rsidP="001C044D">
            <w:pPr>
              <w:pStyle w:val="TableText"/>
              <w:jc w:val="center"/>
            </w:pPr>
            <w:r w:rsidRPr="009212AF">
              <w:t>102</w:t>
            </w:r>
          </w:p>
        </w:tc>
      </w:tr>
    </w:tbl>
    <w:p w:rsidR="00485094" w:rsidRDefault="00485094" w:rsidP="00A11646">
      <w:pPr>
        <w:pStyle w:val="Bodytextreduced"/>
      </w:pPr>
    </w:p>
    <w:p w:rsidR="00485094" w:rsidRDefault="00485094" w:rsidP="00A11646">
      <w:pPr>
        <w:pStyle w:val="Bodytextreduced"/>
      </w:pPr>
    </w:p>
    <w:p w:rsidR="00485094" w:rsidRPr="003A4461" w:rsidRDefault="00485094" w:rsidP="0041391B">
      <w:pPr>
        <w:pStyle w:val="Heading2"/>
      </w:pPr>
      <w:bookmarkStart w:id="594" w:name="_Toc254269890"/>
      <w:bookmarkStart w:id="595" w:name="_Toc255822552"/>
      <w:bookmarkStart w:id="596" w:name="_Toc271794365"/>
      <w:r w:rsidRPr="002D16DE">
        <w:t>303(d) List of Verified Impaired Waters</w:t>
      </w:r>
      <w:bookmarkEnd w:id="594"/>
      <w:bookmarkEnd w:id="595"/>
      <w:bookmarkEnd w:id="596"/>
    </w:p>
    <w:p w:rsidR="00485094" w:rsidRDefault="00485094" w:rsidP="00A11646">
      <w:pPr>
        <w:pStyle w:val="Bodytext"/>
      </w:pPr>
      <w:r w:rsidRPr="0052000C">
        <w:t xml:space="preserve">The 1998 303(d) list and the adopted 303(d) lists (Verified Lists) for 2002, 2003, 2004, 2005, 2006, and 2007 (Basin Groups 1–5, respectively) </w:t>
      </w:r>
      <w:r>
        <w:t xml:space="preserve">and the Cycle 2 results for Groups 1 through 3 </w:t>
      </w:r>
      <w:r w:rsidRPr="0052000C">
        <w:t xml:space="preserve">are available on FDEP’s </w:t>
      </w:r>
      <w:hyperlink r:id="rId138" w:history="1">
        <w:r w:rsidRPr="003F2D10">
          <w:rPr>
            <w:rStyle w:val="Hyperlink"/>
          </w:rPr>
          <w:t>Watershed Assessment Program website</w:t>
        </w:r>
      </w:hyperlink>
      <w:r>
        <w:t>.</w:t>
      </w:r>
    </w:p>
    <w:p w:rsidR="00485094" w:rsidRPr="0052000C" w:rsidRDefault="00485094" w:rsidP="00A11646">
      <w:pPr>
        <w:pStyle w:val="Bodytext"/>
      </w:pPr>
    </w:p>
    <w:p w:rsidR="00485094" w:rsidRDefault="00485094" w:rsidP="00A11646">
      <w:pPr>
        <w:pStyle w:val="Bodytext"/>
      </w:pPr>
      <w:r w:rsidRPr="0052000C">
        <w:t xml:space="preserve">The </w:t>
      </w:r>
      <w:r>
        <w:t>website</w:t>
      </w:r>
      <w:r w:rsidRPr="0052000C">
        <w:t xml:space="preserve"> also contains information on the adopted lists of waters to be delisted (i.e., removed) from the 1998 303(d) list </w:t>
      </w:r>
      <w:r>
        <w:t xml:space="preserve">and/or a previously adopted Verified List </w:t>
      </w:r>
      <w:r w:rsidRPr="0052000C">
        <w:t>for the Group 1</w:t>
      </w:r>
      <w:r>
        <w:t xml:space="preserve"> through 5 basins.  </w:t>
      </w:r>
      <w:r w:rsidRPr="0052000C">
        <w:t xml:space="preserve">If use attainment is verified for a waterbody or segment that was previously listed as impaired, FDEP </w:t>
      </w:r>
      <w:r>
        <w:t>can</w:t>
      </w:r>
      <w:r w:rsidRPr="0052000C">
        <w:t xml:space="preserve"> propose that it be delisted.  If attainment is verified for some designated uses of a waterbody or segment, FDEP will propose partial delisting for the uses attained.  Future monitoring will be recommended to determine if </w:t>
      </w:r>
      <w:r>
        <w:t xml:space="preserve">the </w:t>
      </w:r>
      <w:r w:rsidRPr="0052000C">
        <w:t>remaining uses are attained.</w:t>
      </w:r>
      <w:r>
        <w:t xml:space="preserve">  Waters may also be delisted for other reasons, such as sufficient data to assess potential impairment, flaws in the original analysis, or impairment due to natural causes (such as low DO).  </w:t>
      </w:r>
    </w:p>
    <w:p w:rsidR="00485094" w:rsidRPr="00423B6D" w:rsidRDefault="00485094" w:rsidP="0041391B">
      <w:pPr>
        <w:pStyle w:val="Heading2"/>
        <w:rPr>
          <w:bCs/>
        </w:rPr>
      </w:pPr>
      <w:bookmarkStart w:id="597" w:name="_Toc254269891"/>
      <w:bookmarkStart w:id="598" w:name="_Toc255822553"/>
      <w:bookmarkStart w:id="599" w:name="_Toc271794366"/>
      <w:r w:rsidRPr="00423B6D">
        <w:t>Delisting</w:t>
      </w:r>
      <w:bookmarkEnd w:id="597"/>
      <w:bookmarkEnd w:id="598"/>
      <w:bookmarkEnd w:id="599"/>
      <w:r>
        <w:t xml:space="preserve"> </w:t>
      </w:r>
    </w:p>
    <w:p w:rsidR="00485094" w:rsidRPr="008D603F" w:rsidRDefault="00485094" w:rsidP="00A11646">
      <w:pPr>
        <w:pStyle w:val="Bodytext"/>
      </w:pPr>
      <w:r w:rsidRPr="008D603F">
        <w:t xml:space="preserve">FDEP may propose that a previously listed water segment be delisted </w:t>
      </w:r>
      <w:r>
        <w:t xml:space="preserve">for a variety of reasons </w:t>
      </w:r>
      <w:r w:rsidRPr="008D603F">
        <w:t>(e.g., waters may be delisted if it is determined that the original listing was in error</w:t>
      </w:r>
      <w:r>
        <w:t>,</w:t>
      </w:r>
      <w:r w:rsidRPr="008D603F">
        <w:t xml:space="preserve"> or if it can be demonstrated that water quality criteria </w:t>
      </w:r>
      <w:r>
        <w:t>are</w:t>
      </w:r>
      <w:r w:rsidRPr="008D603F">
        <w:t xml:space="preserve"> currently being met for a waterbody or segment/analyte combination that was previously included on either the 1998 303</w:t>
      </w:r>
      <w:r>
        <w:t>[</w:t>
      </w:r>
      <w:r w:rsidRPr="008D603F">
        <w:t>d</w:t>
      </w:r>
      <w:r>
        <w:t>]</w:t>
      </w:r>
      <w:r w:rsidRPr="008D603F">
        <w:t xml:space="preserve"> list, or on the </w:t>
      </w:r>
      <w:r>
        <w:t>s</w:t>
      </w:r>
      <w:r w:rsidRPr="008D603F">
        <w:t>tate</w:t>
      </w:r>
      <w:r>
        <w:t xml:space="preserve">’s </w:t>
      </w:r>
      <w:r w:rsidRPr="008D603F">
        <w:t xml:space="preserve">Verified List of </w:t>
      </w:r>
      <w:r>
        <w:t>i</w:t>
      </w:r>
      <w:r w:rsidRPr="008D603F">
        <w:t xml:space="preserve">mpaired </w:t>
      </w:r>
      <w:r>
        <w:t>w</w:t>
      </w:r>
      <w:r w:rsidRPr="008D603F">
        <w:t>aters).</w:t>
      </w:r>
      <w:r>
        <w:t xml:space="preserve">  The flow chart in </w:t>
      </w:r>
      <w:r w:rsidRPr="004041A6">
        <w:rPr>
          <w:b/>
          <w:i/>
        </w:rPr>
        <w:t>Figure 8.1</w:t>
      </w:r>
      <w:r>
        <w:t xml:space="preserve"> shows an example of the decision process for delisting.</w:t>
      </w:r>
      <w:r w:rsidRPr="008D603F">
        <w:t xml:space="preserve"> </w:t>
      </w:r>
    </w:p>
    <w:p w:rsidR="00485094" w:rsidRPr="008D603F" w:rsidRDefault="00485094" w:rsidP="00A11646">
      <w:pPr>
        <w:pStyle w:val="Bodytext"/>
      </w:pPr>
    </w:p>
    <w:p w:rsidR="00485094" w:rsidRPr="008D603F" w:rsidRDefault="00485094" w:rsidP="00A11646">
      <w:pPr>
        <w:pStyle w:val="Bodytext"/>
      </w:pPr>
      <w:r w:rsidRPr="008D603F">
        <w:t xml:space="preserve">For those analytes where the assessment decisions are based on exceedances of numeric water quality criteria, the </w:t>
      </w:r>
      <w:r>
        <w:t>conditions for</w:t>
      </w:r>
      <w:r w:rsidRPr="008D603F">
        <w:t xml:space="preserve"> delist</w:t>
      </w:r>
      <w:r>
        <w:t>ing</w:t>
      </w:r>
      <w:r w:rsidRPr="008D603F">
        <w:t xml:space="preserve"> </w:t>
      </w:r>
      <w:r>
        <w:t>are</w:t>
      </w:r>
      <w:r w:rsidRPr="008D603F">
        <w:t xml:space="preserve"> specified in the IWR; however, delisting decisions for </w:t>
      </w:r>
      <w:r>
        <w:t>n</w:t>
      </w:r>
      <w:r w:rsidRPr="008D603F">
        <w:t>utrient</w:t>
      </w:r>
      <w:r>
        <w:t>s</w:t>
      </w:r>
      <w:r w:rsidRPr="008D603F">
        <w:t xml:space="preserve"> are not </w:t>
      </w:r>
      <w:r>
        <w:t xml:space="preserve">as straightforward. </w:t>
      </w:r>
      <w:r w:rsidRPr="008D603F">
        <w:t xml:space="preserve"> </w:t>
      </w:r>
      <w:r>
        <w:t xml:space="preserve">The </w:t>
      </w:r>
      <w:r w:rsidRPr="008D603F">
        <w:t xml:space="preserve">EPA has </w:t>
      </w:r>
      <w:r>
        <w:t>provided guidance</w:t>
      </w:r>
      <w:r w:rsidRPr="008D603F">
        <w:t xml:space="preserve"> that </w:t>
      </w:r>
      <w:r>
        <w:t xml:space="preserve">a waterbody previously verified as impaired for nutrients based on chlorophyll </w:t>
      </w:r>
      <w:r w:rsidRPr="004041A6">
        <w:rPr>
          <w:i/>
        </w:rPr>
        <w:t>a</w:t>
      </w:r>
      <w:r>
        <w:t xml:space="preserve"> or the TSI can be delisted, but remains in Category 3b unless and until </w:t>
      </w:r>
      <w:r w:rsidRPr="008D603F">
        <w:t xml:space="preserve">site-specific </w:t>
      </w:r>
      <w:r>
        <w:t>information that demonstrates attainment of the designated use is included in the assessment.  Site</w:t>
      </w:r>
      <w:r w:rsidRPr="008D603F">
        <w:t xml:space="preserve">-specific </w:t>
      </w:r>
      <w:r>
        <w:t xml:space="preserve">information can include, but is not limited to, measures of biological response such as the SCI and macrophyte or algal surveys.  This decision also depends on the status of the DO assessment.  If a waterbody meets the delisting thresholds in the IWR for nutrients based on chlorophyll </w:t>
      </w:r>
      <w:r w:rsidRPr="004041A6">
        <w:rPr>
          <w:i/>
        </w:rPr>
        <w:t>a</w:t>
      </w:r>
      <w:r>
        <w:t xml:space="preserve"> or TSI, but is verified as impaired for DO, and either </w:t>
      </w:r>
      <w:r w:rsidR="008C37FA">
        <w:t xml:space="preserve">TN </w:t>
      </w:r>
      <w:r>
        <w:t xml:space="preserve">or </w:t>
      </w:r>
      <w:r w:rsidR="008C37FA">
        <w:t>TP</w:t>
      </w:r>
      <w:r>
        <w:t xml:space="preserve"> is the causative pollutant, then the </w:t>
      </w:r>
      <w:r>
        <w:lastRenderedPageBreak/>
        <w:t xml:space="preserve">waterbody cannot be delisted unless site-specific information supports aquatic life use.  </w:t>
      </w:r>
      <w:r w:rsidRPr="004041A6">
        <w:rPr>
          <w:b/>
          <w:i/>
        </w:rPr>
        <w:t>Figure 8.1</w:t>
      </w:r>
      <w:r>
        <w:t xml:space="preserve"> shows the decision process for delisting under these circumstances.</w:t>
      </w:r>
    </w:p>
    <w:p w:rsidR="00485094" w:rsidRDefault="00485094" w:rsidP="00A11646">
      <w:pPr>
        <w:pStyle w:val="Bodytext"/>
      </w:pPr>
    </w:p>
    <w:p w:rsidR="00485094" w:rsidRDefault="00485094" w:rsidP="004678A2">
      <w:pPr>
        <w:pStyle w:val="Bodytext"/>
        <w:rPr>
          <w:rFonts w:cs="Arial"/>
          <w:bCs/>
          <w:szCs w:val="22"/>
        </w:rPr>
      </w:pPr>
      <w:r w:rsidRPr="006D266D">
        <w:rPr>
          <w:rFonts w:cs="Arial"/>
          <w:b/>
          <w:bCs/>
          <w:i/>
          <w:szCs w:val="22"/>
        </w:rPr>
        <w:t xml:space="preserve">Figure </w:t>
      </w:r>
      <w:r>
        <w:rPr>
          <w:rFonts w:cs="Arial"/>
          <w:b/>
          <w:bCs/>
          <w:i/>
          <w:szCs w:val="22"/>
        </w:rPr>
        <w:t>8.2</w:t>
      </w:r>
      <w:r>
        <w:rPr>
          <w:rFonts w:cs="Arial"/>
          <w:bCs/>
          <w:szCs w:val="22"/>
        </w:rPr>
        <w:t xml:space="preserve"> shows the statewide assessment results for all parameters, excluding mercury.  </w:t>
      </w:r>
      <w:r>
        <w:rPr>
          <w:snapToGrid w:val="0"/>
        </w:rPr>
        <w:t>The figure illustrates the fact that most surface water quality problems are found in highly urbanized central and south Florida.  Problems are evident around the densely populated, major urban centers, including Jacksonville, Orlando, Tampa, Pensacola, Cape Kennedy, and the southeastern Florida coast.  Basins with intense agricultural and industrial use are also associated with poor water quality.  Water quality in the northwest and west-central sections of the state is generally better than in other areas.</w:t>
      </w:r>
    </w:p>
    <w:p w:rsidR="00485094" w:rsidRDefault="00485094" w:rsidP="004678A2">
      <w:pPr>
        <w:pStyle w:val="Bodytext"/>
        <w:rPr>
          <w:rFonts w:cs="Arial"/>
          <w:bCs/>
          <w:szCs w:val="22"/>
        </w:rPr>
      </w:pPr>
    </w:p>
    <w:p w:rsidR="00485094" w:rsidRDefault="00485094" w:rsidP="004678A2">
      <w:pPr>
        <w:pStyle w:val="Bodytext"/>
        <w:rPr>
          <w:rFonts w:cs="Arial"/>
          <w:bCs/>
          <w:szCs w:val="22"/>
        </w:rPr>
      </w:pPr>
      <w:r w:rsidRPr="006D266D">
        <w:rPr>
          <w:rFonts w:cs="Arial"/>
          <w:b/>
          <w:bCs/>
          <w:i/>
          <w:szCs w:val="22"/>
        </w:rPr>
        <w:t xml:space="preserve">Figure </w:t>
      </w:r>
      <w:r>
        <w:rPr>
          <w:rFonts w:cs="Arial"/>
          <w:b/>
          <w:bCs/>
          <w:i/>
          <w:szCs w:val="22"/>
        </w:rPr>
        <w:t>8.3</w:t>
      </w:r>
      <w:r>
        <w:rPr>
          <w:rFonts w:cs="Arial"/>
          <w:bCs/>
          <w:szCs w:val="22"/>
        </w:rPr>
        <w:t xml:space="preserve"> summarizes the assessment results for mercury.  As noted earlier, consumption advisories have been issued for a number of fish species in many Florida waters.  FDEP is developing statewide TMDLs for both fresh waters and marine waters that are impaired for mercury; the TMDLs are due by September 2012.</w:t>
      </w:r>
    </w:p>
    <w:p w:rsidR="00485094" w:rsidRDefault="00485094" w:rsidP="004678A2">
      <w:pPr>
        <w:pStyle w:val="Bodytextreduced"/>
      </w:pPr>
    </w:p>
    <w:p w:rsidR="00485094" w:rsidRPr="008D603F" w:rsidRDefault="00485094" w:rsidP="00A11646">
      <w:pPr>
        <w:pStyle w:val="Bodytextreduced"/>
      </w:pPr>
    </w:p>
    <w:p w:rsidR="00485094" w:rsidRPr="004252BF" w:rsidRDefault="00485094" w:rsidP="006E4327">
      <w:pPr>
        <w:pStyle w:val="Caption"/>
      </w:pPr>
      <w:bookmarkStart w:id="600" w:name="_Toc271280184"/>
      <w:r>
        <w:t xml:space="preserve">Figure 8.1.  Decision Tree for Delisting Based on Chlorophyll a </w:t>
      </w:r>
      <w:r w:rsidR="00F514F9">
        <w:t>(</w:t>
      </w:r>
      <w:proofErr w:type="spellStart"/>
      <w:r w:rsidR="00F514F9">
        <w:t>Chl</w:t>
      </w:r>
      <w:proofErr w:type="spellEnd"/>
      <w:r w:rsidR="00F514F9">
        <w:t xml:space="preserve">-a) </w:t>
      </w:r>
      <w:r>
        <w:t>or TSI</w:t>
      </w:r>
      <w:bookmarkEnd w:id="600"/>
    </w:p>
    <w:p w:rsidR="00485094" w:rsidRPr="004252BF" w:rsidRDefault="001717CD" w:rsidP="006E4327">
      <w:pPr>
        <w:pStyle w:val="Bodytextreduced"/>
      </w:pPr>
      <w:r>
        <w:rPr>
          <w:noProof/>
        </w:rPr>
        <w:drawing>
          <wp:anchor distT="0" distB="0" distL="114300" distR="114300" simplePos="0" relativeHeight="251644416" behindDoc="0" locked="0" layoutInCell="1" allowOverlap="1">
            <wp:simplePos x="0" y="0"/>
            <wp:positionH relativeFrom="column">
              <wp:align>center</wp:align>
            </wp:positionH>
            <wp:positionV relativeFrom="paragraph">
              <wp:posOffset>194310</wp:posOffset>
            </wp:positionV>
            <wp:extent cx="6559550" cy="5301615"/>
            <wp:effectExtent l="19050" t="0" r="0" b="0"/>
            <wp:wrapTopAndBottom/>
            <wp:docPr id="41" name="Picture 0" descr="Figure 8.1.  Decision Tree for Delisting Based on Chlorophyll a or T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Figure 8.1.  Decision Tree for Delisting Based on Chlorophyll a or TSI"/>
                    <pic:cNvPicPr>
                      <a:picLocks noChangeAspect="1" noChangeArrowheads="1"/>
                    </pic:cNvPicPr>
                  </pic:nvPicPr>
                  <pic:blipFill>
                    <a:blip r:embed="rId139"/>
                    <a:srcRect t="20909" b="8182"/>
                    <a:stretch>
                      <a:fillRect/>
                    </a:stretch>
                  </pic:blipFill>
                  <pic:spPr bwMode="auto">
                    <a:xfrm>
                      <a:off x="0" y="0"/>
                      <a:ext cx="6559550" cy="5301615"/>
                    </a:xfrm>
                    <a:prstGeom prst="rect">
                      <a:avLst/>
                    </a:prstGeom>
                    <a:noFill/>
                    <a:ln w="9525">
                      <a:noFill/>
                      <a:miter lim="800000"/>
                      <a:headEnd/>
                      <a:tailEnd/>
                    </a:ln>
                  </pic:spPr>
                </pic:pic>
              </a:graphicData>
            </a:graphic>
          </wp:anchor>
        </w:drawing>
      </w:r>
    </w:p>
    <w:p w:rsidR="00485094" w:rsidRDefault="00485094" w:rsidP="005F5866">
      <w:pPr>
        <w:pStyle w:val="Caption"/>
        <w:rPr>
          <w:snapToGrid w:val="0"/>
        </w:rPr>
      </w:pPr>
      <w:bookmarkStart w:id="601" w:name="_Toc254267171"/>
      <w:bookmarkStart w:id="602" w:name="_Toc271280185"/>
      <w:r>
        <w:rPr>
          <w:snapToGrid w:val="0"/>
        </w:rPr>
        <w:lastRenderedPageBreak/>
        <w:t>Figure 8.2.  Results of Florida’s Surface Water Quality Assessment</w:t>
      </w:r>
      <w:r>
        <w:rPr>
          <w:snapToGrid w:val="0"/>
        </w:rPr>
        <w:br/>
        <w:t>for all Parameters (Excluding Mercury)</w:t>
      </w:r>
      <w:bookmarkEnd w:id="601"/>
      <w:bookmarkEnd w:id="602"/>
    </w:p>
    <w:p w:rsidR="00485094" w:rsidRPr="00A54491" w:rsidRDefault="00485094" w:rsidP="00A54491"/>
    <w:p w:rsidR="00485094" w:rsidRDefault="001717CD" w:rsidP="00A54491">
      <w:pPr>
        <w:pStyle w:val="Bodytext"/>
        <w:jc w:val="center"/>
        <w:rPr>
          <w:snapToGrid w:val="0"/>
        </w:rPr>
      </w:pPr>
      <w:bookmarkStart w:id="603" w:name="_Toc255822555"/>
      <w:r>
        <w:rPr>
          <w:noProof/>
        </w:rPr>
        <w:drawing>
          <wp:anchor distT="0" distB="0" distL="114300" distR="114300" simplePos="0" relativeHeight="251645440" behindDoc="0" locked="0" layoutInCell="1" allowOverlap="1">
            <wp:simplePos x="0" y="0"/>
            <wp:positionH relativeFrom="column">
              <wp:align>center</wp:align>
            </wp:positionH>
            <wp:positionV relativeFrom="paragraph">
              <wp:posOffset>0</wp:posOffset>
            </wp:positionV>
            <wp:extent cx="6134735" cy="4742180"/>
            <wp:effectExtent l="19050" t="0" r="0" b="0"/>
            <wp:wrapTopAndBottom/>
            <wp:docPr id="42" name="Picture 1417" descr="Figure 8.2.  Results of Florida’s Surface Water Quality Assessment for all Parameters (Excluding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7" descr="Figure 8.2.  Results of Florida’s Surface Water Quality Assessment for all Parameters (Excluding Mercury)"/>
                    <pic:cNvPicPr>
                      <a:picLocks noChangeAspect="1" noChangeArrowheads="1"/>
                    </pic:cNvPicPr>
                  </pic:nvPicPr>
                  <pic:blipFill>
                    <a:blip r:embed="rId140"/>
                    <a:srcRect/>
                    <a:stretch>
                      <a:fillRect/>
                    </a:stretch>
                  </pic:blipFill>
                  <pic:spPr bwMode="auto">
                    <a:xfrm>
                      <a:off x="0" y="0"/>
                      <a:ext cx="6134735" cy="4742180"/>
                    </a:xfrm>
                    <a:prstGeom prst="rect">
                      <a:avLst/>
                    </a:prstGeom>
                    <a:noFill/>
                    <a:ln w="9525">
                      <a:noFill/>
                      <a:miter lim="800000"/>
                      <a:headEnd/>
                      <a:tailEnd/>
                    </a:ln>
                  </pic:spPr>
                </pic:pic>
              </a:graphicData>
            </a:graphic>
          </wp:anchor>
        </w:drawing>
      </w:r>
    </w:p>
    <w:p w:rsidR="00485094" w:rsidRDefault="00485094" w:rsidP="00A11646">
      <w:pPr>
        <w:pStyle w:val="Bodytextreduced"/>
        <w:rPr>
          <w:snapToGrid w:val="0"/>
        </w:rPr>
      </w:pPr>
      <w:r>
        <w:rPr>
          <w:snapToGrid w:val="0"/>
        </w:rPr>
        <w:br w:type="page"/>
      </w:r>
    </w:p>
    <w:p w:rsidR="00485094" w:rsidRDefault="00485094" w:rsidP="00874F8B">
      <w:pPr>
        <w:pStyle w:val="Caption"/>
        <w:rPr>
          <w:snapToGrid w:val="0"/>
        </w:rPr>
      </w:pPr>
      <w:bookmarkStart w:id="604" w:name="_Toc254267172"/>
      <w:bookmarkStart w:id="605" w:name="_Toc271280186"/>
      <w:r>
        <w:rPr>
          <w:snapToGrid w:val="0"/>
        </w:rPr>
        <w:lastRenderedPageBreak/>
        <w:t>Figure 8.3.  Results of Florida’s Surface Water Quality Assessment for Mercury</w:t>
      </w:r>
      <w:bookmarkEnd w:id="604"/>
      <w:bookmarkEnd w:id="605"/>
    </w:p>
    <w:p w:rsidR="00485094" w:rsidRDefault="00485094" w:rsidP="00906F9D">
      <w:pPr>
        <w:pStyle w:val="Bodytext"/>
        <w:rPr>
          <w:snapToGrid w:val="0"/>
          <w:highlight w:val="yellow"/>
        </w:rPr>
      </w:pPr>
    </w:p>
    <w:p w:rsidR="00485094" w:rsidRDefault="001717CD" w:rsidP="00874F8B">
      <w:pPr>
        <w:pStyle w:val="Bodytext"/>
        <w:rPr>
          <w:snapToGrid w:val="0"/>
        </w:rPr>
      </w:pPr>
      <w:r>
        <w:rPr>
          <w:noProof/>
        </w:rPr>
        <w:drawing>
          <wp:anchor distT="0" distB="0" distL="114300" distR="114300" simplePos="0" relativeHeight="251646464" behindDoc="0" locked="0" layoutInCell="1" allowOverlap="1">
            <wp:simplePos x="0" y="0"/>
            <wp:positionH relativeFrom="column">
              <wp:align>center</wp:align>
            </wp:positionH>
            <wp:positionV relativeFrom="paragraph">
              <wp:posOffset>0</wp:posOffset>
            </wp:positionV>
            <wp:extent cx="6134735" cy="4742180"/>
            <wp:effectExtent l="19050" t="0" r="0" b="0"/>
            <wp:wrapTopAndBottom/>
            <wp:docPr id="43" name="Picture 1418" descr="Figure 8.3.  Results of Florida’s Surface Water Quality Assessment for Mercu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8" descr="Figure 8.3.  Results of Florida’s Surface Water Quality Assessment for Mercury"/>
                    <pic:cNvPicPr>
                      <a:picLocks noChangeAspect="1" noChangeArrowheads="1"/>
                    </pic:cNvPicPr>
                  </pic:nvPicPr>
                  <pic:blipFill>
                    <a:blip r:embed="rId141"/>
                    <a:srcRect/>
                    <a:stretch>
                      <a:fillRect/>
                    </a:stretch>
                  </pic:blipFill>
                  <pic:spPr bwMode="auto">
                    <a:xfrm>
                      <a:off x="0" y="0"/>
                      <a:ext cx="6134735" cy="4742180"/>
                    </a:xfrm>
                    <a:prstGeom prst="rect">
                      <a:avLst/>
                    </a:prstGeom>
                    <a:noFill/>
                    <a:ln w="9525">
                      <a:noFill/>
                      <a:miter lim="800000"/>
                      <a:headEnd/>
                      <a:tailEnd/>
                    </a:ln>
                  </pic:spPr>
                </pic:pic>
              </a:graphicData>
            </a:graphic>
          </wp:anchor>
        </w:drawing>
      </w:r>
    </w:p>
    <w:bookmarkEnd w:id="603"/>
    <w:p w:rsidR="00657C91" w:rsidRDefault="000309E2">
      <w:pPr>
        <w:pStyle w:val="Bodytextreduced"/>
      </w:pPr>
      <w:r w:rsidRPr="000309E2">
        <w:br w:type="page"/>
      </w:r>
    </w:p>
    <w:p w:rsidR="00485094" w:rsidRPr="0041391B" w:rsidRDefault="00485094" w:rsidP="004678A2">
      <w:pPr>
        <w:pStyle w:val="Heading2"/>
        <w:rPr>
          <w:rStyle w:val="BodytextChar1"/>
          <w:sz w:val="32"/>
        </w:rPr>
      </w:pPr>
      <w:bookmarkStart w:id="606" w:name="_Toc271794367"/>
      <w:r w:rsidRPr="0041391B">
        <w:rPr>
          <w:rStyle w:val="BodytextChar1"/>
          <w:sz w:val="32"/>
        </w:rPr>
        <w:lastRenderedPageBreak/>
        <w:t>Biology</w:t>
      </w:r>
      <w:bookmarkEnd w:id="606"/>
    </w:p>
    <w:p w:rsidR="00485094" w:rsidRDefault="00485094" w:rsidP="004678A2">
      <w:pPr>
        <w:rPr>
          <w:rStyle w:val="BodytextChar1"/>
          <w:sz w:val="22"/>
        </w:rPr>
      </w:pPr>
      <w:r w:rsidRPr="00A54491">
        <w:rPr>
          <w:rStyle w:val="BodytextChar1"/>
          <w:sz w:val="22"/>
        </w:rPr>
        <w:t xml:space="preserve">The IWR relies heavily on stream biological data for </w:t>
      </w:r>
      <w:r>
        <w:rPr>
          <w:rStyle w:val="BodytextChar1"/>
          <w:sz w:val="22"/>
        </w:rPr>
        <w:t xml:space="preserve">the assessment of </w:t>
      </w:r>
      <w:r w:rsidRPr="00A54491">
        <w:rPr>
          <w:rStyle w:val="BodytextChar1"/>
          <w:sz w:val="22"/>
        </w:rPr>
        <w:t>impairment status.  Since 1992, FDEP has processed 1</w:t>
      </w:r>
      <w:r>
        <w:rPr>
          <w:rStyle w:val="BodytextChar1"/>
          <w:sz w:val="22"/>
        </w:rPr>
        <w:t>,</w:t>
      </w:r>
      <w:r w:rsidRPr="00A54491">
        <w:rPr>
          <w:rStyle w:val="BodytextChar1"/>
          <w:sz w:val="22"/>
        </w:rPr>
        <w:t>273 BioRecon and 2</w:t>
      </w:r>
      <w:r>
        <w:rPr>
          <w:rStyle w:val="BodytextChar1"/>
          <w:sz w:val="22"/>
        </w:rPr>
        <w:t>,</w:t>
      </w:r>
      <w:r w:rsidRPr="00A54491">
        <w:rPr>
          <w:rStyle w:val="BodytextChar1"/>
          <w:sz w:val="22"/>
        </w:rPr>
        <w:t xml:space="preserve">968 SCI samples.  Over this period, BioRecons statewide showed a 39% failure rate, and 21% of the SCIs failed.  </w:t>
      </w:r>
      <w:r w:rsidRPr="00A54491">
        <w:rPr>
          <w:rStyle w:val="BodytextChar1"/>
          <w:b/>
          <w:i/>
          <w:sz w:val="22"/>
        </w:rPr>
        <w:t>Table 8.</w:t>
      </w:r>
      <w:r>
        <w:rPr>
          <w:rStyle w:val="BodytextChar1"/>
          <w:b/>
          <w:i/>
          <w:sz w:val="22"/>
        </w:rPr>
        <w:t>4</w:t>
      </w:r>
      <w:r w:rsidRPr="00A54491">
        <w:rPr>
          <w:rStyle w:val="BodytextChar1"/>
          <w:sz w:val="22"/>
        </w:rPr>
        <w:t xml:space="preserve"> shows the numbers of measurements and impairment status for the BioRecon and SCI from 1992 to October 2009. </w:t>
      </w:r>
    </w:p>
    <w:p w:rsidR="00485094" w:rsidRDefault="00485094" w:rsidP="00ED0D03">
      <w:pPr>
        <w:pStyle w:val="Bodytextreduced"/>
        <w:rPr>
          <w:snapToGrid w:val="0"/>
        </w:rPr>
      </w:pPr>
    </w:p>
    <w:p w:rsidR="00485094" w:rsidRDefault="00485094">
      <w:pPr>
        <w:pStyle w:val="Bodytextreduced"/>
      </w:pPr>
      <w:bookmarkStart w:id="607" w:name="_Toc254267140"/>
      <w:bookmarkStart w:id="608" w:name="_Toc255807514"/>
    </w:p>
    <w:p w:rsidR="00485094" w:rsidRDefault="00485094" w:rsidP="005F5866">
      <w:pPr>
        <w:pStyle w:val="Tableheading"/>
        <w:ind w:left="900" w:right="810"/>
      </w:pPr>
      <w:bookmarkStart w:id="609" w:name="_Toc271889869"/>
      <w:r>
        <w:t>Table 8.4.  Numbers of Measurements and Impairment Status</w:t>
      </w:r>
      <w:r>
        <w:br/>
        <w:t>for the BioRecon and SCI, 1992–</w:t>
      </w:r>
      <w:bookmarkEnd w:id="607"/>
      <w:bookmarkEnd w:id="608"/>
      <w:r>
        <w:t>October 2009</w:t>
      </w:r>
      <w:bookmarkEnd w:id="609"/>
    </w:p>
    <w:p w:rsidR="00485094" w:rsidRDefault="00485094" w:rsidP="00874F8B">
      <w:pPr>
        <w:pStyle w:val="TabledescriptionBF"/>
      </w:pPr>
      <w:r>
        <w:t>This is a four-column table.  Column 1 lists the biological assessment, Column 2 lists the result, Column 3 lists the impairment status, and Column 4 lists the number of measurements</w:t>
      </w:r>
    </w:p>
    <w:p w:rsidR="00485094" w:rsidRDefault="00485094" w:rsidP="00874F8B">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6"/>
        <w:gridCol w:w="1944"/>
        <w:gridCol w:w="2250"/>
        <w:gridCol w:w="1620"/>
      </w:tblGrid>
      <w:tr w:rsidR="00485094" w:rsidRPr="00E76B4B" w:rsidTr="00E86B70">
        <w:trPr>
          <w:trHeight w:val="288"/>
          <w:jc w:val="center"/>
        </w:trPr>
        <w:tc>
          <w:tcPr>
            <w:tcW w:w="2016" w:type="dxa"/>
            <w:tcBorders>
              <w:bottom w:val="double" w:sz="4" w:space="0" w:color="auto"/>
            </w:tcBorders>
            <w:shd w:val="clear" w:color="auto" w:fill="BDFFFF"/>
            <w:vAlign w:val="bottom"/>
          </w:tcPr>
          <w:p w:rsidR="00485094" w:rsidRPr="00E76B4B" w:rsidRDefault="00485094" w:rsidP="00A54491">
            <w:pPr>
              <w:pStyle w:val="TableText"/>
              <w:jc w:val="center"/>
              <w:rPr>
                <w:b/>
                <w:i/>
              </w:rPr>
            </w:pPr>
            <w:r w:rsidRPr="00E76B4B">
              <w:rPr>
                <w:b/>
                <w:i/>
              </w:rPr>
              <w:t xml:space="preserve">Biological </w:t>
            </w:r>
            <w:r>
              <w:rPr>
                <w:b/>
                <w:i/>
              </w:rPr>
              <w:t>Assessment</w:t>
            </w:r>
          </w:p>
        </w:tc>
        <w:tc>
          <w:tcPr>
            <w:tcW w:w="1944" w:type="dxa"/>
            <w:tcBorders>
              <w:bottom w:val="double" w:sz="4" w:space="0" w:color="auto"/>
            </w:tcBorders>
            <w:shd w:val="clear" w:color="auto" w:fill="BDFFFF"/>
            <w:vAlign w:val="bottom"/>
          </w:tcPr>
          <w:p w:rsidR="00485094" w:rsidRPr="00E76B4B" w:rsidRDefault="00485094" w:rsidP="00874F8B">
            <w:pPr>
              <w:pStyle w:val="TableText"/>
              <w:jc w:val="center"/>
              <w:rPr>
                <w:b/>
                <w:i/>
              </w:rPr>
            </w:pPr>
            <w:r>
              <w:rPr>
                <w:b/>
                <w:i/>
              </w:rPr>
              <w:t>Result</w:t>
            </w:r>
          </w:p>
        </w:tc>
        <w:tc>
          <w:tcPr>
            <w:tcW w:w="2250" w:type="dxa"/>
            <w:tcBorders>
              <w:bottom w:val="double" w:sz="4" w:space="0" w:color="auto"/>
            </w:tcBorders>
            <w:shd w:val="clear" w:color="auto" w:fill="BDFFFF"/>
            <w:vAlign w:val="bottom"/>
          </w:tcPr>
          <w:p w:rsidR="00485094" w:rsidRPr="00E76B4B" w:rsidRDefault="00485094" w:rsidP="00874F8B">
            <w:pPr>
              <w:pStyle w:val="TableText"/>
              <w:jc w:val="center"/>
              <w:rPr>
                <w:b/>
                <w:i/>
              </w:rPr>
            </w:pPr>
            <w:r w:rsidRPr="00E76B4B">
              <w:rPr>
                <w:b/>
                <w:i/>
              </w:rPr>
              <w:t>Impairment</w:t>
            </w:r>
            <w:r>
              <w:rPr>
                <w:b/>
                <w:i/>
              </w:rPr>
              <w:t xml:space="preserve"> Status</w:t>
            </w:r>
          </w:p>
        </w:tc>
        <w:tc>
          <w:tcPr>
            <w:tcW w:w="1620" w:type="dxa"/>
            <w:tcBorders>
              <w:bottom w:val="double" w:sz="4" w:space="0" w:color="auto"/>
            </w:tcBorders>
            <w:shd w:val="clear" w:color="auto" w:fill="BDFFFF"/>
            <w:vAlign w:val="bottom"/>
          </w:tcPr>
          <w:p w:rsidR="00485094" w:rsidRPr="00E76B4B" w:rsidRDefault="00485094" w:rsidP="00874F8B">
            <w:pPr>
              <w:pStyle w:val="TableText"/>
              <w:jc w:val="center"/>
              <w:rPr>
                <w:b/>
                <w:i/>
              </w:rPr>
            </w:pPr>
            <w:r w:rsidRPr="00E76B4B">
              <w:rPr>
                <w:b/>
                <w:i/>
              </w:rPr>
              <w:t>Number of Measurements</w:t>
            </w:r>
          </w:p>
        </w:tc>
      </w:tr>
      <w:tr w:rsidR="00485094" w:rsidTr="00874F8B">
        <w:trPr>
          <w:trHeight w:val="288"/>
          <w:jc w:val="center"/>
        </w:trPr>
        <w:tc>
          <w:tcPr>
            <w:tcW w:w="2016" w:type="dxa"/>
            <w:tcBorders>
              <w:top w:val="double" w:sz="4" w:space="0" w:color="auto"/>
            </w:tcBorders>
            <w:shd w:val="clear" w:color="auto" w:fill="FFFFCC"/>
            <w:vAlign w:val="center"/>
          </w:tcPr>
          <w:p w:rsidR="00485094" w:rsidRDefault="00485094" w:rsidP="005F5866">
            <w:pPr>
              <w:pStyle w:val="TableText"/>
              <w:jc w:val="center"/>
            </w:pPr>
            <w:r>
              <w:t>BioRecon</w:t>
            </w:r>
          </w:p>
        </w:tc>
        <w:tc>
          <w:tcPr>
            <w:tcW w:w="1944" w:type="dxa"/>
            <w:tcBorders>
              <w:top w:val="double" w:sz="4" w:space="0" w:color="auto"/>
            </w:tcBorders>
            <w:vAlign w:val="center"/>
          </w:tcPr>
          <w:p w:rsidR="00485094" w:rsidRDefault="00485094" w:rsidP="005F5866">
            <w:pPr>
              <w:pStyle w:val="TableText"/>
              <w:jc w:val="center"/>
            </w:pPr>
            <w:r>
              <w:t>Pass</w:t>
            </w:r>
          </w:p>
        </w:tc>
        <w:tc>
          <w:tcPr>
            <w:tcW w:w="2250" w:type="dxa"/>
            <w:tcBorders>
              <w:top w:val="double" w:sz="4" w:space="0" w:color="auto"/>
            </w:tcBorders>
            <w:vAlign w:val="center"/>
          </w:tcPr>
          <w:p w:rsidR="00485094" w:rsidRDefault="00485094" w:rsidP="005F5866">
            <w:pPr>
              <w:pStyle w:val="TableText"/>
              <w:jc w:val="center"/>
            </w:pPr>
            <w:r>
              <w:t>Not impaired</w:t>
            </w:r>
          </w:p>
        </w:tc>
        <w:tc>
          <w:tcPr>
            <w:tcW w:w="1620" w:type="dxa"/>
            <w:tcBorders>
              <w:top w:val="double" w:sz="4" w:space="0" w:color="auto"/>
            </w:tcBorders>
            <w:vAlign w:val="center"/>
          </w:tcPr>
          <w:p w:rsidR="00485094" w:rsidRDefault="00485094" w:rsidP="005F5866">
            <w:pPr>
              <w:pStyle w:val="TableText"/>
              <w:jc w:val="center"/>
            </w:pPr>
            <w:r>
              <w:t>443</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BioRecon</w:t>
            </w:r>
          </w:p>
        </w:tc>
        <w:tc>
          <w:tcPr>
            <w:tcW w:w="1944" w:type="dxa"/>
            <w:vAlign w:val="center"/>
          </w:tcPr>
          <w:p w:rsidR="00485094" w:rsidRDefault="00485094" w:rsidP="005F5866">
            <w:pPr>
              <w:pStyle w:val="TableText"/>
              <w:jc w:val="center"/>
            </w:pPr>
            <w:r>
              <w:t>Suspect</w:t>
            </w:r>
          </w:p>
        </w:tc>
        <w:tc>
          <w:tcPr>
            <w:tcW w:w="2250" w:type="dxa"/>
            <w:vAlign w:val="center"/>
          </w:tcPr>
          <w:p w:rsidR="00485094" w:rsidRDefault="00485094" w:rsidP="005F5866">
            <w:pPr>
              <w:pStyle w:val="TableText"/>
              <w:jc w:val="center"/>
            </w:pPr>
            <w:r>
              <w:t>Not impaired</w:t>
            </w:r>
          </w:p>
        </w:tc>
        <w:tc>
          <w:tcPr>
            <w:tcW w:w="1620" w:type="dxa"/>
            <w:vAlign w:val="center"/>
          </w:tcPr>
          <w:p w:rsidR="00485094" w:rsidRDefault="00485094" w:rsidP="005F5866">
            <w:pPr>
              <w:pStyle w:val="TableText"/>
              <w:jc w:val="center"/>
            </w:pPr>
            <w:r>
              <w:t>331</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BioRecon</w:t>
            </w:r>
          </w:p>
        </w:tc>
        <w:tc>
          <w:tcPr>
            <w:tcW w:w="1944" w:type="dxa"/>
            <w:vAlign w:val="center"/>
          </w:tcPr>
          <w:p w:rsidR="00485094" w:rsidRDefault="00485094" w:rsidP="005F5866">
            <w:pPr>
              <w:pStyle w:val="TableText"/>
              <w:jc w:val="center"/>
            </w:pPr>
            <w:r>
              <w:t>Fail</w:t>
            </w:r>
          </w:p>
        </w:tc>
        <w:tc>
          <w:tcPr>
            <w:tcW w:w="2250" w:type="dxa"/>
            <w:vAlign w:val="center"/>
          </w:tcPr>
          <w:p w:rsidR="00485094" w:rsidRDefault="00485094" w:rsidP="005F5866">
            <w:pPr>
              <w:pStyle w:val="TableText"/>
              <w:jc w:val="center"/>
            </w:pPr>
            <w:r>
              <w:t>Impaired</w:t>
            </w:r>
          </w:p>
        </w:tc>
        <w:tc>
          <w:tcPr>
            <w:tcW w:w="1620" w:type="dxa"/>
            <w:vAlign w:val="center"/>
          </w:tcPr>
          <w:p w:rsidR="00485094" w:rsidRDefault="00485094" w:rsidP="005F5866">
            <w:pPr>
              <w:pStyle w:val="TableText"/>
              <w:jc w:val="center"/>
            </w:pPr>
            <w:r>
              <w:t>449</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SCI</w:t>
            </w:r>
          </w:p>
        </w:tc>
        <w:tc>
          <w:tcPr>
            <w:tcW w:w="1944" w:type="dxa"/>
            <w:vAlign w:val="center"/>
          </w:tcPr>
          <w:p w:rsidR="00485094" w:rsidRDefault="00485094" w:rsidP="005F5866">
            <w:pPr>
              <w:pStyle w:val="TableText"/>
              <w:jc w:val="center"/>
            </w:pPr>
            <w:r>
              <w:t>Pass Excellent</w:t>
            </w:r>
          </w:p>
        </w:tc>
        <w:tc>
          <w:tcPr>
            <w:tcW w:w="2250" w:type="dxa"/>
            <w:vAlign w:val="center"/>
          </w:tcPr>
          <w:p w:rsidR="00485094" w:rsidRDefault="00485094" w:rsidP="005F5866">
            <w:pPr>
              <w:pStyle w:val="TableText"/>
              <w:jc w:val="center"/>
            </w:pPr>
            <w:r>
              <w:t>Not impaired</w:t>
            </w:r>
          </w:p>
        </w:tc>
        <w:tc>
          <w:tcPr>
            <w:tcW w:w="1620" w:type="dxa"/>
            <w:vAlign w:val="center"/>
          </w:tcPr>
          <w:p w:rsidR="00485094" w:rsidRDefault="00485094" w:rsidP="005F5866">
            <w:pPr>
              <w:pStyle w:val="TableText"/>
              <w:jc w:val="center"/>
            </w:pPr>
            <w:r>
              <w:t>2,348</w:t>
            </w:r>
          </w:p>
        </w:tc>
      </w:tr>
      <w:tr w:rsidR="00485094" w:rsidTr="00874F8B">
        <w:trPr>
          <w:trHeight w:val="288"/>
          <w:jc w:val="center"/>
        </w:trPr>
        <w:tc>
          <w:tcPr>
            <w:tcW w:w="2016" w:type="dxa"/>
            <w:shd w:val="clear" w:color="auto" w:fill="FFFFCC"/>
            <w:vAlign w:val="center"/>
          </w:tcPr>
          <w:p w:rsidR="00485094" w:rsidRDefault="00485094" w:rsidP="005F5866">
            <w:pPr>
              <w:pStyle w:val="TableText"/>
              <w:jc w:val="center"/>
            </w:pPr>
            <w:r>
              <w:t>SCI</w:t>
            </w:r>
          </w:p>
        </w:tc>
        <w:tc>
          <w:tcPr>
            <w:tcW w:w="1944" w:type="dxa"/>
            <w:vAlign w:val="center"/>
          </w:tcPr>
          <w:p w:rsidR="00485094" w:rsidRDefault="00485094" w:rsidP="005F5866">
            <w:pPr>
              <w:pStyle w:val="TableText"/>
              <w:jc w:val="center"/>
            </w:pPr>
            <w:r>
              <w:t>Fail</w:t>
            </w:r>
          </w:p>
        </w:tc>
        <w:tc>
          <w:tcPr>
            <w:tcW w:w="2250" w:type="dxa"/>
            <w:vAlign w:val="center"/>
          </w:tcPr>
          <w:p w:rsidR="00485094" w:rsidRDefault="00485094" w:rsidP="005F5866">
            <w:pPr>
              <w:pStyle w:val="TableText"/>
              <w:jc w:val="center"/>
            </w:pPr>
            <w:r>
              <w:t>Impaired</w:t>
            </w:r>
          </w:p>
        </w:tc>
        <w:tc>
          <w:tcPr>
            <w:tcW w:w="1620" w:type="dxa"/>
            <w:vAlign w:val="center"/>
          </w:tcPr>
          <w:p w:rsidR="00485094" w:rsidRDefault="00485094" w:rsidP="005F5866">
            <w:pPr>
              <w:pStyle w:val="TableText"/>
              <w:jc w:val="center"/>
            </w:pPr>
            <w:r>
              <w:t>612</w:t>
            </w:r>
          </w:p>
        </w:tc>
      </w:tr>
    </w:tbl>
    <w:p w:rsidR="00485094" w:rsidRPr="00472D9B" w:rsidRDefault="00485094" w:rsidP="00567F73">
      <w:pPr>
        <w:pStyle w:val="Bodytextreduced"/>
      </w:pPr>
    </w:p>
    <w:p w:rsidR="00485094" w:rsidRPr="006A08C9" w:rsidRDefault="00485094" w:rsidP="00567F73">
      <w:pPr>
        <w:pStyle w:val="Bodytextreduced"/>
        <w:rPr>
          <w:szCs w:val="16"/>
        </w:rPr>
      </w:pPr>
    </w:p>
    <w:p w:rsidR="00485094" w:rsidRDefault="00485094" w:rsidP="0041391B">
      <w:pPr>
        <w:pStyle w:val="Heading2"/>
      </w:pPr>
      <w:bookmarkStart w:id="610" w:name="_Toc271794368"/>
      <w:bookmarkStart w:id="611" w:name="_Toc254269894"/>
      <w:bookmarkStart w:id="612" w:name="_Toc255822557"/>
      <w:r>
        <w:t xml:space="preserve">Special Focus:  </w:t>
      </w:r>
      <w:r w:rsidRPr="00B22DB9">
        <w:t>Lake</w:t>
      </w:r>
      <w:r>
        <w:t>s</w:t>
      </w:r>
      <w:bookmarkEnd w:id="610"/>
      <w:r>
        <w:t xml:space="preserve"> </w:t>
      </w:r>
      <w:bookmarkEnd w:id="611"/>
      <w:bookmarkEnd w:id="612"/>
    </w:p>
    <w:p w:rsidR="00485094" w:rsidRDefault="00485094" w:rsidP="005F5866">
      <w:pPr>
        <w:pStyle w:val="Bodytext"/>
      </w:pPr>
      <w:r>
        <w:t>Lakes are a particular focus of the EPA’s Integrated Report guidance.  This section addresses CWA Section 314 reporting requirements, providing information on lake trends, a</w:t>
      </w:r>
      <w:r w:rsidRPr="003E7486">
        <w:t xml:space="preserve">pproaches to </w:t>
      </w:r>
      <w:r>
        <w:t>c</w:t>
      </w:r>
      <w:r w:rsidRPr="003E7486">
        <w:t xml:space="preserve">ontrolling </w:t>
      </w:r>
      <w:r>
        <w:t xml:space="preserve">lake pollution and lake water quality, and publicly owned lakes with impaired uses.  </w:t>
      </w:r>
      <w:r w:rsidRPr="0038645D">
        <w:rPr>
          <w:b/>
          <w:i/>
        </w:rPr>
        <w:t xml:space="preserve">Table </w:t>
      </w:r>
      <w:r>
        <w:rPr>
          <w:b/>
          <w:i/>
        </w:rPr>
        <w:t>8.2</w:t>
      </w:r>
      <w:r>
        <w:t xml:space="preserve"> includes a summary of the lake acres assigned to each EPA Integrated Report category, and </w:t>
      </w:r>
      <w:r w:rsidRPr="0038645D">
        <w:rPr>
          <w:b/>
          <w:i/>
          <w:snapToGrid w:val="0"/>
        </w:rPr>
        <w:t xml:space="preserve">Table </w:t>
      </w:r>
      <w:r>
        <w:rPr>
          <w:b/>
          <w:i/>
          <w:snapToGrid w:val="0"/>
        </w:rPr>
        <w:t>8.3b</w:t>
      </w:r>
      <w:r>
        <w:rPr>
          <w:snapToGrid w:val="0"/>
        </w:rPr>
        <w:t xml:space="preserve"> </w:t>
      </w:r>
      <w:r>
        <w:t xml:space="preserve">provides information on the acres of lakes impaired by various causes. </w:t>
      </w:r>
      <w:r w:rsidRPr="0022335E">
        <w:rPr>
          <w:b/>
        </w:rPr>
        <w:t xml:space="preserve"> </w:t>
      </w:r>
    </w:p>
    <w:p w:rsidR="00485094" w:rsidRDefault="00485094" w:rsidP="005F5866">
      <w:pPr>
        <w:pStyle w:val="Bodytext"/>
      </w:pPr>
    </w:p>
    <w:p w:rsidR="00485094" w:rsidRDefault="00485094" w:rsidP="0041391B">
      <w:pPr>
        <w:pStyle w:val="Heading3"/>
        <w:rPr>
          <w:snapToGrid w:val="0"/>
        </w:rPr>
      </w:pPr>
      <w:bookmarkStart w:id="613" w:name="_Toc255822558"/>
      <w:bookmarkStart w:id="614" w:name="_Toc271794369"/>
      <w:r w:rsidRPr="00C71D52">
        <w:rPr>
          <w:snapToGrid w:val="0"/>
        </w:rPr>
        <w:t>Lake Trends</w:t>
      </w:r>
      <w:bookmarkEnd w:id="613"/>
      <w:bookmarkEnd w:id="614"/>
    </w:p>
    <w:p w:rsidR="00485094" w:rsidRPr="00ED71FB" w:rsidRDefault="00485094" w:rsidP="005F5866">
      <w:pPr>
        <w:pStyle w:val="Bodytext"/>
        <w:rPr>
          <w:rFonts w:cs="Arial"/>
        </w:rPr>
      </w:pPr>
      <w:r>
        <w:rPr>
          <w:snapToGrid w:val="0"/>
        </w:rPr>
        <w:t>Trends in Florida lakes between 1999 and 2008 were analyzed, and there were sufficient data for trend analysis for 369 lakes.  Of these 369 lakes, 52 were improving, 260 were stable, and 57 were degrading</w:t>
      </w:r>
      <w:r w:rsidRPr="00A11646">
        <w:rPr>
          <w:i/>
          <w:snapToGrid w:val="0"/>
        </w:rPr>
        <w:t xml:space="preserve">. </w:t>
      </w:r>
      <w:r w:rsidRPr="002D4929">
        <w:rPr>
          <w:i/>
          <w:snapToGrid w:val="0"/>
        </w:rPr>
        <w:t xml:space="preserve"> </w:t>
      </w:r>
      <w:r w:rsidRPr="00ED71FB">
        <w:rPr>
          <w:snapToGrid w:val="0"/>
        </w:rPr>
        <w:t xml:space="preserve">For </w:t>
      </w:r>
      <w:r>
        <w:rPr>
          <w:snapToGrid w:val="0"/>
        </w:rPr>
        <w:t>966</w:t>
      </w:r>
      <w:r w:rsidRPr="00ED71FB">
        <w:rPr>
          <w:snapToGrid w:val="0"/>
        </w:rPr>
        <w:t xml:space="preserve"> </w:t>
      </w:r>
      <w:r>
        <w:rPr>
          <w:snapToGrid w:val="0"/>
        </w:rPr>
        <w:t>lakes</w:t>
      </w:r>
      <w:r w:rsidRPr="00ED71FB">
        <w:rPr>
          <w:snapToGrid w:val="0"/>
        </w:rPr>
        <w:t>, trends were unknown.</w:t>
      </w:r>
    </w:p>
    <w:p w:rsidR="00485094" w:rsidRPr="00ED71FB" w:rsidRDefault="00485094" w:rsidP="005F5866">
      <w:pPr>
        <w:autoSpaceDE w:val="0"/>
        <w:autoSpaceDN w:val="0"/>
        <w:adjustRightInd w:val="0"/>
        <w:rPr>
          <w:rFonts w:ascii="Arial" w:hAnsi="Arial" w:cs="Arial"/>
          <w:bCs/>
          <w:sz w:val="22"/>
          <w:szCs w:val="22"/>
        </w:rPr>
      </w:pPr>
    </w:p>
    <w:p w:rsidR="00485094" w:rsidRPr="00F77C15" w:rsidRDefault="00485094" w:rsidP="005F5866">
      <w:pPr>
        <w:autoSpaceDE w:val="0"/>
        <w:autoSpaceDN w:val="0"/>
        <w:adjustRightInd w:val="0"/>
        <w:rPr>
          <w:rFonts w:ascii="Arial" w:hAnsi="Arial" w:cs="Arial"/>
          <w:bCs/>
          <w:sz w:val="22"/>
          <w:szCs w:val="22"/>
        </w:rPr>
      </w:pPr>
      <w:r w:rsidRPr="00F77C15">
        <w:rPr>
          <w:rFonts w:ascii="Arial" w:hAnsi="Arial" w:cs="Arial"/>
          <w:bCs/>
          <w:sz w:val="22"/>
          <w:szCs w:val="22"/>
        </w:rPr>
        <w:t>Trend analysis was accomplished using quarterly waterbody medians of nitrogen, phosphorus and chlorophyll</w:t>
      </w:r>
      <w:r>
        <w:rPr>
          <w:rFonts w:ascii="Arial" w:hAnsi="Arial" w:cs="Arial"/>
          <w:bCs/>
          <w:sz w:val="22"/>
          <w:szCs w:val="22"/>
        </w:rPr>
        <w:t xml:space="preserve"> </w:t>
      </w:r>
      <w:r w:rsidRPr="00D47239">
        <w:rPr>
          <w:rFonts w:ascii="Arial" w:hAnsi="Arial" w:cs="Arial"/>
          <w:bCs/>
          <w:i/>
          <w:sz w:val="22"/>
          <w:szCs w:val="22"/>
        </w:rPr>
        <w:t>a</w:t>
      </w:r>
      <w:r w:rsidRPr="00F77C15">
        <w:rPr>
          <w:rFonts w:ascii="Arial" w:hAnsi="Arial" w:cs="Arial"/>
          <w:bCs/>
          <w:sz w:val="22"/>
          <w:szCs w:val="22"/>
        </w:rPr>
        <w:t xml:space="preserve"> </w:t>
      </w:r>
      <w:r>
        <w:rPr>
          <w:rFonts w:ascii="Arial" w:hAnsi="Arial" w:cs="Arial"/>
          <w:bCs/>
          <w:sz w:val="22"/>
          <w:szCs w:val="22"/>
        </w:rPr>
        <w:t xml:space="preserve">from </w:t>
      </w:r>
      <w:r w:rsidRPr="00F77C15">
        <w:rPr>
          <w:rFonts w:ascii="Arial" w:hAnsi="Arial" w:cs="Arial"/>
          <w:bCs/>
          <w:sz w:val="22"/>
          <w:szCs w:val="22"/>
        </w:rPr>
        <w:t>199</w:t>
      </w:r>
      <w:r>
        <w:rPr>
          <w:rFonts w:ascii="Arial" w:hAnsi="Arial" w:cs="Arial"/>
          <w:bCs/>
          <w:sz w:val="22"/>
          <w:szCs w:val="22"/>
        </w:rPr>
        <w:t xml:space="preserve">9 through </w:t>
      </w:r>
      <w:r w:rsidRPr="00F77C15">
        <w:rPr>
          <w:rFonts w:ascii="Arial" w:hAnsi="Arial" w:cs="Arial"/>
          <w:bCs/>
          <w:sz w:val="22"/>
          <w:szCs w:val="22"/>
        </w:rPr>
        <w:t>200</w:t>
      </w:r>
      <w:r>
        <w:rPr>
          <w:rFonts w:ascii="Arial" w:hAnsi="Arial" w:cs="Arial"/>
          <w:bCs/>
          <w:sz w:val="22"/>
          <w:szCs w:val="22"/>
        </w:rPr>
        <w:t>8</w:t>
      </w:r>
      <w:r w:rsidRPr="00F77C15">
        <w:rPr>
          <w:rFonts w:ascii="Arial" w:hAnsi="Arial" w:cs="Arial"/>
          <w:bCs/>
          <w:sz w:val="22"/>
          <w:szCs w:val="22"/>
        </w:rPr>
        <w:t xml:space="preserve">.  Only waterbodies with at least 10 years </w:t>
      </w:r>
      <w:r>
        <w:rPr>
          <w:rFonts w:ascii="Arial" w:hAnsi="Arial" w:cs="Arial"/>
          <w:bCs/>
          <w:sz w:val="22"/>
          <w:szCs w:val="22"/>
        </w:rPr>
        <w:t xml:space="preserve">of </w:t>
      </w:r>
      <w:r w:rsidRPr="00F77C15">
        <w:rPr>
          <w:rFonts w:ascii="Arial" w:hAnsi="Arial" w:cs="Arial"/>
          <w:bCs/>
          <w:sz w:val="22"/>
          <w:szCs w:val="22"/>
        </w:rPr>
        <w:t xml:space="preserve">data were used in the Spearman rank-order nonparametric correlation (correlations had to be significant at the 95% confidence level). </w:t>
      </w:r>
    </w:p>
    <w:p w:rsidR="00485094" w:rsidRDefault="00485094" w:rsidP="005F5866">
      <w:pPr>
        <w:pStyle w:val="Bodytext"/>
        <w:rPr>
          <w:snapToGrid w:val="0"/>
        </w:rPr>
      </w:pPr>
    </w:p>
    <w:p w:rsidR="00485094" w:rsidRDefault="00485094" w:rsidP="0041391B">
      <w:pPr>
        <w:pStyle w:val="Heading3"/>
      </w:pPr>
      <w:bookmarkStart w:id="615" w:name="_Toc255822560"/>
      <w:bookmarkStart w:id="616" w:name="_Toc271794370"/>
      <w:r w:rsidRPr="0022335E">
        <w:t>Approaches to Controlling Lake Pollution</w:t>
      </w:r>
      <w:r>
        <w:t xml:space="preserve"> and Lake Water Quality</w:t>
      </w:r>
      <w:bookmarkEnd w:id="615"/>
      <w:bookmarkEnd w:id="616"/>
    </w:p>
    <w:p w:rsidR="00485094" w:rsidRPr="001C2211" w:rsidRDefault="00485094" w:rsidP="005F5866">
      <w:pPr>
        <w:pStyle w:val="Bodytext"/>
        <w:rPr>
          <w:highlight w:val="cyan"/>
        </w:rPr>
      </w:pPr>
      <w:r w:rsidRPr="00AA4EFD">
        <w:t xml:space="preserve">The TMDL </w:t>
      </w:r>
      <w:r>
        <w:t>assessment process</w:t>
      </w:r>
      <w:r w:rsidRPr="00AA4EFD">
        <w:t xml:space="preserve"> described </w:t>
      </w:r>
      <w:r>
        <w:t>i</w:t>
      </w:r>
      <w:r w:rsidRPr="00AA4EFD">
        <w:t xml:space="preserve">n </w:t>
      </w:r>
      <w:hyperlink w:anchor="_Chapter_7._" w:history="1">
        <w:r w:rsidRPr="00CA461C">
          <w:rPr>
            <w:rStyle w:val="Hyperlink"/>
          </w:rPr>
          <w:t>Chapter 7</w:t>
        </w:r>
      </w:hyperlink>
      <w:r>
        <w:t xml:space="preserve"> </w:t>
      </w:r>
      <w:r w:rsidRPr="00AA4EFD">
        <w:t xml:space="preserve">provides an approach to controlling </w:t>
      </w:r>
      <w:r>
        <w:t xml:space="preserve">the </w:t>
      </w:r>
      <w:r w:rsidRPr="00AA4EFD">
        <w:t xml:space="preserve">point and nonpoint source pollution entering </w:t>
      </w:r>
      <w:r>
        <w:t xml:space="preserve">Florida’s </w:t>
      </w:r>
      <w:r w:rsidRPr="00AA4EFD">
        <w:t>lakes</w:t>
      </w:r>
      <w:r>
        <w:t xml:space="preserve"> and restoring lake water quality</w:t>
      </w:r>
      <w:r w:rsidRPr="00AA4EFD">
        <w:t xml:space="preserve">.  </w:t>
      </w:r>
      <w:r>
        <w:t xml:space="preserve">In particular, the BMAPs developed for impaired waterbodies describe specific management activities and BMPs for reducing pollution.  Each BMAP also provides interim and final targets for evaluating water quality improvements, a mechanism for tracking the implementation of management actions, procedures for monitoring and reporting on progress, data management </w:t>
      </w:r>
      <w:r>
        <w:lastRenderedPageBreak/>
        <w:t>and QA/QC procedures, a description of methods used to evaluate progress towards goals, a strategy and schedule for periodically reporting results to the public, and procedures to determine whether additional corrective actions are needed and whether plan components need to be revised.</w:t>
      </w:r>
    </w:p>
    <w:p w:rsidR="00485094" w:rsidRPr="00E00021" w:rsidRDefault="00485094" w:rsidP="005F5866">
      <w:pPr>
        <w:autoSpaceDE w:val="0"/>
        <w:autoSpaceDN w:val="0"/>
        <w:adjustRightInd w:val="0"/>
        <w:rPr>
          <w:rFonts w:ascii="Arial" w:hAnsi="Arial" w:cs="Arial"/>
          <w:bCs/>
          <w:sz w:val="22"/>
          <w:szCs w:val="22"/>
        </w:rPr>
      </w:pPr>
    </w:p>
    <w:p w:rsidR="00485094" w:rsidRDefault="00485094" w:rsidP="0041391B">
      <w:pPr>
        <w:pStyle w:val="Heading3"/>
      </w:pPr>
      <w:bookmarkStart w:id="617" w:name="_Toc255822562"/>
      <w:bookmarkStart w:id="618" w:name="_Toc271794371"/>
      <w:r w:rsidRPr="0022335E">
        <w:t>Publicly Owned Lakes with Impaired Uses</w:t>
      </w:r>
      <w:bookmarkEnd w:id="617"/>
      <w:bookmarkEnd w:id="618"/>
    </w:p>
    <w:p w:rsidR="00485094" w:rsidRPr="00F105D3" w:rsidRDefault="00485094" w:rsidP="005F5866">
      <w:pPr>
        <w:pStyle w:val="Bodytext"/>
        <w:rPr>
          <w:b/>
        </w:rPr>
      </w:pPr>
      <w:r w:rsidRPr="00832476">
        <w:t>Florida has a number of publicly</w:t>
      </w:r>
      <w:r w:rsidRPr="00010E67">
        <w:t xml:space="preserve"> owned lakes </w:t>
      </w:r>
      <w:r>
        <w:t xml:space="preserve">that </w:t>
      </w:r>
      <w:r w:rsidRPr="00010E67">
        <w:t>are known to be impaired</w:t>
      </w:r>
      <w:r>
        <w:t>.  These include</w:t>
      </w:r>
      <w:r w:rsidRPr="00010E67">
        <w:t xml:space="preserve"> lakes that do not meet applicable </w:t>
      </w:r>
      <w:r>
        <w:t>water quality standards</w:t>
      </w:r>
      <w:r w:rsidRPr="00010E67">
        <w:t xml:space="preserve"> or that require</w:t>
      </w:r>
      <w:r>
        <w:t xml:space="preserve"> the</w:t>
      </w:r>
      <w:r w:rsidRPr="00010E67">
        <w:t xml:space="preserve"> implementation of control programs to maintain compliance with applicable standards</w:t>
      </w:r>
      <w:r>
        <w:t xml:space="preserve">.  </w:t>
      </w:r>
      <w:r w:rsidRPr="001601D8">
        <w:rPr>
          <w:b/>
        </w:rPr>
        <w:t xml:space="preserve">Appendix </w:t>
      </w:r>
      <w:r>
        <w:rPr>
          <w:b/>
        </w:rPr>
        <w:t>E</w:t>
      </w:r>
      <w:r>
        <w:t xml:space="preserve"> lists alphabetically the impaired lakes in the state, the parameter causing impairment, the basin group, and the river basin within which each lake is located.</w:t>
      </w:r>
    </w:p>
    <w:p w:rsidR="00485094" w:rsidRDefault="00485094" w:rsidP="005F5866">
      <w:pPr>
        <w:autoSpaceDE w:val="0"/>
        <w:autoSpaceDN w:val="0"/>
        <w:adjustRightInd w:val="0"/>
        <w:rPr>
          <w:rFonts w:ascii="Arial" w:hAnsi="Arial" w:cs="Arial"/>
          <w:bCs/>
          <w:sz w:val="22"/>
          <w:szCs w:val="22"/>
        </w:rPr>
      </w:pPr>
    </w:p>
    <w:p w:rsidR="00485094" w:rsidRPr="00312FC8" w:rsidRDefault="00485094" w:rsidP="0041391B">
      <w:pPr>
        <w:pStyle w:val="Heading2"/>
      </w:pPr>
      <w:bookmarkStart w:id="619" w:name="_Toc254269895"/>
      <w:bookmarkStart w:id="620" w:name="_Toc255822563"/>
      <w:bookmarkStart w:id="621" w:name="_Toc271794372"/>
      <w:r w:rsidRPr="00312FC8">
        <w:t>Drinking Water</w:t>
      </w:r>
      <w:bookmarkEnd w:id="619"/>
      <w:bookmarkEnd w:id="620"/>
      <w:bookmarkEnd w:id="621"/>
    </w:p>
    <w:p w:rsidR="00485094" w:rsidRDefault="00485094" w:rsidP="005F5866">
      <w:pPr>
        <w:pStyle w:val="Bodytext"/>
        <w:rPr>
          <w:snapToGrid w:val="0"/>
        </w:rPr>
      </w:pPr>
      <w:r>
        <w:rPr>
          <w:snapToGrid w:val="0"/>
        </w:rPr>
        <w:t>Surface waters supply only about 13% of Florida's drinking water.  Of 5,634 public drinking water systems statewide, 18 obtain their water from surface water.  An additional 53 systems wholly or partially purchase water from these 18 systems.  Because it is expensive to operate a surface water system (given that filtration and advanced disinfection are costly), most are large.</w:t>
      </w:r>
    </w:p>
    <w:p w:rsidR="00485094" w:rsidRDefault="00485094" w:rsidP="005F5866">
      <w:pPr>
        <w:pStyle w:val="Bodytext"/>
        <w:rPr>
          <w:snapToGrid w:val="0"/>
        </w:rPr>
      </w:pPr>
    </w:p>
    <w:p w:rsidR="00485094" w:rsidRDefault="00485094" w:rsidP="00D21F4A">
      <w:pPr>
        <w:pStyle w:val="Bodytext"/>
        <w:rPr>
          <w:snapToGrid w:val="0"/>
        </w:rPr>
      </w:pPr>
      <w:r>
        <w:t xml:space="preserve">While earlier </w:t>
      </w:r>
      <w:r w:rsidRPr="007B13C0">
        <w:t>sections o</w:t>
      </w:r>
      <w:r>
        <w:t>f this chapter</w:t>
      </w:r>
      <w:r w:rsidRPr="007B13C0">
        <w:t xml:space="preserve"> discussed impaired waters by waterbody type</w:t>
      </w:r>
      <w:r>
        <w:t>, t</w:t>
      </w:r>
      <w:r w:rsidRPr="007B13C0">
        <w:t xml:space="preserve">his section provides assessment results </w:t>
      </w:r>
      <w:r>
        <w:t xml:space="preserve">for waterbodies designated as Class I, potable water supply.  </w:t>
      </w:r>
      <w:r>
        <w:rPr>
          <w:snapToGrid w:val="0"/>
        </w:rPr>
        <w:t xml:space="preserve">To determine the attainment of water quality standards, the data for all Class I rivers/streams and lakes in the state were assessed against all criteria associated with those waters, not just those designated to potable water supply.  Class I waters must also protect general human health, aquatic life, and allow for the protection of fish and wildlife, and recreational uses.  In fact, the criteria not being attained in Class I waters are those that support Class III uses, not necessarily those uses associated with providing safe drinking water.  </w:t>
      </w:r>
      <w:r w:rsidRPr="00CA461C">
        <w:rPr>
          <w:b/>
          <w:i/>
          <w:snapToGrid w:val="0"/>
        </w:rPr>
        <w:t>Table 8.</w:t>
      </w:r>
      <w:r>
        <w:rPr>
          <w:b/>
          <w:i/>
          <w:snapToGrid w:val="0"/>
        </w:rPr>
        <w:t>5</w:t>
      </w:r>
      <w:r>
        <w:rPr>
          <w:snapToGrid w:val="0"/>
        </w:rPr>
        <w:t xml:space="preserve"> lists the total miles of rivers/streams and acres of lakes/reservoirs designated for drinking water use, and </w:t>
      </w:r>
      <w:r w:rsidRPr="00CA461C">
        <w:rPr>
          <w:b/>
          <w:i/>
          <w:snapToGrid w:val="0"/>
        </w:rPr>
        <w:t>Table 8.</w:t>
      </w:r>
      <w:r>
        <w:rPr>
          <w:b/>
          <w:i/>
          <w:snapToGrid w:val="0"/>
        </w:rPr>
        <w:t>6</w:t>
      </w:r>
      <w:r>
        <w:rPr>
          <w:snapToGrid w:val="0"/>
        </w:rPr>
        <w:t xml:space="preserve"> lists the miles of rivers/streams and acres of lakes/reservoirs designated for drinking water use that are assigned to each of the EPA’s five reporting categories.  Note that Lake Okeechobee is a Class I waterbody, and it comprises 435,840 acres of the total 490,356 lake acres that are currently impaired.</w:t>
      </w:r>
    </w:p>
    <w:p w:rsidR="00485094" w:rsidRDefault="00485094" w:rsidP="005F5866">
      <w:pPr>
        <w:pStyle w:val="Bodytext"/>
        <w:rPr>
          <w:snapToGrid w:val="0"/>
        </w:rPr>
      </w:pPr>
    </w:p>
    <w:p w:rsidR="00485094" w:rsidRDefault="00485094" w:rsidP="005F5866">
      <w:pPr>
        <w:pStyle w:val="Bodytext"/>
        <w:rPr>
          <w:snapToGrid w:val="0"/>
        </w:rPr>
      </w:pPr>
    </w:p>
    <w:p w:rsidR="00485094" w:rsidRDefault="00485094">
      <w:pPr>
        <w:pStyle w:val="Tableheading"/>
      </w:pPr>
      <w:bookmarkStart w:id="622" w:name="_Toc254267143"/>
      <w:bookmarkStart w:id="623" w:name="_Toc255807517"/>
      <w:bookmarkStart w:id="624" w:name="_Toc271889870"/>
      <w:r w:rsidRPr="00BD1516">
        <w:t>Table 8.</w:t>
      </w:r>
      <w:r>
        <w:t>5</w:t>
      </w:r>
      <w:r w:rsidRPr="00BD1516">
        <w:t>.  Total Miles of Rivers/Streams and Acres of Lakes/Reservoirs Designated for Drinking Water Use</w:t>
      </w:r>
      <w:bookmarkEnd w:id="622"/>
      <w:bookmarkEnd w:id="623"/>
      <w:bookmarkEnd w:id="624"/>
    </w:p>
    <w:p w:rsidR="00485094" w:rsidRDefault="00485094" w:rsidP="00C84B1C">
      <w:pPr>
        <w:pStyle w:val="TabledescriptionBF"/>
      </w:pPr>
      <w:r>
        <w:t>This is a three-column table.  Column 1 lists the waterbody type, Column 2 lists the number of waterbodies in the state designated for drinking water use, and Column 3 lists the stream miles and lake acres with that designation.</w:t>
      </w:r>
    </w:p>
    <w:p w:rsidR="00485094" w:rsidRPr="00BD1516" w:rsidRDefault="00485094" w:rsidP="00C84B1C">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262"/>
        <w:gridCol w:w="1031"/>
        <w:gridCol w:w="1620"/>
      </w:tblGrid>
      <w:tr w:rsidR="00485094" w:rsidRPr="006D266D" w:rsidTr="001C044D">
        <w:trPr>
          <w:trHeight w:val="288"/>
          <w:jc w:val="center"/>
        </w:trPr>
        <w:tc>
          <w:tcPr>
            <w:tcW w:w="1262"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Waterbody Type</w:t>
            </w:r>
          </w:p>
        </w:tc>
        <w:tc>
          <w:tcPr>
            <w:tcW w:w="1031"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Number</w:t>
            </w:r>
          </w:p>
        </w:tc>
        <w:tc>
          <w:tcPr>
            <w:tcW w:w="1620" w:type="dxa"/>
            <w:tcBorders>
              <w:bottom w:val="double" w:sz="4" w:space="0" w:color="auto"/>
            </w:tcBorders>
            <w:shd w:val="clear" w:color="auto" w:fill="BDFFFF"/>
            <w:vAlign w:val="bottom"/>
          </w:tcPr>
          <w:p w:rsidR="00485094" w:rsidRPr="006D266D" w:rsidRDefault="00485094" w:rsidP="001C044D">
            <w:pPr>
              <w:pStyle w:val="TableText"/>
              <w:jc w:val="center"/>
              <w:rPr>
                <w:b/>
                <w:bCs/>
                <w:i/>
              </w:rPr>
            </w:pPr>
            <w:r w:rsidRPr="006D266D">
              <w:rPr>
                <w:b/>
                <w:bCs/>
                <w:i/>
              </w:rPr>
              <w:t>Total in State</w:t>
            </w:r>
          </w:p>
        </w:tc>
      </w:tr>
      <w:tr w:rsidR="00485094" w:rsidTr="00BD1516">
        <w:trPr>
          <w:trHeight w:val="288"/>
          <w:jc w:val="center"/>
        </w:trPr>
        <w:tc>
          <w:tcPr>
            <w:tcW w:w="1262" w:type="dxa"/>
            <w:tcBorders>
              <w:top w:val="double" w:sz="4" w:space="0" w:color="auto"/>
            </w:tcBorders>
            <w:shd w:val="clear" w:color="auto" w:fill="FFFFCC"/>
            <w:vAlign w:val="center"/>
          </w:tcPr>
          <w:p w:rsidR="00485094" w:rsidRDefault="00485094" w:rsidP="005F5866">
            <w:pPr>
              <w:pStyle w:val="TableText"/>
              <w:jc w:val="center"/>
            </w:pPr>
            <w:r>
              <w:t>Streams</w:t>
            </w:r>
          </w:p>
        </w:tc>
        <w:tc>
          <w:tcPr>
            <w:tcW w:w="1031" w:type="dxa"/>
            <w:tcBorders>
              <w:top w:val="double" w:sz="4" w:space="0" w:color="auto"/>
            </w:tcBorders>
            <w:vAlign w:val="center"/>
          </w:tcPr>
          <w:p w:rsidR="00485094" w:rsidRDefault="00485094" w:rsidP="005F5866">
            <w:pPr>
              <w:pStyle w:val="TableText"/>
              <w:jc w:val="center"/>
            </w:pPr>
            <w:r>
              <w:t>90</w:t>
            </w:r>
          </w:p>
        </w:tc>
        <w:tc>
          <w:tcPr>
            <w:tcW w:w="1620" w:type="dxa"/>
            <w:tcBorders>
              <w:top w:val="double" w:sz="4" w:space="0" w:color="auto"/>
            </w:tcBorders>
            <w:vAlign w:val="center"/>
          </w:tcPr>
          <w:p w:rsidR="00485094" w:rsidRDefault="00485094" w:rsidP="005F5866">
            <w:pPr>
              <w:pStyle w:val="TableText"/>
              <w:jc w:val="center"/>
            </w:pPr>
            <w:r>
              <w:t>556 miles</w:t>
            </w:r>
          </w:p>
        </w:tc>
      </w:tr>
      <w:tr w:rsidR="00485094" w:rsidTr="00BD1516">
        <w:trPr>
          <w:trHeight w:val="288"/>
          <w:jc w:val="center"/>
        </w:trPr>
        <w:tc>
          <w:tcPr>
            <w:tcW w:w="1262" w:type="dxa"/>
            <w:shd w:val="clear" w:color="auto" w:fill="FFFFCC"/>
            <w:vAlign w:val="center"/>
          </w:tcPr>
          <w:p w:rsidR="00485094" w:rsidRDefault="00485094" w:rsidP="005F5866">
            <w:pPr>
              <w:pStyle w:val="TableText"/>
              <w:jc w:val="center"/>
            </w:pPr>
            <w:r>
              <w:t>Lakes</w:t>
            </w:r>
          </w:p>
        </w:tc>
        <w:tc>
          <w:tcPr>
            <w:tcW w:w="1031" w:type="dxa"/>
            <w:vAlign w:val="center"/>
          </w:tcPr>
          <w:p w:rsidR="00485094" w:rsidRDefault="00485094" w:rsidP="005F5866">
            <w:pPr>
              <w:pStyle w:val="TableText"/>
              <w:jc w:val="center"/>
            </w:pPr>
            <w:r>
              <w:t>24</w:t>
            </w:r>
          </w:p>
        </w:tc>
        <w:tc>
          <w:tcPr>
            <w:tcW w:w="1620" w:type="dxa"/>
            <w:vAlign w:val="center"/>
          </w:tcPr>
          <w:p w:rsidR="00485094" w:rsidRDefault="00485094" w:rsidP="005F5866">
            <w:pPr>
              <w:pStyle w:val="TableText"/>
              <w:jc w:val="center"/>
            </w:pPr>
            <w:r>
              <w:t>501,170 acres</w:t>
            </w:r>
          </w:p>
        </w:tc>
      </w:tr>
    </w:tbl>
    <w:p w:rsidR="00485094" w:rsidRDefault="00485094">
      <w:pPr>
        <w:pStyle w:val="Bodytextreduced"/>
      </w:pPr>
    </w:p>
    <w:p w:rsidR="00485094" w:rsidRDefault="00485094">
      <w:pPr>
        <w:pStyle w:val="Bodytextreduced"/>
      </w:pPr>
      <w:bookmarkStart w:id="625" w:name="_Toc254267144"/>
      <w:bookmarkStart w:id="626" w:name="_Toc255807518"/>
    </w:p>
    <w:p w:rsidR="00485094" w:rsidRDefault="00485094">
      <w:pPr>
        <w:rPr>
          <w:rFonts w:ascii="Arial" w:hAnsi="Arial"/>
          <w:b/>
          <w:i/>
          <w:sz w:val="20"/>
          <w:szCs w:val="20"/>
        </w:rPr>
      </w:pPr>
      <w:r>
        <w:br w:type="page"/>
      </w:r>
    </w:p>
    <w:p w:rsidR="00485094" w:rsidRDefault="00485094">
      <w:pPr>
        <w:pStyle w:val="Tableheading"/>
      </w:pPr>
      <w:bookmarkStart w:id="627" w:name="_Toc271889871"/>
      <w:r w:rsidRPr="00CA461C">
        <w:lastRenderedPageBreak/>
        <w:t>Table 8.6.  Miles of Rivers/Streams and Acres of Lakes/Reservoirs Designated for Drinking Water Use that Are Assigned to Each of the EPA’s Five Reporting Categories</w:t>
      </w:r>
      <w:bookmarkEnd w:id="625"/>
      <w:bookmarkEnd w:id="626"/>
      <w:bookmarkEnd w:id="627"/>
    </w:p>
    <w:p w:rsidR="00485094" w:rsidRDefault="00485094" w:rsidP="00BD1516">
      <w:pPr>
        <w:pStyle w:val="TabledescriptionBF"/>
      </w:pPr>
      <w:r>
        <w:t>This is a five-column table.  Column 1 lists the waterbody type, Column 2 lists the number of waterbodies, Column 3 lists the stream miles and lake acres, Column 4 lists the EPA category, and Column 5 lists the assessment status.</w:t>
      </w:r>
    </w:p>
    <w:p w:rsidR="00485094" w:rsidRDefault="00485094" w:rsidP="00BD1516">
      <w:pPr>
        <w:pStyle w:val="TabledescriptionBF"/>
      </w:pPr>
    </w:p>
    <w:p w:rsidR="00485094" w:rsidRPr="006B65A3" w:rsidRDefault="00485094" w:rsidP="00BD1516">
      <w:pPr>
        <w:pStyle w:val="Bodytextreduced"/>
      </w:pPr>
      <w:r w:rsidRPr="00BD1516">
        <w:rPr>
          <w:vertAlign w:val="superscript"/>
        </w:rPr>
        <w:t>1</w:t>
      </w:r>
      <w:r w:rsidRPr="00BD1516">
        <w:t xml:space="preserve"> </w:t>
      </w:r>
      <w:r w:rsidRPr="006B65A3">
        <w:t>The EPA’s Integrated Report categories are as follows:</w:t>
      </w:r>
    </w:p>
    <w:p w:rsidR="00485094" w:rsidRPr="006B65A3" w:rsidRDefault="00485094" w:rsidP="00BD1516">
      <w:pPr>
        <w:pStyle w:val="Bodytextreduced"/>
        <w:ind w:left="900" w:hanging="360"/>
      </w:pPr>
      <w:r w:rsidRPr="006B65A3">
        <w:t>1</w:t>
      </w:r>
      <w:r>
        <w:t xml:space="preserve"> = </w:t>
      </w:r>
      <w:r w:rsidRPr="006B65A3">
        <w:t>Attains all designated uses;</w:t>
      </w:r>
    </w:p>
    <w:p w:rsidR="00485094" w:rsidRPr="006B65A3" w:rsidRDefault="00485094" w:rsidP="00BD1516">
      <w:pPr>
        <w:pStyle w:val="Bodytextreduced"/>
        <w:ind w:left="900" w:hanging="360"/>
      </w:pPr>
      <w:r w:rsidRPr="006B65A3">
        <w:t>2</w:t>
      </w:r>
      <w:r>
        <w:t xml:space="preserve"> = </w:t>
      </w:r>
      <w:r w:rsidRPr="006B65A3">
        <w:t>Attains some designated uses;</w:t>
      </w:r>
    </w:p>
    <w:p w:rsidR="00485094" w:rsidRPr="006B65A3" w:rsidRDefault="00485094" w:rsidP="00BD1516">
      <w:pPr>
        <w:pStyle w:val="Bodytextreduced"/>
        <w:ind w:left="900" w:hanging="360"/>
      </w:pPr>
      <w:r w:rsidRPr="006B65A3">
        <w:t>3a</w:t>
      </w:r>
      <w:r>
        <w:t xml:space="preserve"> = </w:t>
      </w:r>
      <w:r w:rsidRPr="006B65A3">
        <w:t>No data and information are available to determine if any designated use is attained;</w:t>
      </w:r>
    </w:p>
    <w:p w:rsidR="00485094" w:rsidRPr="006B65A3" w:rsidRDefault="00485094" w:rsidP="00BD1516">
      <w:pPr>
        <w:pStyle w:val="Bodytextreduced"/>
        <w:ind w:left="900" w:hanging="360"/>
      </w:pPr>
      <w:r w:rsidRPr="006B65A3">
        <w:t>3b</w:t>
      </w:r>
      <w:r>
        <w:t xml:space="preserve"> = </w:t>
      </w:r>
      <w:r w:rsidRPr="006B65A3">
        <w:t>Some data and information are available, but they are insufficient for determining if any designated use is attained;</w:t>
      </w:r>
    </w:p>
    <w:p w:rsidR="00485094" w:rsidRPr="006B65A3" w:rsidRDefault="00485094" w:rsidP="00BD1516">
      <w:pPr>
        <w:pStyle w:val="Bodytextreduced"/>
        <w:ind w:left="900" w:hanging="360"/>
      </w:pPr>
      <w:r w:rsidRPr="006B65A3">
        <w:t>3c</w:t>
      </w:r>
      <w:r>
        <w:t xml:space="preserve"> = </w:t>
      </w:r>
      <w:r w:rsidRPr="006B65A3">
        <w:t>Meets Planning List criteria and is potentially impaired for one or more designated uses;</w:t>
      </w:r>
    </w:p>
    <w:p w:rsidR="00485094" w:rsidRPr="006B65A3" w:rsidRDefault="00485094" w:rsidP="00BD1516">
      <w:pPr>
        <w:pStyle w:val="Bodytextreduced"/>
        <w:ind w:left="900" w:hanging="360"/>
      </w:pPr>
      <w:r w:rsidRPr="006B65A3">
        <w:t>3d</w:t>
      </w:r>
      <w:r>
        <w:t xml:space="preserve"> = </w:t>
      </w:r>
      <w:r w:rsidRPr="006B65A3">
        <w:t>Meets Verified List criteria and is potentially impaired for one or more designated uses;</w:t>
      </w:r>
    </w:p>
    <w:p w:rsidR="00485094" w:rsidRPr="006B65A3" w:rsidRDefault="00485094" w:rsidP="00BD1516">
      <w:pPr>
        <w:pStyle w:val="Bodytextreduced"/>
        <w:ind w:left="900" w:hanging="360"/>
      </w:pPr>
      <w:r w:rsidRPr="006B65A3">
        <w:t>4a</w:t>
      </w:r>
      <w:r>
        <w:t xml:space="preserve"> = </w:t>
      </w:r>
      <w:r w:rsidRPr="006B65A3">
        <w:t>Impaired for one or more designated uses and the TMDL is complete;</w:t>
      </w:r>
    </w:p>
    <w:p w:rsidR="00485094" w:rsidRPr="006B65A3" w:rsidRDefault="00485094" w:rsidP="00BD1516">
      <w:pPr>
        <w:pStyle w:val="Bodytextreduced"/>
        <w:ind w:left="900" w:hanging="360"/>
      </w:pPr>
      <w:r w:rsidRPr="006B65A3">
        <w:t>4b</w:t>
      </w:r>
      <w:r>
        <w:t xml:space="preserve"> = </w:t>
      </w:r>
      <w:r w:rsidRPr="006B65A3">
        <w:t xml:space="preserve">Impaired for one or more designated uses, but no TMDL is required because an existing or proposed pollutant control mechanism provides reasonable assurance that the water will attain standards in the future; </w:t>
      </w:r>
    </w:p>
    <w:p w:rsidR="00485094" w:rsidRPr="006B65A3" w:rsidRDefault="00485094" w:rsidP="00BD1516">
      <w:pPr>
        <w:pStyle w:val="Bodytextreduced"/>
        <w:ind w:left="900" w:hanging="360"/>
      </w:pPr>
      <w:r w:rsidRPr="006B65A3">
        <w:t>4c</w:t>
      </w:r>
      <w:r>
        <w:t xml:space="preserve"> = </w:t>
      </w:r>
      <w:r w:rsidRPr="006B65A3">
        <w:t>Impaired for one or more designated uses but no TMDL is required because the impairment is not caused by a pollutant; and</w:t>
      </w:r>
    </w:p>
    <w:p w:rsidR="00485094" w:rsidRPr="00BD1516" w:rsidRDefault="00485094" w:rsidP="00BD1516">
      <w:pPr>
        <w:pStyle w:val="Bodytextreduced"/>
        <w:ind w:left="900" w:hanging="360"/>
      </w:pPr>
      <w:r w:rsidRPr="006B65A3">
        <w:t>5</w:t>
      </w:r>
      <w:r>
        <w:t xml:space="preserve"> = </w:t>
      </w:r>
      <w:r w:rsidRPr="006B65A3">
        <w:t>Water quality standards are not attained and a TMDL is required.</w:t>
      </w:r>
    </w:p>
    <w:tbl>
      <w:tblPr>
        <w:tblW w:w="8912"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82"/>
        <w:gridCol w:w="1530"/>
        <w:gridCol w:w="1800"/>
        <w:gridCol w:w="1800"/>
        <w:gridCol w:w="1800"/>
      </w:tblGrid>
      <w:tr w:rsidR="00485094" w:rsidRPr="006D266D" w:rsidTr="00E86B70">
        <w:trPr>
          <w:trHeight w:val="458"/>
          <w:jc w:val="center"/>
        </w:trPr>
        <w:tc>
          <w:tcPr>
            <w:tcW w:w="1982"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Waterbody Type</w:t>
            </w:r>
          </w:p>
        </w:tc>
        <w:tc>
          <w:tcPr>
            <w:tcW w:w="153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Number of Waterbodies</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Stream Miles</w:t>
            </w:r>
          </w:p>
          <w:p w:rsidR="00485094" w:rsidRPr="006D266D" w:rsidRDefault="00485094" w:rsidP="00BD1516">
            <w:pPr>
              <w:pStyle w:val="TableText"/>
              <w:jc w:val="center"/>
              <w:rPr>
                <w:b/>
                <w:i/>
              </w:rPr>
            </w:pPr>
            <w:r w:rsidRPr="006D266D">
              <w:rPr>
                <w:b/>
                <w:i/>
              </w:rPr>
              <w:t>and Lake Acres</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EPA Category</w:t>
            </w:r>
            <w:r w:rsidRPr="00BD1516">
              <w:rPr>
                <w:b/>
                <w:i/>
                <w:vertAlign w:val="superscript"/>
              </w:rPr>
              <w:t>1</w:t>
            </w:r>
          </w:p>
        </w:tc>
        <w:tc>
          <w:tcPr>
            <w:tcW w:w="1800" w:type="dxa"/>
            <w:tcBorders>
              <w:bottom w:val="double" w:sz="4" w:space="0" w:color="auto"/>
            </w:tcBorders>
            <w:shd w:val="clear" w:color="auto" w:fill="BDFFFF"/>
            <w:vAlign w:val="bottom"/>
          </w:tcPr>
          <w:p w:rsidR="00485094" w:rsidRPr="006D266D" w:rsidRDefault="00485094" w:rsidP="00BD1516">
            <w:pPr>
              <w:pStyle w:val="TableText"/>
              <w:jc w:val="center"/>
              <w:rPr>
                <w:b/>
                <w:i/>
              </w:rPr>
            </w:pPr>
            <w:r w:rsidRPr="006D266D">
              <w:rPr>
                <w:b/>
                <w:i/>
              </w:rPr>
              <w:t>Assessment Status</w:t>
            </w:r>
          </w:p>
        </w:tc>
      </w:tr>
      <w:tr w:rsidR="00485094" w:rsidTr="00BD1516">
        <w:trPr>
          <w:trHeight w:val="288"/>
          <w:jc w:val="center"/>
        </w:trPr>
        <w:tc>
          <w:tcPr>
            <w:tcW w:w="1982" w:type="dxa"/>
            <w:tcBorders>
              <w:top w:val="double" w:sz="4" w:space="0" w:color="auto"/>
            </w:tcBorders>
            <w:vAlign w:val="center"/>
          </w:tcPr>
          <w:p w:rsidR="00485094" w:rsidRDefault="00485094" w:rsidP="005F5866">
            <w:pPr>
              <w:pStyle w:val="TableText"/>
              <w:jc w:val="center"/>
            </w:pPr>
            <w:r>
              <w:t>Rivers/Streams</w:t>
            </w:r>
          </w:p>
        </w:tc>
        <w:tc>
          <w:tcPr>
            <w:tcW w:w="1530" w:type="dxa"/>
            <w:tcBorders>
              <w:top w:val="double" w:sz="4" w:space="0" w:color="auto"/>
            </w:tcBorders>
            <w:vAlign w:val="center"/>
          </w:tcPr>
          <w:p w:rsidR="00485094" w:rsidRDefault="00485094" w:rsidP="005F5866">
            <w:pPr>
              <w:pStyle w:val="TableText"/>
              <w:jc w:val="center"/>
            </w:pPr>
            <w:r>
              <w:t>3</w:t>
            </w:r>
          </w:p>
        </w:tc>
        <w:tc>
          <w:tcPr>
            <w:tcW w:w="1800" w:type="dxa"/>
            <w:tcBorders>
              <w:top w:val="double" w:sz="4" w:space="0" w:color="auto"/>
            </w:tcBorders>
            <w:vAlign w:val="center"/>
          </w:tcPr>
          <w:p w:rsidR="00485094" w:rsidRDefault="00485094" w:rsidP="005F5866">
            <w:pPr>
              <w:pStyle w:val="TableText"/>
              <w:jc w:val="center"/>
            </w:pPr>
            <w:r>
              <w:t>39</w:t>
            </w:r>
          </w:p>
        </w:tc>
        <w:tc>
          <w:tcPr>
            <w:tcW w:w="1800" w:type="dxa"/>
            <w:tcBorders>
              <w:top w:val="double" w:sz="4" w:space="0" w:color="auto"/>
            </w:tcBorders>
            <w:vAlign w:val="center"/>
          </w:tcPr>
          <w:p w:rsidR="00485094" w:rsidRDefault="00485094" w:rsidP="005F5866">
            <w:pPr>
              <w:pStyle w:val="TableText"/>
              <w:jc w:val="center"/>
            </w:pPr>
            <w:r>
              <w:t>2</w:t>
            </w:r>
          </w:p>
        </w:tc>
        <w:tc>
          <w:tcPr>
            <w:tcW w:w="1800" w:type="dxa"/>
            <w:tcBorders>
              <w:top w:val="double" w:sz="4" w:space="0" w:color="auto"/>
            </w:tcBorders>
            <w:vAlign w:val="center"/>
          </w:tcPr>
          <w:p w:rsidR="00485094" w:rsidRDefault="00485094" w:rsidP="005F5866">
            <w:pPr>
              <w:pStyle w:val="TableText"/>
              <w:jc w:val="center"/>
            </w:pPr>
            <w:r>
              <w:t>Meets use</w:t>
            </w:r>
          </w:p>
        </w:tc>
      </w:tr>
      <w:tr w:rsidR="00485094" w:rsidTr="00BD1516">
        <w:trPr>
          <w:trHeight w:val="288"/>
          <w:jc w:val="center"/>
        </w:trPr>
        <w:tc>
          <w:tcPr>
            <w:tcW w:w="1982" w:type="dxa"/>
            <w:vAlign w:val="center"/>
          </w:tcPr>
          <w:p w:rsidR="00485094" w:rsidRPr="00D620A4" w:rsidRDefault="00485094" w:rsidP="005F5866">
            <w:pPr>
              <w:pStyle w:val="TableText"/>
              <w:jc w:val="center"/>
            </w:pPr>
            <w:r>
              <w:t>Rivers/Streams</w:t>
            </w:r>
          </w:p>
        </w:tc>
        <w:tc>
          <w:tcPr>
            <w:tcW w:w="1530" w:type="dxa"/>
            <w:vAlign w:val="center"/>
          </w:tcPr>
          <w:p w:rsidR="00485094" w:rsidRDefault="00485094" w:rsidP="005F5866">
            <w:pPr>
              <w:pStyle w:val="TableText"/>
              <w:jc w:val="center"/>
            </w:pPr>
            <w:r>
              <w:t>17</w:t>
            </w:r>
          </w:p>
        </w:tc>
        <w:tc>
          <w:tcPr>
            <w:tcW w:w="1800" w:type="dxa"/>
            <w:vAlign w:val="center"/>
          </w:tcPr>
          <w:p w:rsidR="00485094" w:rsidRDefault="00485094" w:rsidP="005F5866">
            <w:pPr>
              <w:pStyle w:val="TableText"/>
              <w:jc w:val="center"/>
            </w:pPr>
            <w:r>
              <w:t>69</w:t>
            </w:r>
          </w:p>
        </w:tc>
        <w:tc>
          <w:tcPr>
            <w:tcW w:w="1800" w:type="dxa"/>
            <w:vAlign w:val="center"/>
          </w:tcPr>
          <w:p w:rsidR="00485094" w:rsidRDefault="00485094" w:rsidP="005F5866">
            <w:pPr>
              <w:pStyle w:val="TableText"/>
              <w:jc w:val="center"/>
            </w:pPr>
            <w:r>
              <w:t>3a</w:t>
            </w:r>
          </w:p>
        </w:tc>
        <w:tc>
          <w:tcPr>
            <w:tcW w:w="1800" w:type="dxa"/>
            <w:vAlign w:val="center"/>
          </w:tcPr>
          <w:p w:rsidR="00485094" w:rsidRDefault="00485094" w:rsidP="005F5866">
            <w:pPr>
              <w:pStyle w:val="TableText"/>
              <w:jc w:val="center"/>
            </w:pPr>
            <w:r>
              <w:t>No data</w:t>
            </w:r>
          </w:p>
        </w:tc>
      </w:tr>
      <w:tr w:rsidR="00485094" w:rsidTr="00BD1516">
        <w:trPr>
          <w:trHeight w:val="288"/>
          <w:jc w:val="center"/>
        </w:trPr>
        <w:tc>
          <w:tcPr>
            <w:tcW w:w="1982" w:type="dxa"/>
            <w:vAlign w:val="center"/>
          </w:tcPr>
          <w:p w:rsidR="00485094" w:rsidRDefault="00485094" w:rsidP="005F5866">
            <w:pPr>
              <w:pStyle w:val="TableText"/>
              <w:jc w:val="center"/>
            </w:pPr>
            <w:r w:rsidRPr="00D620A4">
              <w:t>Rivers/Streams</w:t>
            </w:r>
          </w:p>
        </w:tc>
        <w:tc>
          <w:tcPr>
            <w:tcW w:w="1530" w:type="dxa"/>
            <w:vAlign w:val="center"/>
          </w:tcPr>
          <w:p w:rsidR="00485094" w:rsidRDefault="00485094" w:rsidP="005F5866">
            <w:pPr>
              <w:pStyle w:val="TableText"/>
              <w:jc w:val="center"/>
            </w:pPr>
            <w:r>
              <w:t>11</w:t>
            </w:r>
          </w:p>
        </w:tc>
        <w:tc>
          <w:tcPr>
            <w:tcW w:w="1800" w:type="dxa"/>
            <w:vAlign w:val="center"/>
          </w:tcPr>
          <w:p w:rsidR="00485094" w:rsidRDefault="00485094" w:rsidP="005F5866">
            <w:pPr>
              <w:pStyle w:val="TableText"/>
              <w:jc w:val="center"/>
            </w:pPr>
            <w:r>
              <w:t>32</w:t>
            </w:r>
          </w:p>
        </w:tc>
        <w:tc>
          <w:tcPr>
            <w:tcW w:w="1800" w:type="dxa"/>
            <w:vAlign w:val="center"/>
          </w:tcPr>
          <w:p w:rsidR="00485094" w:rsidRDefault="00485094" w:rsidP="005F5866">
            <w:pPr>
              <w:pStyle w:val="TableText"/>
              <w:jc w:val="center"/>
            </w:pPr>
            <w:r>
              <w:t>3b</w:t>
            </w:r>
          </w:p>
        </w:tc>
        <w:tc>
          <w:tcPr>
            <w:tcW w:w="1800" w:type="dxa"/>
            <w:vAlign w:val="center"/>
          </w:tcPr>
          <w:p w:rsidR="00485094" w:rsidRDefault="00485094" w:rsidP="005F5866">
            <w:pPr>
              <w:pStyle w:val="TableText"/>
              <w:jc w:val="center"/>
            </w:pPr>
            <w:r>
              <w:t>Insufficient data</w:t>
            </w:r>
          </w:p>
        </w:tc>
      </w:tr>
      <w:tr w:rsidR="00485094" w:rsidTr="00BD1516">
        <w:trPr>
          <w:trHeight w:val="288"/>
          <w:jc w:val="center"/>
        </w:trPr>
        <w:tc>
          <w:tcPr>
            <w:tcW w:w="1982" w:type="dxa"/>
            <w:vAlign w:val="center"/>
          </w:tcPr>
          <w:p w:rsidR="00485094" w:rsidRDefault="00485094" w:rsidP="005F5866">
            <w:pPr>
              <w:pStyle w:val="TableText"/>
              <w:jc w:val="center"/>
            </w:pPr>
            <w:r w:rsidRPr="00D620A4">
              <w:t>Rivers/Streams</w:t>
            </w:r>
          </w:p>
        </w:tc>
        <w:tc>
          <w:tcPr>
            <w:tcW w:w="1530" w:type="dxa"/>
            <w:vAlign w:val="center"/>
          </w:tcPr>
          <w:p w:rsidR="00485094" w:rsidRDefault="00485094" w:rsidP="005F5866">
            <w:pPr>
              <w:pStyle w:val="TableText"/>
              <w:jc w:val="center"/>
            </w:pPr>
            <w:r>
              <w:t>13</w:t>
            </w:r>
          </w:p>
        </w:tc>
        <w:tc>
          <w:tcPr>
            <w:tcW w:w="1800" w:type="dxa"/>
            <w:vAlign w:val="center"/>
          </w:tcPr>
          <w:p w:rsidR="00485094" w:rsidRDefault="00485094" w:rsidP="005F5866">
            <w:pPr>
              <w:pStyle w:val="TableText"/>
              <w:jc w:val="center"/>
            </w:pPr>
            <w:r>
              <w:t>72</w:t>
            </w:r>
          </w:p>
        </w:tc>
        <w:tc>
          <w:tcPr>
            <w:tcW w:w="1800" w:type="dxa"/>
            <w:vAlign w:val="center"/>
          </w:tcPr>
          <w:p w:rsidR="00485094" w:rsidRDefault="00485094" w:rsidP="005F5866">
            <w:pPr>
              <w:pStyle w:val="TableText"/>
              <w:jc w:val="center"/>
            </w:pPr>
            <w:r>
              <w:t>3c</w:t>
            </w:r>
          </w:p>
        </w:tc>
        <w:tc>
          <w:tcPr>
            <w:tcW w:w="1800" w:type="dxa"/>
            <w:vAlign w:val="center"/>
          </w:tcPr>
          <w:p w:rsidR="00485094" w:rsidRDefault="00485094" w:rsidP="005F5866">
            <w:pPr>
              <w:pStyle w:val="TableText"/>
              <w:jc w:val="center"/>
            </w:pPr>
            <w:r>
              <w:t>Planning List</w:t>
            </w:r>
          </w:p>
        </w:tc>
      </w:tr>
      <w:tr w:rsidR="00485094" w:rsidTr="00BD1516">
        <w:trPr>
          <w:trHeight w:val="288"/>
          <w:jc w:val="center"/>
        </w:trPr>
        <w:tc>
          <w:tcPr>
            <w:tcW w:w="1982" w:type="dxa"/>
            <w:tcBorders>
              <w:bottom w:val="double" w:sz="4" w:space="0" w:color="auto"/>
            </w:tcBorders>
            <w:vAlign w:val="center"/>
          </w:tcPr>
          <w:p w:rsidR="00485094" w:rsidRDefault="00485094" w:rsidP="005F5866">
            <w:pPr>
              <w:pStyle w:val="TableText"/>
              <w:jc w:val="center"/>
            </w:pPr>
            <w:r w:rsidRPr="00D620A4">
              <w:t>Rivers/Streams</w:t>
            </w:r>
          </w:p>
        </w:tc>
        <w:tc>
          <w:tcPr>
            <w:tcW w:w="1530" w:type="dxa"/>
            <w:tcBorders>
              <w:bottom w:val="double" w:sz="4" w:space="0" w:color="auto"/>
            </w:tcBorders>
            <w:vAlign w:val="center"/>
          </w:tcPr>
          <w:p w:rsidR="00485094" w:rsidRDefault="00485094" w:rsidP="005F5866">
            <w:pPr>
              <w:pStyle w:val="TableText"/>
              <w:jc w:val="center"/>
            </w:pPr>
            <w:r>
              <w:t>44</w:t>
            </w:r>
          </w:p>
        </w:tc>
        <w:tc>
          <w:tcPr>
            <w:tcW w:w="1800" w:type="dxa"/>
            <w:tcBorders>
              <w:bottom w:val="double" w:sz="4" w:space="0" w:color="auto"/>
            </w:tcBorders>
            <w:vAlign w:val="center"/>
          </w:tcPr>
          <w:p w:rsidR="00485094" w:rsidRDefault="00485094" w:rsidP="005F5866">
            <w:pPr>
              <w:pStyle w:val="TableText"/>
              <w:jc w:val="center"/>
            </w:pPr>
            <w:r>
              <w:t>346</w:t>
            </w:r>
          </w:p>
        </w:tc>
        <w:tc>
          <w:tcPr>
            <w:tcW w:w="1800" w:type="dxa"/>
            <w:tcBorders>
              <w:bottom w:val="double" w:sz="4" w:space="0" w:color="auto"/>
            </w:tcBorders>
            <w:vAlign w:val="center"/>
          </w:tcPr>
          <w:p w:rsidR="00485094" w:rsidRDefault="00485094" w:rsidP="005F5866">
            <w:pPr>
              <w:pStyle w:val="TableText"/>
              <w:jc w:val="center"/>
            </w:pPr>
            <w:r>
              <w:t>5</w:t>
            </w:r>
          </w:p>
        </w:tc>
        <w:tc>
          <w:tcPr>
            <w:tcW w:w="1800" w:type="dxa"/>
            <w:tcBorders>
              <w:bottom w:val="double" w:sz="4" w:space="0" w:color="auto"/>
            </w:tcBorders>
            <w:vAlign w:val="center"/>
          </w:tcPr>
          <w:p w:rsidR="00485094" w:rsidRDefault="00485094" w:rsidP="005F5866">
            <w:pPr>
              <w:pStyle w:val="TableText"/>
              <w:jc w:val="center"/>
            </w:pPr>
            <w:r>
              <w:t>Verified List</w:t>
            </w:r>
          </w:p>
        </w:tc>
      </w:tr>
      <w:tr w:rsidR="00485094" w:rsidTr="00BD1516">
        <w:trPr>
          <w:trHeight w:val="288"/>
          <w:jc w:val="center"/>
        </w:trPr>
        <w:tc>
          <w:tcPr>
            <w:tcW w:w="1982" w:type="dxa"/>
            <w:tcBorders>
              <w:top w:val="double" w:sz="4" w:space="0" w:color="auto"/>
            </w:tcBorders>
            <w:shd w:val="clear" w:color="auto" w:fill="FFFFCC"/>
            <w:vAlign w:val="center"/>
          </w:tcPr>
          <w:p w:rsidR="00485094" w:rsidRDefault="00485094" w:rsidP="005F5866">
            <w:pPr>
              <w:pStyle w:val="TableText"/>
              <w:jc w:val="center"/>
            </w:pPr>
            <w:r>
              <w:t>Lakes</w:t>
            </w:r>
          </w:p>
        </w:tc>
        <w:tc>
          <w:tcPr>
            <w:tcW w:w="1530" w:type="dxa"/>
            <w:tcBorders>
              <w:top w:val="double" w:sz="4" w:space="0" w:color="auto"/>
            </w:tcBorders>
            <w:shd w:val="clear" w:color="auto" w:fill="FFFFCC"/>
            <w:vAlign w:val="center"/>
          </w:tcPr>
          <w:p w:rsidR="00485094" w:rsidRDefault="00485094" w:rsidP="005F5866">
            <w:pPr>
              <w:pStyle w:val="TableText"/>
              <w:jc w:val="center"/>
            </w:pPr>
            <w:r>
              <w:t>2</w:t>
            </w:r>
          </w:p>
        </w:tc>
        <w:tc>
          <w:tcPr>
            <w:tcW w:w="1800" w:type="dxa"/>
            <w:tcBorders>
              <w:top w:val="double" w:sz="4" w:space="0" w:color="auto"/>
            </w:tcBorders>
            <w:shd w:val="clear" w:color="auto" w:fill="FFFFCC"/>
            <w:vAlign w:val="center"/>
          </w:tcPr>
          <w:p w:rsidR="00485094" w:rsidRDefault="00485094" w:rsidP="005F5866">
            <w:pPr>
              <w:pStyle w:val="TableText"/>
              <w:jc w:val="center"/>
            </w:pPr>
            <w:r>
              <w:t>640</w:t>
            </w:r>
          </w:p>
        </w:tc>
        <w:tc>
          <w:tcPr>
            <w:tcW w:w="1800" w:type="dxa"/>
            <w:tcBorders>
              <w:top w:val="double" w:sz="4" w:space="0" w:color="auto"/>
            </w:tcBorders>
            <w:shd w:val="clear" w:color="auto" w:fill="FFFFCC"/>
            <w:vAlign w:val="center"/>
          </w:tcPr>
          <w:p w:rsidR="00485094" w:rsidRDefault="00485094" w:rsidP="005F5866">
            <w:pPr>
              <w:pStyle w:val="TableText"/>
              <w:jc w:val="center"/>
            </w:pPr>
            <w:r>
              <w:t>2</w:t>
            </w:r>
          </w:p>
        </w:tc>
        <w:tc>
          <w:tcPr>
            <w:tcW w:w="1800" w:type="dxa"/>
            <w:tcBorders>
              <w:top w:val="double" w:sz="4" w:space="0" w:color="auto"/>
            </w:tcBorders>
            <w:shd w:val="clear" w:color="auto" w:fill="FFFFCC"/>
            <w:vAlign w:val="center"/>
          </w:tcPr>
          <w:p w:rsidR="00485094" w:rsidRDefault="00485094" w:rsidP="005F5866">
            <w:pPr>
              <w:pStyle w:val="TableText"/>
              <w:jc w:val="center"/>
            </w:pPr>
            <w:r>
              <w:t>Meets use</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1</w:t>
            </w:r>
          </w:p>
        </w:tc>
        <w:tc>
          <w:tcPr>
            <w:tcW w:w="1800" w:type="dxa"/>
            <w:shd w:val="clear" w:color="auto" w:fill="FFFFCC"/>
            <w:vAlign w:val="center"/>
          </w:tcPr>
          <w:p w:rsidR="00485094" w:rsidRDefault="00485094" w:rsidP="005F5866">
            <w:pPr>
              <w:pStyle w:val="TableText"/>
              <w:jc w:val="center"/>
            </w:pPr>
            <w:r>
              <w:t>3,952</w:t>
            </w:r>
          </w:p>
        </w:tc>
        <w:tc>
          <w:tcPr>
            <w:tcW w:w="1800" w:type="dxa"/>
            <w:shd w:val="clear" w:color="auto" w:fill="FFFFCC"/>
            <w:vAlign w:val="center"/>
          </w:tcPr>
          <w:p w:rsidR="00485094" w:rsidRDefault="00485094" w:rsidP="005F5866">
            <w:pPr>
              <w:pStyle w:val="TableText"/>
              <w:jc w:val="center"/>
            </w:pPr>
            <w:r>
              <w:t>3a</w:t>
            </w:r>
          </w:p>
        </w:tc>
        <w:tc>
          <w:tcPr>
            <w:tcW w:w="1800" w:type="dxa"/>
            <w:shd w:val="clear" w:color="auto" w:fill="FFFFCC"/>
            <w:vAlign w:val="center"/>
          </w:tcPr>
          <w:p w:rsidR="00485094" w:rsidRDefault="00485094" w:rsidP="005F5866">
            <w:pPr>
              <w:pStyle w:val="TableText"/>
              <w:jc w:val="center"/>
            </w:pPr>
            <w:r>
              <w:t>No data</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0</w:t>
            </w:r>
          </w:p>
        </w:tc>
        <w:tc>
          <w:tcPr>
            <w:tcW w:w="1800" w:type="dxa"/>
            <w:shd w:val="clear" w:color="auto" w:fill="FFFFCC"/>
            <w:vAlign w:val="center"/>
          </w:tcPr>
          <w:p w:rsidR="00485094" w:rsidRDefault="00485094" w:rsidP="005F5866">
            <w:pPr>
              <w:pStyle w:val="TableText"/>
              <w:jc w:val="center"/>
            </w:pPr>
            <w:r>
              <w:t>0</w:t>
            </w:r>
          </w:p>
        </w:tc>
        <w:tc>
          <w:tcPr>
            <w:tcW w:w="1800" w:type="dxa"/>
            <w:shd w:val="clear" w:color="auto" w:fill="FFFFCC"/>
            <w:vAlign w:val="center"/>
          </w:tcPr>
          <w:p w:rsidR="00485094" w:rsidRDefault="00485094" w:rsidP="005F5866">
            <w:pPr>
              <w:pStyle w:val="TableText"/>
              <w:jc w:val="center"/>
            </w:pPr>
            <w:r>
              <w:t>3c</w:t>
            </w:r>
          </w:p>
        </w:tc>
        <w:tc>
          <w:tcPr>
            <w:tcW w:w="1800" w:type="dxa"/>
            <w:shd w:val="clear" w:color="auto" w:fill="FFFFCC"/>
            <w:vAlign w:val="center"/>
          </w:tcPr>
          <w:p w:rsidR="00485094" w:rsidRDefault="00485094" w:rsidP="005F5866">
            <w:pPr>
              <w:pStyle w:val="TableText"/>
              <w:jc w:val="center"/>
            </w:pPr>
            <w:r>
              <w:t>Planning List</w:t>
            </w:r>
          </w:p>
        </w:tc>
      </w:tr>
      <w:tr w:rsidR="00485094" w:rsidTr="00BD1516">
        <w:trPr>
          <w:trHeight w:val="288"/>
          <w:jc w:val="center"/>
        </w:trPr>
        <w:tc>
          <w:tcPr>
            <w:tcW w:w="1982" w:type="dxa"/>
            <w:shd w:val="clear" w:color="auto" w:fill="FFFFCC"/>
            <w:vAlign w:val="center"/>
          </w:tcPr>
          <w:p w:rsidR="00485094" w:rsidRDefault="00485094" w:rsidP="005F5866">
            <w:pPr>
              <w:pStyle w:val="TableText"/>
              <w:jc w:val="center"/>
            </w:pPr>
            <w:r>
              <w:t>Lakes</w:t>
            </w:r>
          </w:p>
        </w:tc>
        <w:tc>
          <w:tcPr>
            <w:tcW w:w="1530" w:type="dxa"/>
            <w:shd w:val="clear" w:color="auto" w:fill="FFFFCC"/>
            <w:vAlign w:val="center"/>
          </w:tcPr>
          <w:p w:rsidR="00485094" w:rsidRDefault="00485094" w:rsidP="005F5866">
            <w:pPr>
              <w:pStyle w:val="TableText"/>
              <w:jc w:val="center"/>
            </w:pPr>
            <w:r>
              <w:t>20</w:t>
            </w:r>
          </w:p>
        </w:tc>
        <w:tc>
          <w:tcPr>
            <w:tcW w:w="1800" w:type="dxa"/>
            <w:shd w:val="clear" w:color="auto" w:fill="FFFFCC"/>
            <w:vAlign w:val="center"/>
          </w:tcPr>
          <w:p w:rsidR="00485094" w:rsidRDefault="00485094" w:rsidP="005F5866">
            <w:pPr>
              <w:pStyle w:val="TableText"/>
              <w:jc w:val="center"/>
            </w:pPr>
            <w:r>
              <w:t>490,356</w:t>
            </w:r>
          </w:p>
        </w:tc>
        <w:tc>
          <w:tcPr>
            <w:tcW w:w="1800" w:type="dxa"/>
            <w:shd w:val="clear" w:color="auto" w:fill="FFFFCC"/>
            <w:vAlign w:val="center"/>
          </w:tcPr>
          <w:p w:rsidR="00485094" w:rsidRDefault="00485094" w:rsidP="005F5866">
            <w:pPr>
              <w:pStyle w:val="TableText"/>
              <w:jc w:val="center"/>
            </w:pPr>
            <w:r>
              <w:t>5</w:t>
            </w:r>
          </w:p>
        </w:tc>
        <w:tc>
          <w:tcPr>
            <w:tcW w:w="1800" w:type="dxa"/>
            <w:shd w:val="clear" w:color="auto" w:fill="FFFFCC"/>
            <w:vAlign w:val="center"/>
          </w:tcPr>
          <w:p w:rsidR="00485094" w:rsidRDefault="00485094" w:rsidP="005F5866">
            <w:pPr>
              <w:pStyle w:val="TableText"/>
              <w:jc w:val="center"/>
            </w:pPr>
            <w:r>
              <w:t>Verified List</w:t>
            </w:r>
          </w:p>
        </w:tc>
      </w:tr>
    </w:tbl>
    <w:p w:rsidR="00485094" w:rsidRDefault="00485094" w:rsidP="00BD1516">
      <w:pPr>
        <w:pStyle w:val="Bodytextreduced"/>
      </w:pPr>
    </w:p>
    <w:p w:rsidR="00485094" w:rsidRDefault="00485094" w:rsidP="00BD1516">
      <w:pPr>
        <w:pStyle w:val="Bodytextreduced"/>
      </w:pPr>
    </w:p>
    <w:p w:rsidR="00485094" w:rsidRDefault="00485094" w:rsidP="00512DF2">
      <w:pPr>
        <w:pStyle w:val="Heading3"/>
      </w:pPr>
      <w:bookmarkStart w:id="628" w:name="_Toc271794373"/>
      <w:r w:rsidRPr="0054410D">
        <w:t>Overlap of Source Water Areas and Impaired Surface Waters</w:t>
      </w:r>
      <w:bookmarkEnd w:id="628"/>
    </w:p>
    <w:p w:rsidR="00485094" w:rsidRPr="0054410D" w:rsidRDefault="00485094" w:rsidP="00512DF2">
      <w:pPr>
        <w:pStyle w:val="Bodytext"/>
        <w:rPr>
          <w:rStyle w:val="Emphasis"/>
          <w:i w:val="0"/>
          <w:szCs w:val="22"/>
        </w:rPr>
      </w:pPr>
      <w:r w:rsidRPr="0054410D">
        <w:rPr>
          <w:rStyle w:val="Emphasis"/>
          <w:i w:val="0"/>
          <w:szCs w:val="22"/>
        </w:rPr>
        <w:t>Verified Lists of impaired surface waters have b</w:t>
      </w:r>
      <w:r>
        <w:rPr>
          <w:rStyle w:val="Emphasis"/>
          <w:i w:val="0"/>
          <w:szCs w:val="22"/>
        </w:rPr>
        <w:t>een adopted for the Group 1–5</w:t>
      </w:r>
      <w:r w:rsidRPr="0054410D">
        <w:rPr>
          <w:rStyle w:val="Emphasis"/>
          <w:i w:val="0"/>
          <w:szCs w:val="22"/>
        </w:rPr>
        <w:t xml:space="preserve"> basins.  Source water areas were modeled based on a 3-day travel time to the intake within surface waters and their 100-year floodplains.  Streams were added to the source water coverage from USGS quadrangles, with a 3-meter buffer around each one.  The overlap of surface waters</w:t>
      </w:r>
      <w:r>
        <w:rPr>
          <w:rStyle w:val="Emphasis"/>
          <w:i w:val="0"/>
          <w:szCs w:val="22"/>
        </w:rPr>
        <w:t xml:space="preserve"> that do not attain all criteria</w:t>
      </w:r>
      <w:r w:rsidRPr="0054410D">
        <w:rPr>
          <w:rStyle w:val="Emphasis"/>
          <w:i w:val="0"/>
          <w:szCs w:val="22"/>
        </w:rPr>
        <w:t xml:space="preserve"> and these source water areas </w:t>
      </w:r>
      <w:r>
        <w:rPr>
          <w:rStyle w:val="Emphasis"/>
          <w:i w:val="0"/>
          <w:szCs w:val="22"/>
        </w:rPr>
        <w:t>were</w:t>
      </w:r>
      <w:r w:rsidRPr="0054410D">
        <w:rPr>
          <w:rStyle w:val="Emphasis"/>
          <w:i w:val="0"/>
          <w:szCs w:val="22"/>
        </w:rPr>
        <w:t xml:space="preserve"> determined using the source water coverage, the list</w:t>
      </w:r>
      <w:r>
        <w:rPr>
          <w:rStyle w:val="Emphasis"/>
          <w:i w:val="0"/>
          <w:szCs w:val="22"/>
        </w:rPr>
        <w:t>s</w:t>
      </w:r>
      <w:r w:rsidRPr="0054410D">
        <w:rPr>
          <w:rStyle w:val="Emphasis"/>
          <w:i w:val="0"/>
          <w:szCs w:val="22"/>
        </w:rPr>
        <w:t xml:space="preserve"> of impaired surface waters, the areas of Florida’s lakes and reservoirs, and the 1:24,000-scale </w:t>
      </w:r>
      <w:r>
        <w:rPr>
          <w:rStyle w:val="Emphasis"/>
          <w:i w:val="0"/>
          <w:szCs w:val="22"/>
        </w:rPr>
        <w:t xml:space="preserve">NHD </w:t>
      </w:r>
      <w:r w:rsidRPr="0054410D">
        <w:rPr>
          <w:rStyle w:val="Emphasis"/>
          <w:i w:val="0"/>
          <w:szCs w:val="22"/>
        </w:rPr>
        <w:t xml:space="preserve">for streams. </w:t>
      </w:r>
      <w:r>
        <w:rPr>
          <w:rStyle w:val="Emphasis"/>
          <w:i w:val="0"/>
          <w:szCs w:val="22"/>
        </w:rPr>
        <w:t xml:space="preserve"> </w:t>
      </w:r>
      <w:r w:rsidRPr="00192CE0">
        <w:rPr>
          <w:rStyle w:val="Emphasis"/>
          <w:b/>
          <w:szCs w:val="22"/>
        </w:rPr>
        <w:t>Table 8.</w:t>
      </w:r>
      <w:r>
        <w:rPr>
          <w:rStyle w:val="Emphasis"/>
          <w:b/>
          <w:szCs w:val="22"/>
        </w:rPr>
        <w:t>7</w:t>
      </w:r>
      <w:r>
        <w:rPr>
          <w:rStyle w:val="Emphasis"/>
          <w:i w:val="0"/>
          <w:szCs w:val="22"/>
        </w:rPr>
        <w:t xml:space="preserve"> lists the impaired river/stream miles and acres of lakes/reservoirs overlapping the source water areas of community water systems.</w:t>
      </w:r>
    </w:p>
    <w:p w:rsidR="00485094" w:rsidRDefault="00485094" w:rsidP="00512DF2">
      <w:pPr>
        <w:rPr>
          <w:rFonts w:ascii="Arial" w:hAnsi="Arial"/>
          <w:sz w:val="16"/>
          <w:szCs w:val="20"/>
        </w:rPr>
      </w:pPr>
    </w:p>
    <w:p w:rsidR="00485094" w:rsidRDefault="00485094" w:rsidP="00BD1516">
      <w:pPr>
        <w:pStyle w:val="Bodytextreduced"/>
      </w:pPr>
    </w:p>
    <w:p w:rsidR="00485094" w:rsidRDefault="00485094">
      <w:pPr>
        <w:rPr>
          <w:rFonts w:ascii="Arial" w:hAnsi="Arial"/>
          <w:b/>
          <w:i/>
          <w:sz w:val="20"/>
          <w:szCs w:val="20"/>
        </w:rPr>
      </w:pPr>
      <w:bookmarkStart w:id="629" w:name="_Toc254267145"/>
      <w:bookmarkStart w:id="630" w:name="_Toc255807519"/>
      <w:r>
        <w:br w:type="page"/>
      </w:r>
    </w:p>
    <w:p w:rsidR="00485094" w:rsidRDefault="00485094">
      <w:pPr>
        <w:pStyle w:val="Tableheading"/>
      </w:pPr>
      <w:bookmarkStart w:id="631" w:name="_Toc271889872"/>
      <w:r w:rsidRPr="00CA461C">
        <w:lastRenderedPageBreak/>
        <w:t>Table 8.7.  Summary of Impaired River/Stream Miles and Lake/Reservoir Acres Overlapping Source Water Areas of Community Water Systems</w:t>
      </w:r>
      <w:bookmarkEnd w:id="629"/>
      <w:bookmarkEnd w:id="630"/>
      <w:bookmarkEnd w:id="631"/>
    </w:p>
    <w:p w:rsidR="00485094" w:rsidRDefault="00485094" w:rsidP="00DC54B0">
      <w:pPr>
        <w:pStyle w:val="TabledescriptionBF"/>
      </w:pPr>
      <w:r>
        <w:t>This is a three-column table.  Column 1 lists the surface water type, Column 2 lists the length or area of impaired waters overlapping source water areas in Groups 1–5, and Column 3 lists the percent of total length or area in Groups 1–5.</w:t>
      </w:r>
    </w:p>
    <w:p w:rsidR="00485094" w:rsidRDefault="00485094" w:rsidP="00DC54B0">
      <w:pPr>
        <w:pStyle w:val="Tableheading"/>
      </w:pPr>
    </w:p>
    <w:p w:rsidR="00485094" w:rsidRPr="00DC54B0" w:rsidRDefault="00485094" w:rsidP="00DC54B0">
      <w:pPr>
        <w:autoSpaceDE w:val="0"/>
        <w:autoSpaceDN w:val="0"/>
        <w:adjustRightInd w:val="0"/>
        <w:ind w:left="748" w:right="945"/>
      </w:pPr>
      <w:r w:rsidRPr="00740F5B">
        <w:rPr>
          <w:rFonts w:ascii="Arial" w:hAnsi="Arial" w:cs="Arial"/>
          <w:b/>
          <w:sz w:val="16"/>
          <w:szCs w:val="16"/>
        </w:rPr>
        <w:t>Note:</w:t>
      </w:r>
      <w:r w:rsidRPr="00740F5B">
        <w:rPr>
          <w:rFonts w:ascii="Arial" w:hAnsi="Arial" w:cs="Arial"/>
          <w:sz w:val="16"/>
          <w:szCs w:val="16"/>
        </w:rPr>
        <w:t xml:space="preserve">  The analysis is based on adopted lists of impaired surface waters for the Group 1</w:t>
      </w:r>
      <w:r>
        <w:rPr>
          <w:rFonts w:ascii="Arial" w:hAnsi="Arial" w:cs="Arial"/>
          <w:sz w:val="16"/>
          <w:szCs w:val="16"/>
        </w:rPr>
        <w:t xml:space="preserve">–5 </w:t>
      </w:r>
      <w:r w:rsidRPr="00740F5B">
        <w:rPr>
          <w:rFonts w:ascii="Arial" w:hAnsi="Arial" w:cs="Arial"/>
          <w:sz w:val="16"/>
          <w:szCs w:val="16"/>
        </w:rPr>
        <w:t xml:space="preserve">basins.  </w:t>
      </w:r>
      <w:r w:rsidRPr="00857404">
        <w:rPr>
          <w:rFonts w:ascii="Arial" w:hAnsi="Arial" w:cs="Arial"/>
          <w:sz w:val="16"/>
          <w:szCs w:val="16"/>
        </w:rPr>
        <w:t xml:space="preserve">Parameter of interest </w:t>
      </w:r>
      <w:r>
        <w:rPr>
          <w:rFonts w:ascii="Arial" w:hAnsi="Arial" w:cs="Arial"/>
          <w:sz w:val="16"/>
          <w:szCs w:val="16"/>
        </w:rPr>
        <w:t xml:space="preserve">was </w:t>
      </w:r>
      <w:r w:rsidRPr="00857404">
        <w:rPr>
          <w:rFonts w:ascii="Arial" w:hAnsi="Arial" w:cs="Arial"/>
          <w:sz w:val="16"/>
          <w:szCs w:val="16"/>
        </w:rPr>
        <w:t xml:space="preserve"> fecal coliform.</w:t>
      </w:r>
    </w:p>
    <w:tbl>
      <w:tblPr>
        <w:tblW w:w="8036" w:type="dxa"/>
        <w:jc w:val="center"/>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83"/>
        <w:gridCol w:w="3409"/>
        <w:gridCol w:w="2244"/>
      </w:tblGrid>
      <w:tr w:rsidR="00485094" w:rsidRPr="00E76B4B" w:rsidTr="00E86B70">
        <w:trPr>
          <w:trHeight w:val="530"/>
          <w:jc w:val="center"/>
        </w:trPr>
        <w:tc>
          <w:tcPr>
            <w:tcW w:w="2383" w:type="dxa"/>
            <w:tcBorders>
              <w:bottom w:val="double" w:sz="4" w:space="0" w:color="auto"/>
            </w:tcBorders>
            <w:shd w:val="clear" w:color="auto" w:fill="BDFFFF"/>
            <w:vAlign w:val="bottom"/>
          </w:tcPr>
          <w:p w:rsidR="00485094" w:rsidRPr="00E76B4B" w:rsidRDefault="00485094" w:rsidP="00DC54B0">
            <w:pPr>
              <w:pStyle w:val="TableText"/>
              <w:jc w:val="center"/>
              <w:rPr>
                <w:b/>
                <w:i/>
              </w:rPr>
            </w:pPr>
            <w:r w:rsidRPr="00E76B4B">
              <w:rPr>
                <w:b/>
                <w:i/>
              </w:rPr>
              <w:t>Surface Water Type</w:t>
            </w:r>
          </w:p>
        </w:tc>
        <w:tc>
          <w:tcPr>
            <w:tcW w:w="3409" w:type="dxa"/>
            <w:tcBorders>
              <w:bottom w:val="double" w:sz="4" w:space="0" w:color="auto"/>
            </w:tcBorders>
            <w:shd w:val="clear" w:color="auto" w:fill="BDFFFF"/>
            <w:vAlign w:val="bottom"/>
          </w:tcPr>
          <w:p w:rsidR="00485094" w:rsidRPr="00E76B4B" w:rsidRDefault="00485094" w:rsidP="00DC54B0">
            <w:pPr>
              <w:pStyle w:val="TableText"/>
              <w:jc w:val="center"/>
              <w:rPr>
                <w:b/>
                <w:i/>
              </w:rPr>
            </w:pPr>
            <w:r w:rsidRPr="00E76B4B">
              <w:rPr>
                <w:b/>
                <w:i/>
              </w:rPr>
              <w:t xml:space="preserve">Length or Area of Impaired Surface Waters Overlapping Source Water Areas in </w:t>
            </w:r>
            <w:r>
              <w:rPr>
                <w:b/>
                <w:i/>
              </w:rPr>
              <w:t xml:space="preserve">Basin </w:t>
            </w:r>
            <w:r w:rsidRPr="00E76B4B">
              <w:rPr>
                <w:b/>
                <w:i/>
              </w:rPr>
              <w:t>Groups 1</w:t>
            </w:r>
            <w:r>
              <w:rPr>
                <w:b/>
                <w:i/>
              </w:rPr>
              <w:t>–</w:t>
            </w:r>
            <w:r w:rsidRPr="00E76B4B">
              <w:rPr>
                <w:b/>
                <w:i/>
              </w:rPr>
              <w:t>5</w:t>
            </w:r>
          </w:p>
        </w:tc>
        <w:tc>
          <w:tcPr>
            <w:tcW w:w="2244" w:type="dxa"/>
            <w:tcBorders>
              <w:bottom w:val="double" w:sz="4" w:space="0" w:color="auto"/>
            </w:tcBorders>
            <w:shd w:val="clear" w:color="auto" w:fill="BDFFFF"/>
            <w:vAlign w:val="bottom"/>
          </w:tcPr>
          <w:p w:rsidR="00485094" w:rsidRPr="00E76B4B" w:rsidRDefault="00485094" w:rsidP="00DC54B0">
            <w:pPr>
              <w:pStyle w:val="TableText"/>
              <w:jc w:val="center"/>
              <w:rPr>
                <w:b/>
                <w:i/>
              </w:rPr>
            </w:pPr>
            <w:r>
              <w:rPr>
                <w:b/>
                <w:i/>
              </w:rPr>
              <w:t>%</w:t>
            </w:r>
            <w:r w:rsidRPr="00E76B4B">
              <w:rPr>
                <w:b/>
                <w:i/>
              </w:rPr>
              <w:t xml:space="preserve"> of Total Length or Area in </w:t>
            </w:r>
            <w:r>
              <w:rPr>
                <w:b/>
                <w:i/>
              </w:rPr>
              <w:t xml:space="preserve">Basin </w:t>
            </w:r>
            <w:r w:rsidRPr="00E76B4B">
              <w:rPr>
                <w:b/>
                <w:i/>
              </w:rPr>
              <w:t>Groups 1</w:t>
            </w:r>
            <w:r>
              <w:rPr>
                <w:b/>
                <w:i/>
              </w:rPr>
              <w:t>–</w:t>
            </w:r>
            <w:r w:rsidRPr="00E76B4B">
              <w:rPr>
                <w:b/>
                <w:i/>
              </w:rPr>
              <w:t>5</w:t>
            </w:r>
          </w:p>
        </w:tc>
      </w:tr>
      <w:tr w:rsidR="00485094" w:rsidRPr="00E76B4B" w:rsidTr="00DC54B0">
        <w:trPr>
          <w:trHeight w:val="350"/>
          <w:jc w:val="center"/>
        </w:trPr>
        <w:tc>
          <w:tcPr>
            <w:tcW w:w="2383" w:type="dxa"/>
            <w:tcBorders>
              <w:top w:val="double" w:sz="4" w:space="0" w:color="auto"/>
            </w:tcBorders>
            <w:shd w:val="clear" w:color="auto" w:fill="FFFFCC"/>
            <w:vAlign w:val="center"/>
          </w:tcPr>
          <w:p w:rsidR="00485094" w:rsidRDefault="00485094">
            <w:pPr>
              <w:pStyle w:val="TableText"/>
              <w:jc w:val="center"/>
            </w:pPr>
            <w:r w:rsidRPr="00740F5B">
              <w:t>Streams</w:t>
            </w:r>
            <w:r>
              <w:t>/</w:t>
            </w:r>
            <w:r w:rsidRPr="00740F5B">
              <w:t>Rivers</w:t>
            </w:r>
          </w:p>
        </w:tc>
        <w:tc>
          <w:tcPr>
            <w:tcW w:w="3409" w:type="dxa"/>
            <w:tcBorders>
              <w:top w:val="double" w:sz="4" w:space="0" w:color="auto"/>
            </w:tcBorders>
            <w:vAlign w:val="center"/>
          </w:tcPr>
          <w:p w:rsidR="00485094" w:rsidRPr="00740F5B" w:rsidRDefault="00485094" w:rsidP="005F5866">
            <w:pPr>
              <w:pStyle w:val="TableText"/>
              <w:jc w:val="center"/>
            </w:pPr>
            <w:r>
              <w:t>584</w:t>
            </w:r>
            <w:r w:rsidRPr="00740F5B">
              <w:t xml:space="preserve"> miles</w:t>
            </w:r>
          </w:p>
        </w:tc>
        <w:tc>
          <w:tcPr>
            <w:tcW w:w="2244" w:type="dxa"/>
            <w:tcBorders>
              <w:top w:val="double" w:sz="4" w:space="0" w:color="auto"/>
            </w:tcBorders>
            <w:vAlign w:val="center"/>
          </w:tcPr>
          <w:p w:rsidR="00485094" w:rsidRPr="00740F5B" w:rsidRDefault="00485094" w:rsidP="005F5866">
            <w:pPr>
              <w:pStyle w:val="TableText"/>
              <w:jc w:val="center"/>
            </w:pPr>
            <w:r w:rsidRPr="00740F5B">
              <w:t>1.</w:t>
            </w:r>
            <w:r>
              <w:t>15</w:t>
            </w:r>
            <w:r w:rsidRPr="00740F5B">
              <w:t>%</w:t>
            </w:r>
          </w:p>
        </w:tc>
      </w:tr>
      <w:tr w:rsidR="00485094" w:rsidRPr="00E76B4B" w:rsidTr="00DC54B0">
        <w:trPr>
          <w:trHeight w:val="350"/>
          <w:jc w:val="center"/>
        </w:trPr>
        <w:tc>
          <w:tcPr>
            <w:tcW w:w="2383" w:type="dxa"/>
            <w:shd w:val="clear" w:color="auto" w:fill="FFFFCC"/>
            <w:vAlign w:val="center"/>
          </w:tcPr>
          <w:p w:rsidR="00485094" w:rsidRPr="00740F5B" w:rsidRDefault="00485094" w:rsidP="005F5866">
            <w:pPr>
              <w:pStyle w:val="TableText"/>
              <w:jc w:val="center"/>
            </w:pPr>
            <w:r w:rsidRPr="00740F5B">
              <w:t>Lakes/Reservoirs</w:t>
            </w:r>
          </w:p>
        </w:tc>
        <w:tc>
          <w:tcPr>
            <w:tcW w:w="3409" w:type="dxa"/>
            <w:vAlign w:val="center"/>
          </w:tcPr>
          <w:p w:rsidR="00485094" w:rsidRPr="00740F5B" w:rsidRDefault="00485094" w:rsidP="005F5866">
            <w:pPr>
              <w:pStyle w:val="TableText"/>
              <w:jc w:val="center"/>
            </w:pPr>
            <w:r w:rsidRPr="00740F5B">
              <w:t>1,</w:t>
            </w:r>
            <w:r>
              <w:t>478</w:t>
            </w:r>
            <w:r w:rsidRPr="00740F5B">
              <w:t xml:space="preserve"> acres</w:t>
            </w:r>
          </w:p>
        </w:tc>
        <w:tc>
          <w:tcPr>
            <w:tcW w:w="2244" w:type="dxa"/>
            <w:vAlign w:val="center"/>
          </w:tcPr>
          <w:p w:rsidR="00485094" w:rsidRPr="00740F5B" w:rsidRDefault="00485094" w:rsidP="005F5866">
            <w:pPr>
              <w:pStyle w:val="TableText"/>
              <w:jc w:val="center"/>
            </w:pPr>
            <w:r w:rsidRPr="00740F5B">
              <w:t>0.</w:t>
            </w:r>
            <w:r>
              <w:t>094</w:t>
            </w:r>
            <w:r w:rsidRPr="00740F5B">
              <w:t>%</w:t>
            </w:r>
          </w:p>
        </w:tc>
      </w:tr>
    </w:tbl>
    <w:p w:rsidR="00485094" w:rsidRDefault="00485094" w:rsidP="00DC54B0">
      <w:pPr>
        <w:pStyle w:val="Bodytextreduced"/>
      </w:pPr>
      <w:bookmarkStart w:id="632" w:name="_Toc254269896"/>
      <w:bookmarkStart w:id="633" w:name="_Toc255822565"/>
    </w:p>
    <w:p w:rsidR="00485094" w:rsidRDefault="00485094" w:rsidP="00DC54B0">
      <w:pPr>
        <w:pStyle w:val="Bodytextreduced"/>
      </w:pPr>
    </w:p>
    <w:p w:rsidR="00485094" w:rsidRPr="00B22DB9" w:rsidRDefault="00485094" w:rsidP="0041391B">
      <w:pPr>
        <w:pStyle w:val="Heading2"/>
      </w:pPr>
      <w:bookmarkStart w:id="634" w:name="_Toc271794374"/>
      <w:r w:rsidRPr="00B22DB9">
        <w:t>Sediment Contamination</w:t>
      </w:r>
      <w:bookmarkEnd w:id="632"/>
      <w:bookmarkEnd w:id="633"/>
      <w:bookmarkEnd w:id="634"/>
    </w:p>
    <w:p w:rsidR="00485094" w:rsidRDefault="00485094" w:rsidP="00525390">
      <w:pPr>
        <w:pStyle w:val="Heading3"/>
      </w:pPr>
      <w:bookmarkStart w:id="635" w:name="_Toc255822566"/>
      <w:bookmarkStart w:id="636" w:name="_Toc271794375"/>
      <w:r w:rsidRPr="00B22DB9">
        <w:t>Freshwater Sediments</w:t>
      </w:r>
      <w:bookmarkEnd w:id="635"/>
      <w:bookmarkEnd w:id="636"/>
    </w:p>
    <w:p w:rsidR="00485094" w:rsidRPr="003E5A85" w:rsidRDefault="00485094" w:rsidP="005F5866">
      <w:pPr>
        <w:rPr>
          <w:rFonts w:ascii="Arial" w:hAnsi="Arial" w:cs="Arial"/>
          <w:sz w:val="22"/>
          <w:szCs w:val="22"/>
        </w:rPr>
      </w:pPr>
      <w:r w:rsidRPr="003E5A85">
        <w:rPr>
          <w:rFonts w:ascii="Arial" w:hAnsi="Arial" w:cs="Arial"/>
          <w:sz w:val="22"/>
          <w:szCs w:val="22"/>
        </w:rPr>
        <w:t xml:space="preserve">In 2004, </w:t>
      </w:r>
      <w:r>
        <w:rPr>
          <w:rFonts w:ascii="Arial" w:hAnsi="Arial" w:cs="Arial"/>
          <w:sz w:val="22"/>
          <w:szCs w:val="22"/>
        </w:rPr>
        <w:t xml:space="preserve">FDEP, </w:t>
      </w:r>
      <w:r w:rsidRPr="003E5A85">
        <w:rPr>
          <w:rFonts w:ascii="Arial" w:hAnsi="Arial" w:cs="Arial"/>
          <w:sz w:val="22"/>
          <w:szCs w:val="22"/>
        </w:rPr>
        <w:t xml:space="preserve">in conjunction with </w:t>
      </w:r>
      <w:r>
        <w:rPr>
          <w:rFonts w:ascii="Arial" w:hAnsi="Arial" w:cs="Arial"/>
          <w:sz w:val="22"/>
          <w:szCs w:val="22"/>
        </w:rPr>
        <w:t>two water management districts (Northwest Florida and St. Johns River)</w:t>
      </w:r>
      <w:r w:rsidRPr="003E5A85">
        <w:rPr>
          <w:rFonts w:ascii="Arial" w:hAnsi="Arial" w:cs="Arial"/>
          <w:sz w:val="22"/>
          <w:szCs w:val="22"/>
        </w:rPr>
        <w:t xml:space="preserve">, </w:t>
      </w:r>
      <w:r>
        <w:rPr>
          <w:rFonts w:ascii="Arial" w:hAnsi="Arial" w:cs="Arial"/>
          <w:sz w:val="22"/>
          <w:szCs w:val="22"/>
        </w:rPr>
        <w:t>s</w:t>
      </w:r>
      <w:r w:rsidRPr="003E5A85">
        <w:rPr>
          <w:rFonts w:ascii="Arial" w:hAnsi="Arial" w:cs="Arial"/>
          <w:sz w:val="22"/>
          <w:szCs w:val="22"/>
        </w:rPr>
        <w:t>urvey</w:t>
      </w:r>
      <w:r>
        <w:rPr>
          <w:rFonts w:ascii="Arial" w:hAnsi="Arial" w:cs="Arial"/>
          <w:sz w:val="22"/>
          <w:szCs w:val="22"/>
        </w:rPr>
        <w:t>ed</w:t>
      </w:r>
      <w:r w:rsidRPr="003E5A85">
        <w:rPr>
          <w:rFonts w:ascii="Arial" w:hAnsi="Arial" w:cs="Arial"/>
          <w:sz w:val="22"/>
          <w:szCs w:val="22"/>
        </w:rPr>
        <w:t xml:space="preserve"> sediments </w:t>
      </w:r>
      <w:r>
        <w:rPr>
          <w:rFonts w:ascii="Arial" w:hAnsi="Arial" w:cs="Arial"/>
          <w:sz w:val="22"/>
          <w:szCs w:val="22"/>
        </w:rPr>
        <w:t xml:space="preserve">from both large and small lakes </w:t>
      </w:r>
      <w:r w:rsidRPr="003E5A85">
        <w:rPr>
          <w:rFonts w:ascii="Arial" w:hAnsi="Arial" w:cs="Arial"/>
          <w:sz w:val="22"/>
          <w:szCs w:val="22"/>
        </w:rPr>
        <w:t xml:space="preserve">in the </w:t>
      </w:r>
      <w:r>
        <w:rPr>
          <w:rFonts w:ascii="Arial" w:hAnsi="Arial" w:cs="Arial"/>
          <w:sz w:val="22"/>
          <w:szCs w:val="22"/>
        </w:rPr>
        <w:t xml:space="preserve">6 </w:t>
      </w:r>
      <w:r w:rsidRPr="003E5A85">
        <w:rPr>
          <w:rFonts w:ascii="Arial" w:hAnsi="Arial" w:cs="Arial"/>
          <w:sz w:val="22"/>
          <w:szCs w:val="22"/>
        </w:rPr>
        <w:t xml:space="preserve">Group 1 basins.  A total of 284 lake sediment samples </w:t>
      </w:r>
      <w:r>
        <w:rPr>
          <w:rFonts w:ascii="Arial" w:hAnsi="Arial" w:cs="Arial"/>
          <w:sz w:val="22"/>
          <w:szCs w:val="22"/>
        </w:rPr>
        <w:t xml:space="preserve">were </w:t>
      </w:r>
      <w:r w:rsidRPr="003E5A85">
        <w:rPr>
          <w:rFonts w:ascii="Arial" w:hAnsi="Arial" w:cs="Arial"/>
          <w:sz w:val="22"/>
          <w:szCs w:val="22"/>
        </w:rPr>
        <w:t>collected</w:t>
      </w:r>
      <w:r>
        <w:rPr>
          <w:rFonts w:ascii="Arial" w:hAnsi="Arial" w:cs="Arial"/>
          <w:sz w:val="22"/>
          <w:szCs w:val="22"/>
        </w:rPr>
        <w:t xml:space="preserve"> after the collection of the water samples.</w:t>
      </w:r>
      <w:r w:rsidRPr="003E5A85">
        <w:rPr>
          <w:rFonts w:ascii="Arial" w:hAnsi="Arial" w:cs="Arial"/>
          <w:sz w:val="22"/>
          <w:szCs w:val="22"/>
        </w:rPr>
        <w:t xml:space="preserve">  </w:t>
      </w:r>
      <w:r>
        <w:rPr>
          <w:rFonts w:ascii="Arial" w:hAnsi="Arial" w:cs="Arial"/>
          <w:sz w:val="22"/>
          <w:szCs w:val="22"/>
        </w:rPr>
        <w:t xml:space="preserve">FDEP’s </w:t>
      </w:r>
      <w:r w:rsidRPr="003E5A85">
        <w:rPr>
          <w:rFonts w:ascii="Arial" w:hAnsi="Arial" w:cs="Arial"/>
          <w:sz w:val="22"/>
          <w:szCs w:val="22"/>
        </w:rPr>
        <w:t>Central Laboratory analyzed the</w:t>
      </w:r>
      <w:r>
        <w:rPr>
          <w:rFonts w:ascii="Arial" w:hAnsi="Arial" w:cs="Arial"/>
          <w:sz w:val="22"/>
          <w:szCs w:val="22"/>
        </w:rPr>
        <w:t>se</w:t>
      </w:r>
      <w:r w:rsidRPr="003E5A85">
        <w:rPr>
          <w:rFonts w:ascii="Arial" w:hAnsi="Arial" w:cs="Arial"/>
          <w:sz w:val="22"/>
          <w:szCs w:val="22"/>
        </w:rPr>
        <w:t xml:space="preserve"> samples for metals, nutrients</w:t>
      </w:r>
      <w:r>
        <w:rPr>
          <w:rFonts w:ascii="Arial" w:hAnsi="Arial" w:cs="Arial"/>
          <w:sz w:val="22"/>
          <w:szCs w:val="22"/>
        </w:rPr>
        <w:t>,</w:t>
      </w:r>
      <w:r w:rsidRPr="003E5A85">
        <w:rPr>
          <w:rFonts w:ascii="Arial" w:hAnsi="Arial" w:cs="Arial"/>
          <w:sz w:val="22"/>
          <w:szCs w:val="22"/>
        </w:rPr>
        <w:t xml:space="preserve"> and organic contaminants.  </w:t>
      </w:r>
      <w:r>
        <w:rPr>
          <w:rFonts w:ascii="Arial" w:hAnsi="Arial" w:cs="Arial"/>
          <w:sz w:val="22"/>
          <w:szCs w:val="22"/>
        </w:rPr>
        <w:t>M</w:t>
      </w:r>
      <w:r w:rsidRPr="003E5A85">
        <w:rPr>
          <w:rFonts w:ascii="Arial" w:hAnsi="Arial" w:cs="Arial"/>
          <w:sz w:val="22"/>
          <w:szCs w:val="22"/>
        </w:rPr>
        <w:t>etals analyzed included arsenic, cadmium, chromium, copper,</w:t>
      </w:r>
      <w:r>
        <w:rPr>
          <w:rFonts w:ascii="Arial" w:hAnsi="Arial" w:cs="Arial"/>
          <w:sz w:val="22"/>
          <w:szCs w:val="22"/>
        </w:rPr>
        <w:t xml:space="preserve"> lead, nickel, mercury, silver, and zinc;</w:t>
      </w:r>
      <w:r w:rsidRPr="003E5A85">
        <w:rPr>
          <w:rFonts w:ascii="Arial" w:hAnsi="Arial" w:cs="Arial"/>
          <w:sz w:val="22"/>
          <w:szCs w:val="22"/>
        </w:rPr>
        <w:t xml:space="preserve"> organic contaminants include</w:t>
      </w:r>
      <w:r>
        <w:rPr>
          <w:rFonts w:ascii="Arial" w:hAnsi="Arial" w:cs="Arial"/>
          <w:sz w:val="22"/>
          <w:szCs w:val="22"/>
        </w:rPr>
        <w:t>d</w:t>
      </w:r>
      <w:r w:rsidRPr="003E5A85">
        <w:rPr>
          <w:rFonts w:ascii="Arial" w:hAnsi="Arial" w:cs="Arial"/>
          <w:sz w:val="22"/>
          <w:szCs w:val="22"/>
        </w:rPr>
        <w:t xml:space="preserve"> polynuclear hydrocarbons (PAHs), polychlorinated biphenyls </w:t>
      </w:r>
      <w:r>
        <w:rPr>
          <w:rFonts w:ascii="Arial" w:hAnsi="Arial" w:cs="Arial"/>
          <w:sz w:val="22"/>
          <w:szCs w:val="22"/>
        </w:rPr>
        <w:t xml:space="preserve">(PCBs), </w:t>
      </w:r>
      <w:r w:rsidRPr="003E5A85">
        <w:rPr>
          <w:rFonts w:ascii="Arial" w:hAnsi="Arial" w:cs="Arial"/>
          <w:sz w:val="22"/>
          <w:szCs w:val="22"/>
        </w:rPr>
        <w:t>and organochlorine pesticides (for example</w:t>
      </w:r>
      <w:r>
        <w:rPr>
          <w:rFonts w:ascii="Arial" w:hAnsi="Arial" w:cs="Arial"/>
          <w:sz w:val="22"/>
          <w:szCs w:val="22"/>
        </w:rPr>
        <w:t>,</w:t>
      </w:r>
      <w:r w:rsidRPr="003E5A85">
        <w:rPr>
          <w:rFonts w:ascii="Arial" w:hAnsi="Arial" w:cs="Arial"/>
          <w:sz w:val="22"/>
          <w:szCs w:val="22"/>
        </w:rPr>
        <w:t xml:space="preserve"> DDT and its breakdown products).  FDEP</w:t>
      </w:r>
      <w:r>
        <w:rPr>
          <w:rFonts w:ascii="Arial" w:hAnsi="Arial" w:cs="Arial"/>
          <w:sz w:val="22"/>
          <w:szCs w:val="22"/>
        </w:rPr>
        <w:t>’s</w:t>
      </w:r>
      <w:r w:rsidRPr="003E5A85">
        <w:rPr>
          <w:rFonts w:ascii="Arial" w:hAnsi="Arial" w:cs="Arial"/>
          <w:sz w:val="22"/>
          <w:szCs w:val="22"/>
        </w:rPr>
        <w:t xml:space="preserve"> Monitoring Section then applied the sediment quality assessment tools to the resulting dataset.  </w:t>
      </w:r>
    </w:p>
    <w:p w:rsidR="00485094" w:rsidRDefault="00485094" w:rsidP="005F5866">
      <w:pPr>
        <w:rPr>
          <w:rFonts w:ascii="Arial" w:hAnsi="Arial" w:cs="Arial"/>
          <w:sz w:val="22"/>
          <w:szCs w:val="22"/>
        </w:rPr>
      </w:pPr>
    </w:p>
    <w:p w:rsidR="00485094" w:rsidRDefault="00485094" w:rsidP="005F5866">
      <w:pPr>
        <w:rPr>
          <w:rFonts w:ascii="Arial" w:hAnsi="Arial" w:cs="Arial"/>
          <w:sz w:val="22"/>
          <w:szCs w:val="22"/>
        </w:rPr>
      </w:pPr>
      <w:r>
        <w:rPr>
          <w:rFonts w:ascii="Arial" w:hAnsi="Arial" w:cs="Arial"/>
          <w:sz w:val="22"/>
          <w:szCs w:val="22"/>
        </w:rPr>
        <w:t>Using the two guidelines in the 2003 guidelines document, the metals copper, lead, and zinc produce the most exceedances of both the lower and higher guidelines.  Arsenic, cadmium, chromium, and mercury rarely exceed the higher guideline but do commonly exceed the lower guideline.  Not surprisingly, sediment metals were highest in lakes in urbanized areas, with the highest number of samples that show elevated metals collected in the Tampa Bay region.</w:t>
      </w:r>
    </w:p>
    <w:p w:rsidR="00485094" w:rsidRDefault="00485094" w:rsidP="005F5866">
      <w:pPr>
        <w:rPr>
          <w:rFonts w:ascii="Arial" w:hAnsi="Arial" w:cs="Arial"/>
          <w:sz w:val="22"/>
          <w:szCs w:val="22"/>
        </w:rPr>
      </w:pPr>
    </w:p>
    <w:p w:rsidR="00485094" w:rsidRDefault="00485094" w:rsidP="005F5866">
      <w:pPr>
        <w:rPr>
          <w:rFonts w:ascii="Arial" w:hAnsi="Arial" w:cs="Arial"/>
          <w:sz w:val="22"/>
          <w:szCs w:val="22"/>
        </w:rPr>
      </w:pPr>
      <w:r>
        <w:rPr>
          <w:rFonts w:ascii="Arial" w:hAnsi="Arial" w:cs="Arial"/>
          <w:sz w:val="22"/>
          <w:szCs w:val="22"/>
        </w:rPr>
        <w:t xml:space="preserve">In </w:t>
      </w:r>
      <w:r w:rsidRPr="003E5A85">
        <w:rPr>
          <w:rFonts w:ascii="Arial" w:hAnsi="Arial" w:cs="Arial"/>
          <w:sz w:val="22"/>
          <w:szCs w:val="22"/>
        </w:rPr>
        <w:t xml:space="preserve">the 284 samples, there were </w:t>
      </w:r>
      <w:r>
        <w:rPr>
          <w:rFonts w:ascii="Arial" w:hAnsi="Arial" w:cs="Arial"/>
          <w:sz w:val="22"/>
          <w:szCs w:val="22"/>
        </w:rPr>
        <w:t>41</w:t>
      </w:r>
      <w:r w:rsidRPr="003E5A85">
        <w:rPr>
          <w:rFonts w:ascii="Arial" w:hAnsi="Arial" w:cs="Arial"/>
          <w:sz w:val="22"/>
          <w:szCs w:val="22"/>
        </w:rPr>
        <w:t xml:space="preserve"> detections of an organic contaminant</w:t>
      </w:r>
      <w:r>
        <w:rPr>
          <w:rFonts w:ascii="Arial" w:hAnsi="Arial" w:cs="Arial"/>
          <w:sz w:val="22"/>
          <w:szCs w:val="22"/>
        </w:rPr>
        <w:t xml:space="preserve">; however, some sediment </w:t>
      </w:r>
      <w:r w:rsidRPr="003E5A85">
        <w:rPr>
          <w:rFonts w:ascii="Arial" w:hAnsi="Arial" w:cs="Arial"/>
          <w:sz w:val="22"/>
          <w:szCs w:val="22"/>
        </w:rPr>
        <w:t xml:space="preserve">samples had detections of </w:t>
      </w:r>
      <w:r>
        <w:rPr>
          <w:rFonts w:ascii="Arial" w:hAnsi="Arial" w:cs="Arial"/>
          <w:sz w:val="22"/>
          <w:szCs w:val="22"/>
        </w:rPr>
        <w:t xml:space="preserve">more than 1 </w:t>
      </w:r>
      <w:r w:rsidRPr="003E5A85">
        <w:rPr>
          <w:rFonts w:ascii="Arial" w:hAnsi="Arial" w:cs="Arial"/>
          <w:sz w:val="22"/>
          <w:szCs w:val="22"/>
        </w:rPr>
        <w:t xml:space="preserve">individual </w:t>
      </w:r>
      <w:r>
        <w:rPr>
          <w:rFonts w:ascii="Arial" w:hAnsi="Arial" w:cs="Arial"/>
          <w:sz w:val="22"/>
          <w:szCs w:val="22"/>
        </w:rPr>
        <w:t xml:space="preserve">organic </w:t>
      </w:r>
      <w:r w:rsidRPr="003E5A85">
        <w:rPr>
          <w:rFonts w:ascii="Arial" w:hAnsi="Arial" w:cs="Arial"/>
          <w:sz w:val="22"/>
          <w:szCs w:val="22"/>
        </w:rPr>
        <w:t xml:space="preserve">contaminant.  </w:t>
      </w:r>
      <w:r>
        <w:rPr>
          <w:rFonts w:ascii="Arial" w:hAnsi="Arial" w:cs="Arial"/>
          <w:sz w:val="22"/>
          <w:szCs w:val="22"/>
        </w:rPr>
        <w:t xml:space="preserve">No PCB compounds </w:t>
      </w:r>
      <w:r w:rsidRPr="003E5A85">
        <w:rPr>
          <w:rFonts w:ascii="Arial" w:hAnsi="Arial" w:cs="Arial"/>
          <w:sz w:val="22"/>
          <w:szCs w:val="22"/>
        </w:rPr>
        <w:t xml:space="preserve">were detected, and only </w:t>
      </w:r>
      <w:r>
        <w:rPr>
          <w:rFonts w:ascii="Arial" w:hAnsi="Arial" w:cs="Arial"/>
          <w:sz w:val="22"/>
          <w:szCs w:val="22"/>
        </w:rPr>
        <w:t>7</w:t>
      </w:r>
      <w:r w:rsidRPr="003E5A85">
        <w:rPr>
          <w:rFonts w:ascii="Arial" w:hAnsi="Arial" w:cs="Arial"/>
          <w:sz w:val="22"/>
          <w:szCs w:val="22"/>
        </w:rPr>
        <w:t xml:space="preserve"> samples had detectable amounts of PAHs.  However, the </w:t>
      </w:r>
      <w:r>
        <w:rPr>
          <w:rFonts w:ascii="Arial" w:hAnsi="Arial" w:cs="Arial"/>
          <w:sz w:val="22"/>
          <w:szCs w:val="22"/>
        </w:rPr>
        <w:t>persistent organochlorine pes</w:t>
      </w:r>
      <w:r w:rsidRPr="003E5A85">
        <w:rPr>
          <w:rFonts w:ascii="Arial" w:hAnsi="Arial" w:cs="Arial"/>
          <w:sz w:val="22"/>
          <w:szCs w:val="22"/>
        </w:rPr>
        <w:t>ticide</w:t>
      </w:r>
      <w:r>
        <w:rPr>
          <w:rFonts w:ascii="Arial" w:hAnsi="Arial" w:cs="Arial"/>
          <w:sz w:val="22"/>
          <w:szCs w:val="22"/>
        </w:rPr>
        <w:t>s</w:t>
      </w:r>
      <w:r w:rsidRPr="003E5A85">
        <w:rPr>
          <w:rFonts w:ascii="Arial" w:hAnsi="Arial" w:cs="Arial"/>
          <w:sz w:val="22"/>
          <w:szCs w:val="22"/>
        </w:rPr>
        <w:t xml:space="preserve"> </w:t>
      </w:r>
      <w:r>
        <w:rPr>
          <w:rFonts w:ascii="Arial" w:hAnsi="Arial" w:cs="Arial"/>
          <w:sz w:val="22"/>
          <w:szCs w:val="22"/>
        </w:rPr>
        <w:t xml:space="preserve">DDT (along with </w:t>
      </w:r>
      <w:r w:rsidRPr="003E5A85">
        <w:rPr>
          <w:rFonts w:ascii="Arial" w:hAnsi="Arial" w:cs="Arial"/>
          <w:sz w:val="22"/>
          <w:szCs w:val="22"/>
        </w:rPr>
        <w:t>its breakdown products, DDD and DDE</w:t>
      </w:r>
      <w:r>
        <w:rPr>
          <w:rFonts w:ascii="Arial" w:hAnsi="Arial" w:cs="Arial"/>
          <w:sz w:val="22"/>
          <w:szCs w:val="22"/>
        </w:rPr>
        <w:t xml:space="preserve">) </w:t>
      </w:r>
      <w:r w:rsidRPr="003E5A85">
        <w:rPr>
          <w:rFonts w:ascii="Arial" w:hAnsi="Arial" w:cs="Arial"/>
          <w:sz w:val="22"/>
          <w:szCs w:val="22"/>
        </w:rPr>
        <w:t xml:space="preserve">and chlordane were detected at 20 stations.  </w:t>
      </w:r>
      <w:r>
        <w:rPr>
          <w:rFonts w:ascii="Arial" w:hAnsi="Arial" w:cs="Arial"/>
          <w:sz w:val="22"/>
          <w:szCs w:val="22"/>
        </w:rPr>
        <w:t>The two Group 1 basins with the most exceedances of the higher organic contaminant guideline were the Ocklawaha Basin, which is heavily agricultural, and the urban Tampa Bay Basin.  C</w:t>
      </w:r>
      <w:r w:rsidRPr="003E5A85">
        <w:rPr>
          <w:rFonts w:ascii="Arial" w:hAnsi="Arial" w:cs="Arial"/>
          <w:sz w:val="22"/>
          <w:szCs w:val="22"/>
        </w:rPr>
        <w:t>hlordane, a now</w:t>
      </w:r>
      <w:r>
        <w:rPr>
          <w:rFonts w:ascii="Arial" w:hAnsi="Arial" w:cs="Arial"/>
          <w:sz w:val="22"/>
          <w:szCs w:val="22"/>
        </w:rPr>
        <w:t>-</w:t>
      </w:r>
      <w:r w:rsidRPr="003E5A85">
        <w:rPr>
          <w:rFonts w:ascii="Arial" w:hAnsi="Arial" w:cs="Arial"/>
          <w:sz w:val="22"/>
          <w:szCs w:val="22"/>
        </w:rPr>
        <w:t xml:space="preserve">banned but formerly </w:t>
      </w:r>
      <w:r>
        <w:rPr>
          <w:rFonts w:ascii="Arial" w:hAnsi="Arial" w:cs="Arial"/>
          <w:sz w:val="22"/>
          <w:szCs w:val="22"/>
        </w:rPr>
        <w:t xml:space="preserve">widely </w:t>
      </w:r>
      <w:r w:rsidRPr="003E5A85">
        <w:rPr>
          <w:rFonts w:ascii="Arial" w:hAnsi="Arial" w:cs="Arial"/>
          <w:sz w:val="22"/>
          <w:szCs w:val="22"/>
        </w:rPr>
        <w:t xml:space="preserve">used termiticide, was detected in </w:t>
      </w:r>
      <w:r>
        <w:rPr>
          <w:rFonts w:ascii="Arial" w:hAnsi="Arial" w:cs="Arial"/>
          <w:sz w:val="22"/>
          <w:szCs w:val="22"/>
        </w:rPr>
        <w:t>7</w:t>
      </w:r>
      <w:r w:rsidRPr="003E5A85">
        <w:rPr>
          <w:rFonts w:ascii="Arial" w:hAnsi="Arial" w:cs="Arial"/>
          <w:sz w:val="22"/>
          <w:szCs w:val="22"/>
        </w:rPr>
        <w:t xml:space="preserve"> lake</w:t>
      </w:r>
      <w:r>
        <w:rPr>
          <w:rFonts w:ascii="Arial" w:hAnsi="Arial" w:cs="Arial"/>
          <w:sz w:val="22"/>
          <w:szCs w:val="22"/>
        </w:rPr>
        <w:t xml:space="preserve"> sediment samples</w:t>
      </w:r>
      <w:r w:rsidRPr="003E5A85">
        <w:rPr>
          <w:rFonts w:ascii="Arial" w:hAnsi="Arial" w:cs="Arial"/>
          <w:sz w:val="22"/>
          <w:szCs w:val="22"/>
        </w:rPr>
        <w:t xml:space="preserve">, all in the Tampa Bay </w:t>
      </w:r>
      <w:r>
        <w:rPr>
          <w:rFonts w:ascii="Arial" w:hAnsi="Arial" w:cs="Arial"/>
          <w:sz w:val="22"/>
          <w:szCs w:val="22"/>
        </w:rPr>
        <w:t>Basin.</w:t>
      </w:r>
    </w:p>
    <w:p w:rsidR="00485094" w:rsidRDefault="00485094" w:rsidP="00707D7A">
      <w:pPr>
        <w:rPr>
          <w:rFonts w:ascii="Arial" w:hAnsi="Arial" w:cs="Arial"/>
          <w:sz w:val="22"/>
          <w:szCs w:val="22"/>
        </w:rPr>
      </w:pPr>
    </w:p>
    <w:p w:rsidR="00485094" w:rsidRDefault="00485094">
      <w:pPr>
        <w:pStyle w:val="Heading3"/>
      </w:pPr>
      <w:bookmarkStart w:id="637" w:name="_Toc262484173"/>
      <w:bookmarkStart w:id="638" w:name="_Toc271794376"/>
      <w:bookmarkStart w:id="639" w:name="_Toc255822567"/>
      <w:r>
        <w:t>Estuarine</w:t>
      </w:r>
      <w:r w:rsidRPr="00B22DB9">
        <w:t xml:space="preserve"> and Marine Sediment</w:t>
      </w:r>
      <w:r>
        <w:t>s</w:t>
      </w:r>
      <w:bookmarkEnd w:id="637"/>
      <w:bookmarkEnd w:id="638"/>
    </w:p>
    <w:p w:rsidR="00485094" w:rsidRDefault="00485094" w:rsidP="00525390">
      <w:pPr>
        <w:pStyle w:val="Bodytext"/>
        <w:rPr>
          <w:snapToGrid w:val="0"/>
        </w:rPr>
      </w:pPr>
      <w:r>
        <w:rPr>
          <w:rFonts w:cs="Arial"/>
          <w:szCs w:val="22"/>
        </w:rPr>
        <w:t>From several perspectives—economic, social, demographic, and particularly ecological—Florida’s inshore marine resources are one of the state's most valuable assets.  But the state’s</w:t>
      </w:r>
      <w:r w:rsidRPr="00AE1D2A">
        <w:t xml:space="preserve"> geologic and hydrologic features make its </w:t>
      </w:r>
      <w:r>
        <w:t xml:space="preserve">coastal </w:t>
      </w:r>
      <w:r w:rsidRPr="00AE1D2A">
        <w:t>surface water</w:t>
      </w:r>
      <w:r>
        <w:t xml:space="preserve">s and sediments </w:t>
      </w:r>
      <w:r w:rsidRPr="00AE1D2A">
        <w:t xml:space="preserve">relatively vulnerable to contamination.  Sediment contamination is particularly important to water quality, because </w:t>
      </w:r>
      <w:r>
        <w:t xml:space="preserve">sediments </w:t>
      </w:r>
      <w:r w:rsidRPr="00AE1D2A">
        <w:t xml:space="preserve">and surface water interact extensively.  </w:t>
      </w:r>
      <w:r>
        <w:rPr>
          <w:snapToGrid w:val="0"/>
        </w:rPr>
        <w:t xml:space="preserve">Although Florida currently has no criteria for heavy metals or toxic organic contaminants in estuarine sediments, FDEP does have </w:t>
      </w:r>
      <w:r>
        <w:rPr>
          <w:snapToGrid w:val="0"/>
        </w:rPr>
        <w:lastRenderedPageBreak/>
        <w:t>sediment guidelines to assess current conditions, to identify contaminated areas, and to provide background information for project managers.  Guidance concentrations for most sediment contaminants are available for both fresh and estuarine/marine waters.</w:t>
      </w:r>
    </w:p>
    <w:p w:rsidR="00485094" w:rsidRDefault="00485094" w:rsidP="00525390">
      <w:pPr>
        <w:pStyle w:val="Bodytext"/>
        <w:rPr>
          <w:snapToGrid w:val="0"/>
        </w:rPr>
      </w:pPr>
    </w:p>
    <w:p w:rsidR="00485094" w:rsidRDefault="00485094" w:rsidP="00525390">
      <w:pPr>
        <w:pStyle w:val="Bodytext"/>
        <w:rPr>
          <w:snapToGrid w:val="0"/>
        </w:rPr>
      </w:pPr>
      <w:r>
        <w:rPr>
          <w:snapToGrid w:val="0"/>
        </w:rPr>
        <w:t>Starting in the 1980s, Florida Department of Environmental Regulation (FDER) staff began carrying out a number of surveys to assess sediment contamination.  From 1983 to 1984, sediments were collected as part of the Deepwater Ports Project from sites near dense population centers and close to commercial channels and ship berths.  A second survey, from 1985 to 1991, assessed sites where contamination was expected because of flows from tributaries and local land use practices.  A third survey examined sites in relatively remote or unimpacted areas.  The assembled data provided FDER staff with much needed sediment chemistry information.  For example, they were used to determine the natural background concentrations of certain metals in Florida coastal sediments, including arsenic, cadmium, chromium, copper, mercury, lead, and zinc.  T</w:t>
      </w:r>
      <w:r w:rsidRPr="00D016FC">
        <w:rPr>
          <w:snapToGrid w:val="0"/>
        </w:rPr>
        <w:t xml:space="preserve">his effort culminated in the release of the document, </w:t>
      </w:r>
      <w:hyperlink r:id="rId142" w:history="1">
        <w:r w:rsidRPr="00525390">
          <w:rPr>
            <w:rStyle w:val="Hyperlink"/>
            <w:i/>
            <w:snapToGrid w:val="0"/>
          </w:rPr>
          <w:t>A Guide to Interpretation of Metal Concentrations in Estuarine Sediments</w:t>
        </w:r>
      </w:hyperlink>
      <w:r w:rsidRPr="00D016FC">
        <w:rPr>
          <w:snapToGrid w:val="0"/>
        </w:rPr>
        <w:t xml:space="preserve"> (Schropp and Windom, 1988</w:t>
      </w:r>
      <w:r>
        <w:rPr>
          <w:snapToGrid w:val="0"/>
        </w:rPr>
        <w:t xml:space="preserve">), which employed </w:t>
      </w:r>
      <w:r w:rsidRPr="00072C64">
        <w:rPr>
          <w:rFonts w:cs="Arial"/>
          <w:szCs w:val="22"/>
        </w:rPr>
        <w:t>statistical normalization techniques to determine background concentrations of metals in sediments</w:t>
      </w:r>
      <w:r>
        <w:rPr>
          <w:snapToGrid w:val="0"/>
        </w:rPr>
        <w:t xml:space="preserve"> </w:t>
      </w:r>
    </w:p>
    <w:p w:rsidR="00485094" w:rsidRDefault="00485094" w:rsidP="00525390">
      <w:pPr>
        <w:pStyle w:val="Bodytext"/>
        <w:rPr>
          <w:snapToGrid w:val="0"/>
        </w:rPr>
      </w:pPr>
    </w:p>
    <w:p w:rsidR="00485094" w:rsidRPr="00BB45F3" w:rsidRDefault="00485094" w:rsidP="00525390">
      <w:pPr>
        <w:pStyle w:val="Bodytext"/>
        <w:rPr>
          <w:b/>
          <w:snapToGrid w:val="0"/>
        </w:rPr>
      </w:pPr>
      <w:r>
        <w:rPr>
          <w:snapToGrid w:val="0"/>
        </w:rPr>
        <w:t>In the early 1990s, the sediment research staff at the former FDER, now called FDEP, took this dataset (over 700 sites), and combined it with data from 42 sites collected by NOAA’s National Status and Trends Program (NSTP) and 33 sites in the St. Johns River collected by Mote Marine Laboratory (MML), a marine research facility in Sarasota.  This enlarged dataset was later incorporated into a statewide Sediment Atlas that contained information collected from nearly 800 sites, and displayed metals contamination data as well as data for five classes of organic contaminants:  chlorinated hydrocarbons (pesticides), polycyclic aromatic hydrocarbons (PAHs), polychlorinated biphenyls, phenolic hydrocarbons, and aliphatic hydrocarbons.</w:t>
      </w:r>
      <w:r>
        <w:rPr>
          <w:rStyle w:val="FootnoteReference"/>
          <w:snapToGrid w:val="0"/>
        </w:rPr>
        <w:footnoteReference w:id="7"/>
      </w:r>
      <w:r>
        <w:rPr>
          <w:snapToGrid w:val="0"/>
        </w:rPr>
        <w:t xml:space="preserve">  The purpose of the Atlas was to document the locations of contaminated sediments throughout the state’s coastal waters.</w:t>
      </w:r>
    </w:p>
    <w:p w:rsidR="00485094" w:rsidRDefault="00485094" w:rsidP="00525390">
      <w:pPr>
        <w:pStyle w:val="Bodytext"/>
        <w:rPr>
          <w:snapToGrid w:val="0"/>
        </w:rPr>
      </w:pPr>
    </w:p>
    <w:p w:rsidR="00485094" w:rsidRPr="00AA2DDF" w:rsidRDefault="00485094" w:rsidP="00525390">
      <w:pPr>
        <w:pStyle w:val="Bodytext"/>
        <w:rPr>
          <w:rFonts w:cs="Arial"/>
          <w:snapToGrid w:val="0"/>
        </w:rPr>
      </w:pPr>
      <w:r>
        <w:rPr>
          <w:snapToGrid w:val="0"/>
        </w:rPr>
        <w:t>In the Atlas, estuarine sediment metal contamination above background levels was most often seen for cadmium, mercury, lead, and zinc.  PAHs were found in about 70% of the samples tested for organic chemicals.  Of this group, fluoranthene and pyrene were found in more than 50% of the samples.  Not surprisingly, more contaminants were found in urban watersheds than in rural or undeveloped watersheds.</w:t>
      </w:r>
    </w:p>
    <w:p w:rsidR="00485094" w:rsidRPr="00AA2DDF" w:rsidRDefault="00485094" w:rsidP="00525390">
      <w:pPr>
        <w:pStyle w:val="Bodytext"/>
        <w:rPr>
          <w:rFonts w:cs="Arial"/>
          <w:snapToGrid w:val="0"/>
        </w:rPr>
      </w:pPr>
    </w:p>
    <w:p w:rsidR="00485094" w:rsidRDefault="00485094" w:rsidP="00525390">
      <w:pPr>
        <w:rPr>
          <w:rFonts w:ascii="Arial" w:hAnsi="Arial" w:cs="Arial"/>
          <w:snapToGrid w:val="0"/>
          <w:sz w:val="22"/>
          <w:szCs w:val="22"/>
        </w:rPr>
      </w:pPr>
      <w:r w:rsidRPr="00862D14">
        <w:rPr>
          <w:rFonts w:ascii="Arial" w:hAnsi="Arial" w:cs="Arial"/>
          <w:snapToGrid w:val="0"/>
          <w:sz w:val="22"/>
          <w:szCs w:val="22"/>
        </w:rPr>
        <w:t xml:space="preserve">As mentioned in </w:t>
      </w:r>
      <w:hyperlink w:anchor="_Chapter_6:_" w:history="1">
        <w:r w:rsidRPr="00512DF2">
          <w:rPr>
            <w:rStyle w:val="Hyperlink"/>
            <w:rFonts w:ascii="Arial" w:hAnsi="Arial" w:cs="Arial"/>
            <w:snapToGrid w:val="0"/>
            <w:sz w:val="22"/>
            <w:szCs w:val="22"/>
          </w:rPr>
          <w:t>Chapter 6</w:t>
        </w:r>
      </w:hyperlink>
      <w:r w:rsidRPr="00862D14">
        <w:rPr>
          <w:rFonts w:ascii="Arial" w:hAnsi="Arial" w:cs="Arial"/>
          <w:snapToGrid w:val="0"/>
          <w:sz w:val="22"/>
          <w:szCs w:val="22"/>
        </w:rPr>
        <w:t xml:space="preserve"> for the Watershed Monitoring Section’s freshwater sediment evaluation project, guidelines were developed to assess sediment contaminants in estuarine and marine sediments as well.</w:t>
      </w:r>
      <w:r w:rsidRPr="00862D14">
        <w:rPr>
          <w:snapToGrid w:val="0"/>
          <w:sz w:val="22"/>
          <w:szCs w:val="22"/>
        </w:rPr>
        <w:t xml:space="preserve">  </w:t>
      </w:r>
      <w:r w:rsidRPr="00862D14">
        <w:rPr>
          <w:rFonts w:ascii="Arial" w:hAnsi="Arial" w:cs="Arial"/>
          <w:snapToGrid w:val="0"/>
          <w:color w:val="000000"/>
          <w:sz w:val="22"/>
          <w:szCs w:val="22"/>
        </w:rPr>
        <w:t xml:space="preserve">The document </w:t>
      </w:r>
      <w:hyperlink r:id="rId143" w:history="1">
        <w:r w:rsidRPr="00D145F4">
          <w:rPr>
            <w:rStyle w:val="Hyperlink"/>
            <w:rFonts w:ascii="Arial" w:hAnsi="Arial" w:cs="Arial"/>
            <w:i/>
            <w:iCs/>
            <w:sz w:val="22"/>
            <w:szCs w:val="22"/>
          </w:rPr>
          <w:t>Approach to the Assessment of Sediment Quality in Florida Coastal Waters</w:t>
        </w:r>
        <w:r>
          <w:rPr>
            <w:rStyle w:val="Hyperlink"/>
            <w:rFonts w:ascii="Arial" w:hAnsi="Arial" w:cs="Arial"/>
            <w:iCs/>
            <w:sz w:val="22"/>
            <w:szCs w:val="22"/>
          </w:rPr>
          <w:t xml:space="preserve"> </w:t>
        </w:r>
      </w:hyperlink>
      <w:r w:rsidRPr="00862D14">
        <w:rPr>
          <w:rFonts w:ascii="Arial" w:hAnsi="Arial" w:cs="Arial"/>
          <w:i/>
          <w:iCs/>
          <w:sz w:val="22"/>
          <w:szCs w:val="22"/>
        </w:rPr>
        <w:t>(</w:t>
      </w:r>
      <w:r w:rsidRPr="00862D14">
        <w:rPr>
          <w:rFonts w:ascii="Arial" w:hAnsi="Arial" w:cs="Arial"/>
          <w:iCs/>
          <w:sz w:val="22"/>
          <w:szCs w:val="22"/>
        </w:rPr>
        <w:t>MacDonald Environmental Sciences Ltd.</w:t>
      </w:r>
      <w:r>
        <w:rPr>
          <w:rFonts w:ascii="Arial" w:hAnsi="Arial" w:cs="Arial"/>
          <w:iCs/>
          <w:sz w:val="22"/>
          <w:szCs w:val="22"/>
        </w:rPr>
        <w:t>,</w:t>
      </w:r>
      <w:r w:rsidRPr="00862D14">
        <w:rPr>
          <w:rFonts w:ascii="Arial" w:hAnsi="Arial" w:cs="Arial"/>
          <w:iCs/>
          <w:sz w:val="22"/>
          <w:szCs w:val="22"/>
        </w:rPr>
        <w:t xml:space="preserve"> </w:t>
      </w:r>
      <w:r>
        <w:rPr>
          <w:rFonts w:ascii="Arial" w:hAnsi="Arial" w:cs="Arial"/>
          <w:iCs/>
          <w:sz w:val="22"/>
          <w:szCs w:val="22"/>
        </w:rPr>
        <w:t>1994</w:t>
      </w:r>
      <w:r w:rsidRPr="00862D14">
        <w:rPr>
          <w:rFonts w:ascii="Arial" w:hAnsi="Arial" w:cs="Arial"/>
          <w:iCs/>
          <w:sz w:val="22"/>
          <w:szCs w:val="22"/>
        </w:rPr>
        <w:t>) is still the source of FDEP</w:t>
      </w:r>
      <w:r>
        <w:rPr>
          <w:rFonts w:ascii="Arial" w:hAnsi="Arial" w:cs="Arial"/>
          <w:iCs/>
          <w:sz w:val="22"/>
          <w:szCs w:val="22"/>
        </w:rPr>
        <w:t>’s</w:t>
      </w:r>
      <w:r w:rsidRPr="00862D14">
        <w:rPr>
          <w:rFonts w:ascii="Arial" w:hAnsi="Arial" w:cs="Arial"/>
          <w:iCs/>
          <w:sz w:val="22"/>
          <w:szCs w:val="22"/>
        </w:rPr>
        <w:t xml:space="preserve"> contaminated sediment guidance in 2010.  </w:t>
      </w:r>
      <w:r w:rsidRPr="00862D14">
        <w:rPr>
          <w:rFonts w:ascii="Arial" w:hAnsi="Arial" w:cs="Arial"/>
          <w:snapToGrid w:val="0"/>
          <w:sz w:val="22"/>
          <w:szCs w:val="22"/>
        </w:rPr>
        <w:t xml:space="preserve">Although the guidelines are a valuable tool, they </w:t>
      </w:r>
      <w:r>
        <w:rPr>
          <w:rFonts w:ascii="Arial" w:hAnsi="Arial" w:cs="Arial"/>
          <w:snapToGrid w:val="0"/>
          <w:sz w:val="22"/>
          <w:szCs w:val="22"/>
        </w:rPr>
        <w:t xml:space="preserve">must </w:t>
      </w:r>
      <w:r w:rsidRPr="00862D14">
        <w:rPr>
          <w:rFonts w:ascii="Arial" w:hAnsi="Arial" w:cs="Arial"/>
          <w:snapToGrid w:val="0"/>
          <w:sz w:val="22"/>
          <w:szCs w:val="22"/>
        </w:rPr>
        <w:t>be used with other tools and assessment procedures.  The</w:t>
      </w:r>
      <w:r>
        <w:rPr>
          <w:rFonts w:ascii="Arial" w:hAnsi="Arial" w:cs="Arial"/>
          <w:snapToGrid w:val="0"/>
          <w:sz w:val="22"/>
          <w:szCs w:val="22"/>
        </w:rPr>
        <w:t xml:space="preserve"> sediment guidelines </w:t>
      </w:r>
      <w:r w:rsidRPr="00862D14">
        <w:rPr>
          <w:rFonts w:ascii="Arial" w:hAnsi="Arial" w:cs="Arial"/>
          <w:snapToGrid w:val="0"/>
          <w:sz w:val="22"/>
          <w:szCs w:val="22"/>
        </w:rPr>
        <w:t>do not replace dredging disposal criteria or formal procedures, nor are they meant to be sediment quality criteria or numeric attainment levels for cleaning up Superfund sites.</w:t>
      </w:r>
    </w:p>
    <w:p w:rsidR="00485094" w:rsidRDefault="00485094" w:rsidP="00525390">
      <w:pPr>
        <w:rPr>
          <w:rFonts w:ascii="Arial" w:hAnsi="Arial" w:cs="Arial"/>
          <w:snapToGrid w:val="0"/>
          <w:sz w:val="22"/>
          <w:szCs w:val="22"/>
        </w:rPr>
      </w:pPr>
    </w:p>
    <w:p w:rsidR="00485094" w:rsidRPr="00C81219" w:rsidRDefault="00485094" w:rsidP="00D145F4">
      <w:pPr>
        <w:rPr>
          <w:rStyle w:val="BodytextChar1"/>
          <w:sz w:val="22"/>
        </w:rPr>
      </w:pPr>
      <w:r w:rsidRPr="00862D14">
        <w:rPr>
          <w:rFonts w:ascii="Arial" w:hAnsi="Arial" w:cs="Arial"/>
          <w:bCs/>
          <w:sz w:val="22"/>
          <w:szCs w:val="22"/>
        </w:rPr>
        <w:t xml:space="preserve">Although FDEP no longer </w:t>
      </w:r>
      <w:r w:rsidR="00533252">
        <w:rPr>
          <w:rFonts w:ascii="Arial" w:hAnsi="Arial" w:cs="Arial"/>
          <w:bCs/>
          <w:sz w:val="22"/>
          <w:szCs w:val="22"/>
        </w:rPr>
        <w:t>carries out</w:t>
      </w:r>
      <w:r w:rsidR="00533252" w:rsidRPr="00862D14">
        <w:rPr>
          <w:rFonts w:ascii="Arial" w:hAnsi="Arial" w:cs="Arial"/>
          <w:bCs/>
          <w:sz w:val="22"/>
          <w:szCs w:val="22"/>
        </w:rPr>
        <w:t xml:space="preserve"> </w:t>
      </w:r>
      <w:r w:rsidR="00533252">
        <w:rPr>
          <w:rFonts w:ascii="Arial" w:hAnsi="Arial" w:cs="Arial"/>
          <w:bCs/>
          <w:sz w:val="22"/>
          <w:szCs w:val="22"/>
        </w:rPr>
        <w:t xml:space="preserve">regular </w:t>
      </w:r>
      <w:r w:rsidRPr="00862D14">
        <w:rPr>
          <w:rFonts w:ascii="Arial" w:hAnsi="Arial" w:cs="Arial"/>
          <w:bCs/>
          <w:sz w:val="22"/>
          <w:szCs w:val="22"/>
        </w:rPr>
        <w:t xml:space="preserve">estuarine and marine sediment monitoring, the </w:t>
      </w:r>
      <w:r>
        <w:rPr>
          <w:rFonts w:ascii="Arial" w:hAnsi="Arial" w:cs="Arial"/>
          <w:sz w:val="22"/>
          <w:szCs w:val="22"/>
        </w:rPr>
        <w:t>F</w:t>
      </w:r>
      <w:r w:rsidR="00533252">
        <w:rPr>
          <w:rFonts w:ascii="Arial" w:hAnsi="Arial" w:cs="Arial"/>
          <w:sz w:val="22"/>
          <w:szCs w:val="22"/>
        </w:rPr>
        <w:t>WC’s F</w:t>
      </w:r>
      <w:r>
        <w:rPr>
          <w:rFonts w:ascii="Arial" w:hAnsi="Arial" w:cs="Arial"/>
          <w:sz w:val="22"/>
          <w:szCs w:val="22"/>
        </w:rPr>
        <w:t xml:space="preserve">lorida </w:t>
      </w:r>
      <w:r w:rsidRPr="00862D14">
        <w:rPr>
          <w:rFonts w:ascii="Arial" w:hAnsi="Arial" w:cs="Arial"/>
          <w:bCs/>
          <w:sz w:val="22"/>
          <w:szCs w:val="22"/>
        </w:rPr>
        <w:t xml:space="preserve">Marine Research Institute </w:t>
      </w:r>
      <w:r>
        <w:rPr>
          <w:rFonts w:ascii="Arial" w:hAnsi="Arial" w:cs="Arial"/>
          <w:bCs/>
          <w:sz w:val="22"/>
          <w:szCs w:val="22"/>
        </w:rPr>
        <w:t>(FMRI) conducted</w:t>
      </w:r>
      <w:r w:rsidRPr="00862D14">
        <w:rPr>
          <w:rFonts w:ascii="Arial" w:hAnsi="Arial" w:cs="Arial"/>
          <w:bCs/>
          <w:sz w:val="22"/>
          <w:szCs w:val="22"/>
        </w:rPr>
        <w:t xml:space="preserve"> a </w:t>
      </w:r>
      <w:r w:rsidRPr="00862D14">
        <w:rPr>
          <w:rFonts w:ascii="Arial" w:hAnsi="Arial" w:cs="Arial"/>
          <w:sz w:val="22"/>
          <w:szCs w:val="22"/>
        </w:rPr>
        <w:t>series of coastal and estuarine sediment chem</w:t>
      </w:r>
      <w:r>
        <w:rPr>
          <w:rFonts w:ascii="Arial" w:hAnsi="Arial" w:cs="Arial"/>
          <w:sz w:val="22"/>
          <w:szCs w:val="22"/>
        </w:rPr>
        <w:t xml:space="preserve">istry </w:t>
      </w:r>
      <w:r w:rsidRPr="00862D14">
        <w:rPr>
          <w:rFonts w:ascii="Arial" w:hAnsi="Arial" w:cs="Arial"/>
          <w:sz w:val="22"/>
          <w:szCs w:val="22"/>
        </w:rPr>
        <w:t xml:space="preserve">surveys </w:t>
      </w:r>
      <w:r>
        <w:rPr>
          <w:rFonts w:ascii="Arial" w:hAnsi="Arial" w:cs="Arial"/>
          <w:sz w:val="22"/>
          <w:szCs w:val="22"/>
        </w:rPr>
        <w:t xml:space="preserve">from 2000 through 2004, and prepared a series of annual reports that outlined its results and activities.  The program, named the Florida Inshore Marine Monitoring and Assessment Program (IMAP), was a collaborative project between the EPA and </w:t>
      </w:r>
      <w:r>
        <w:rPr>
          <w:rFonts w:ascii="Arial" w:hAnsi="Arial" w:cs="Arial"/>
          <w:sz w:val="22"/>
          <w:szCs w:val="22"/>
        </w:rPr>
        <w:lastRenderedPageBreak/>
        <w:t xml:space="preserve">FMRI.  IMAP was designed to assess the ecological condition of Florida’s inshore waters using a set of ecological indicators combined with water and sediment chemistry results.  IMAP began full-scale field sampling in the summer of 2000, and ended the work in 2004.  The results of these efforts are available on </w:t>
      </w:r>
      <w:r w:rsidRPr="00CA461C">
        <w:rPr>
          <w:rStyle w:val="BodytextChar1"/>
          <w:sz w:val="22"/>
        </w:rPr>
        <w:t xml:space="preserve">the </w:t>
      </w:r>
      <w:hyperlink r:id="rId144" w:history="1">
        <w:r w:rsidRPr="006A373D">
          <w:rPr>
            <w:rStyle w:val="Hyperlink"/>
            <w:rFonts w:ascii="Arial" w:hAnsi="Arial" w:cs="Arial"/>
            <w:sz w:val="22"/>
          </w:rPr>
          <w:t>FMRI website</w:t>
        </w:r>
      </w:hyperlink>
      <w:r w:rsidRPr="00CA461C">
        <w:rPr>
          <w:rStyle w:val="BodytextChar1"/>
          <w:sz w:val="22"/>
        </w:rPr>
        <w:t>.</w:t>
      </w:r>
    </w:p>
    <w:p w:rsidR="00485094" w:rsidRDefault="00485094" w:rsidP="00525390">
      <w:pPr>
        <w:autoSpaceDE w:val="0"/>
        <w:autoSpaceDN w:val="0"/>
        <w:adjustRightInd w:val="0"/>
        <w:rPr>
          <w:rFonts w:ascii="Arial" w:hAnsi="Arial" w:cs="Arial"/>
          <w:sz w:val="22"/>
          <w:szCs w:val="22"/>
        </w:rPr>
      </w:pPr>
    </w:p>
    <w:p w:rsidR="00485094" w:rsidRDefault="00485094" w:rsidP="00525390">
      <w:pPr>
        <w:autoSpaceDE w:val="0"/>
        <w:autoSpaceDN w:val="0"/>
        <w:adjustRightInd w:val="0"/>
        <w:rPr>
          <w:rFonts w:ascii="Arial" w:hAnsi="Arial" w:cs="Arial"/>
          <w:sz w:val="22"/>
          <w:szCs w:val="22"/>
        </w:rPr>
      </w:pPr>
      <w:r>
        <w:rPr>
          <w:rFonts w:ascii="Arial" w:hAnsi="Arial" w:cs="Arial"/>
          <w:sz w:val="22"/>
          <w:szCs w:val="22"/>
        </w:rPr>
        <w:t xml:space="preserve">Some Florida county governments also have active coastal sediment monitoring programs, or did in the recent past.  Dade (Miami) and Hillsborough County governments both have engaged in extensive sediment monitoring efforts to assess the status of their coastal waters.  The St. Johns River Water Management District has also conducted extensive sediment sampling up and down the St. Johns River, from the estuary mouth and back upstream.  </w:t>
      </w:r>
    </w:p>
    <w:p w:rsidR="00485094" w:rsidRDefault="00485094" w:rsidP="00525390"/>
    <w:bookmarkEnd w:id="639"/>
    <w:p w:rsidR="00485094" w:rsidRPr="00F35C56" w:rsidRDefault="00485094" w:rsidP="00F35C56">
      <w:pPr>
        <w:pStyle w:val="Bodytextreduced"/>
        <w:rPr>
          <w:szCs w:val="16"/>
        </w:rPr>
      </w:pPr>
      <w:r>
        <w:rPr>
          <w:rFonts w:cs="Arial"/>
          <w:bCs/>
          <w:sz w:val="22"/>
          <w:szCs w:val="22"/>
        </w:rPr>
        <w:br w:type="page"/>
      </w:r>
    </w:p>
    <w:p w:rsidR="00FC6EE0" w:rsidRDefault="00FC6EE0" w:rsidP="00FC6EE0">
      <w:pPr>
        <w:pStyle w:val="Bodytextreduced"/>
      </w:pPr>
      <w:bookmarkStart w:id="640" w:name="_Toc209241271"/>
      <w:bookmarkStart w:id="641" w:name="_Toc255822568"/>
    </w:p>
    <w:p w:rsidR="00485094" w:rsidRPr="003A4461" w:rsidRDefault="00485094" w:rsidP="003B37D3">
      <w:pPr>
        <w:pStyle w:val="Heading1"/>
      </w:pPr>
      <w:bookmarkStart w:id="642" w:name="_Toc271794377"/>
      <w:r>
        <w:t xml:space="preserve">Chapter 9:  Introduction to </w:t>
      </w:r>
      <w:r w:rsidRPr="003A4461">
        <w:t>Ground Water Monitoring</w:t>
      </w:r>
      <w:bookmarkEnd w:id="640"/>
      <w:bookmarkEnd w:id="641"/>
      <w:bookmarkEnd w:id="642"/>
      <w:r w:rsidRPr="003A4461">
        <w:t xml:space="preserve"> </w:t>
      </w:r>
    </w:p>
    <w:p w:rsidR="00485094" w:rsidRPr="00BE569D" w:rsidRDefault="00485094" w:rsidP="001B0F18">
      <w:pPr>
        <w:pStyle w:val="Heading2"/>
      </w:pPr>
      <w:bookmarkStart w:id="643" w:name="_Toc257365063"/>
      <w:bookmarkStart w:id="644" w:name="_Toc271794378"/>
      <w:bookmarkStart w:id="645" w:name="_Toc209241272"/>
      <w:bookmarkStart w:id="646" w:name="_Toc255822569"/>
      <w:r w:rsidRPr="00BE569D">
        <w:t>Summary of Ground Water Monitoring Programs</w:t>
      </w:r>
      <w:bookmarkEnd w:id="643"/>
      <w:bookmarkEnd w:id="644"/>
      <w:r w:rsidRPr="00BE569D">
        <w:t xml:space="preserve"> </w:t>
      </w:r>
    </w:p>
    <w:p w:rsidR="00485094" w:rsidRDefault="00485094" w:rsidP="001B0F18">
      <w:pPr>
        <w:pStyle w:val="Bodytext"/>
      </w:pPr>
      <w:r>
        <w:t xml:space="preserve">The quality of ground water is of foremost concern in </w:t>
      </w:r>
      <w:smartTag w:uri="urn:schemas-microsoft-com:office:smarttags" w:element="State">
        <w:smartTag w:uri="urn:schemas-microsoft-com:office:smarttags" w:element="place">
          <w:r>
            <w:t>Florida</w:t>
          </w:r>
        </w:smartTag>
      </w:smartTag>
      <w:r>
        <w:t xml:space="preserve">, because ground water is so heavily used as a potable water source and because ground water inputs into surface water systems are so important.  Over the years, ground water quality monitoring has been incorporated into several programs.  The programs pertinent to this report are discussed below and summarized in </w:t>
      </w:r>
      <w:r w:rsidRPr="002B1769">
        <w:rPr>
          <w:b/>
          <w:i/>
        </w:rPr>
        <w:t>Table</w:t>
      </w:r>
      <w:r>
        <w:rPr>
          <w:b/>
          <w:i/>
        </w:rPr>
        <w:t>s</w:t>
      </w:r>
      <w:r w:rsidRPr="002B1769">
        <w:rPr>
          <w:b/>
          <w:i/>
        </w:rPr>
        <w:t xml:space="preserve"> </w:t>
      </w:r>
      <w:r>
        <w:rPr>
          <w:b/>
          <w:i/>
        </w:rPr>
        <w:t xml:space="preserve">9.1a </w:t>
      </w:r>
      <w:r w:rsidRPr="00473985">
        <w:t>and</w:t>
      </w:r>
      <w:r>
        <w:rPr>
          <w:b/>
          <w:i/>
        </w:rPr>
        <w:t xml:space="preserve"> 9.1b</w:t>
      </w:r>
      <w:r w:rsidRPr="002B1769">
        <w:rPr>
          <w:b/>
          <w:i/>
        </w:rPr>
        <w:t>.</w:t>
      </w:r>
    </w:p>
    <w:p w:rsidR="00485094" w:rsidRDefault="00485094" w:rsidP="001B0F18">
      <w:pPr>
        <w:pStyle w:val="Bodytext"/>
      </w:pPr>
    </w:p>
    <w:p w:rsidR="00485094" w:rsidRDefault="00485094" w:rsidP="001B0F18">
      <w:pPr>
        <w:pStyle w:val="Tableheading"/>
        <w:rPr>
          <w:snapToGrid w:val="0"/>
        </w:rPr>
      </w:pPr>
      <w:bookmarkStart w:id="647" w:name="_Toc257365162"/>
      <w:bookmarkStart w:id="648" w:name="_Toc271889873"/>
      <w:r>
        <w:rPr>
          <w:snapToGrid w:val="0"/>
        </w:rPr>
        <w:t xml:space="preserve">Table 9.1a.  Summary of Ground Water Monitoring Programs and Data Sources:  </w:t>
      </w:r>
      <w:r>
        <w:rPr>
          <w:snapToGrid w:val="0"/>
        </w:rPr>
        <w:br/>
        <w:t>FDEP-Maintained Monitoring Networks</w:t>
      </w:r>
      <w:bookmarkEnd w:id="647"/>
      <w:bookmarkEnd w:id="648"/>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Default="00485094" w:rsidP="001B0F18">
      <w:pPr>
        <w:pStyle w:val="TabledescriptionBF"/>
        <w:rPr>
          <w:snapToGrid w:val="0"/>
        </w:rPr>
      </w:pP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506"/>
        <w:gridCol w:w="5310"/>
      </w:tblGrid>
      <w:tr w:rsidR="00485094" w:rsidRPr="00847549" w:rsidTr="00E86B70">
        <w:trPr>
          <w:trHeight w:val="377"/>
          <w:jc w:val="center"/>
        </w:trPr>
        <w:tc>
          <w:tcPr>
            <w:tcW w:w="3192"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Monitoring Network or Program</w:t>
            </w:r>
          </w:p>
        </w:tc>
        <w:tc>
          <w:tcPr>
            <w:tcW w:w="1506"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Period</w:t>
            </w:r>
          </w:p>
        </w:tc>
        <w:tc>
          <w:tcPr>
            <w:tcW w:w="5310" w:type="dxa"/>
            <w:tcBorders>
              <w:bottom w:val="double" w:sz="4" w:space="0" w:color="auto"/>
            </w:tcBorders>
            <w:shd w:val="clear" w:color="auto" w:fill="BDFFFF"/>
            <w:vAlign w:val="center"/>
          </w:tcPr>
          <w:p w:rsidR="00485094" w:rsidRPr="00847549" w:rsidRDefault="00485094" w:rsidP="005D2035">
            <w:pPr>
              <w:pStyle w:val="TableText"/>
              <w:jc w:val="center"/>
              <w:rPr>
                <w:b/>
                <w:i/>
                <w:szCs w:val="18"/>
              </w:rPr>
            </w:pPr>
            <w:r w:rsidRPr="00847549">
              <w:rPr>
                <w:b/>
                <w:i/>
                <w:szCs w:val="18"/>
              </w:rPr>
              <w:t>Description</w:t>
            </w:r>
          </w:p>
        </w:tc>
      </w:tr>
      <w:tr w:rsidR="00485094" w:rsidRPr="00101C99" w:rsidTr="005D2035">
        <w:trPr>
          <w:trHeight w:val="1419"/>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tcBorders>
              <w:top w:val="double" w:sz="4" w:space="0" w:color="auto"/>
            </w:tcBorders>
            <w:vAlign w:val="center"/>
          </w:tcPr>
          <w:p w:rsidR="00485094" w:rsidRDefault="00485094" w:rsidP="005D2035">
            <w:pPr>
              <w:pStyle w:val="TableText"/>
              <w:jc w:val="center"/>
              <w:rPr>
                <w:szCs w:val="18"/>
              </w:rPr>
            </w:pPr>
            <w:r w:rsidRPr="00101C99">
              <w:rPr>
                <w:szCs w:val="18"/>
              </w:rPr>
              <w:t>1999–</w:t>
            </w:r>
            <w:r>
              <w:rPr>
                <w:szCs w:val="18"/>
              </w:rPr>
              <w:t>2003</w:t>
            </w:r>
          </w:p>
          <w:p w:rsidR="00485094" w:rsidRPr="00101C99" w:rsidRDefault="00485094" w:rsidP="005D2035">
            <w:pPr>
              <w:pStyle w:val="TableText"/>
              <w:jc w:val="center"/>
              <w:rPr>
                <w:szCs w:val="18"/>
              </w:rPr>
            </w:pPr>
            <w:r>
              <w:rPr>
                <w:szCs w:val="18"/>
              </w:rPr>
              <w:t>2004-2008</w:t>
            </w:r>
          </w:p>
        </w:tc>
        <w:tc>
          <w:tcPr>
            <w:tcW w:w="5310" w:type="dxa"/>
            <w:tcBorders>
              <w:top w:val="double" w:sz="4" w:space="0" w:color="auto"/>
            </w:tcBorders>
            <w:vAlign w:val="center"/>
          </w:tcPr>
          <w:p w:rsidR="00485094" w:rsidRPr="00101C99" w:rsidRDefault="00485094" w:rsidP="005D2035">
            <w:pPr>
              <w:pStyle w:val="TableText"/>
              <w:jc w:val="center"/>
              <w:rPr>
                <w:szCs w:val="18"/>
              </w:rPr>
            </w:pPr>
            <w:r>
              <w:rPr>
                <w:szCs w:val="18"/>
              </w:rPr>
              <w:t>The s</w:t>
            </w:r>
            <w:r w:rsidRPr="00101C99">
              <w:rPr>
                <w:szCs w:val="18"/>
              </w:rPr>
              <w:t xml:space="preserve">tatewide </w:t>
            </w:r>
            <w:r>
              <w:rPr>
                <w:szCs w:val="18"/>
              </w:rPr>
              <w:t>rotating basin, probabilistic sampling network was based on sampling 60 wells from several basins per year.  The 1999–2003 cycle (Cycle 1) completed a statewide survey in 4 years.  During 2004–08, the state adopted the TMDL 29-basin design (Cycle 2), completing the statewide survey in 5 years.  These s</w:t>
            </w:r>
            <w:r w:rsidRPr="00101C99">
              <w:rPr>
                <w:szCs w:val="18"/>
              </w:rPr>
              <w:t xml:space="preserve">ample locations </w:t>
            </w:r>
            <w:r>
              <w:rPr>
                <w:szCs w:val="18"/>
              </w:rPr>
              <w:t>were</w:t>
            </w:r>
            <w:r w:rsidRPr="00101C99">
              <w:rPr>
                <w:szCs w:val="18"/>
              </w:rPr>
              <w:t xml:space="preserve"> randomly selected from a list frame of wells</w:t>
            </w:r>
            <w:r>
              <w:rPr>
                <w:szCs w:val="18"/>
              </w:rPr>
              <w:t>,</w:t>
            </w:r>
            <w:r w:rsidRPr="00101C99">
              <w:rPr>
                <w:szCs w:val="18"/>
              </w:rPr>
              <w:t xml:space="preserve"> with samples collected from </w:t>
            </w:r>
            <w:r>
              <w:rPr>
                <w:szCs w:val="18"/>
              </w:rPr>
              <w:t xml:space="preserve">30 </w:t>
            </w:r>
            <w:r w:rsidRPr="00101C99">
              <w:rPr>
                <w:szCs w:val="18"/>
              </w:rPr>
              <w:t xml:space="preserve">unconfined and </w:t>
            </w:r>
            <w:r>
              <w:rPr>
                <w:szCs w:val="18"/>
              </w:rPr>
              <w:t>30</w:t>
            </w:r>
            <w:r w:rsidRPr="00101C99">
              <w:rPr>
                <w:szCs w:val="18"/>
              </w:rPr>
              <w:t xml:space="preserve"> confined aquifers in </w:t>
            </w:r>
            <w:r>
              <w:rPr>
                <w:szCs w:val="18"/>
              </w:rPr>
              <w:t>each 5 to 6 reporting units</w:t>
            </w:r>
            <w:r w:rsidRPr="00101C99">
              <w:rPr>
                <w:szCs w:val="18"/>
              </w:rPr>
              <w:t>.</w:t>
            </w:r>
            <w:r>
              <w:rPr>
                <w:szCs w:val="18"/>
              </w:rPr>
              <w:t xml:space="preserve">  This report presents the results from Cycle 2.</w:t>
            </w:r>
          </w:p>
        </w:tc>
      </w:tr>
      <w:tr w:rsidR="00485094" w:rsidRPr="00101C99" w:rsidTr="005D2035">
        <w:trPr>
          <w:trHeight w:val="1419"/>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Status Network</w:t>
            </w:r>
          </w:p>
        </w:tc>
        <w:tc>
          <w:tcPr>
            <w:tcW w:w="1506" w:type="dxa"/>
            <w:vAlign w:val="center"/>
          </w:tcPr>
          <w:p w:rsidR="00485094" w:rsidRPr="00101C99" w:rsidRDefault="00485094" w:rsidP="005D2035">
            <w:pPr>
              <w:pStyle w:val="TableText"/>
              <w:jc w:val="center"/>
              <w:rPr>
                <w:szCs w:val="18"/>
              </w:rPr>
            </w:pPr>
            <w:r>
              <w:rPr>
                <w:szCs w:val="18"/>
              </w:rPr>
              <w:t>2009</w:t>
            </w:r>
            <w:r w:rsidRPr="00101C99">
              <w:rPr>
                <w:szCs w:val="18"/>
              </w:rPr>
              <w:t>–ongoing</w:t>
            </w:r>
          </w:p>
        </w:tc>
        <w:tc>
          <w:tcPr>
            <w:tcW w:w="5310" w:type="dxa"/>
            <w:vAlign w:val="center"/>
          </w:tcPr>
          <w:p w:rsidR="00485094" w:rsidRPr="00101C99" w:rsidRDefault="00485094" w:rsidP="005D2035">
            <w:pPr>
              <w:pStyle w:val="TableText"/>
              <w:jc w:val="center"/>
              <w:rPr>
                <w:szCs w:val="18"/>
              </w:rPr>
            </w:pPr>
            <w:r>
              <w:rPr>
                <w:szCs w:val="18"/>
              </w:rPr>
              <w:t>This s</w:t>
            </w:r>
            <w:r w:rsidRPr="00101C99">
              <w:rPr>
                <w:szCs w:val="18"/>
              </w:rPr>
              <w:t>tatewide probabilistic sampling network</w:t>
            </w:r>
            <w:r>
              <w:rPr>
                <w:szCs w:val="18"/>
              </w:rPr>
              <w:t xml:space="preserve"> samples 240 wells annually. </w:t>
            </w:r>
            <w:r w:rsidRPr="00101C99">
              <w:rPr>
                <w:szCs w:val="18"/>
              </w:rPr>
              <w:t xml:space="preserve"> Sample locations are randomly selected from a list frame of wells</w:t>
            </w:r>
            <w:r>
              <w:rPr>
                <w:szCs w:val="18"/>
              </w:rPr>
              <w:t>,</w:t>
            </w:r>
            <w:r w:rsidRPr="00101C99">
              <w:rPr>
                <w:szCs w:val="18"/>
              </w:rPr>
              <w:t xml:space="preserve"> with samples collected from </w:t>
            </w:r>
            <w:r>
              <w:rPr>
                <w:szCs w:val="18"/>
              </w:rPr>
              <w:t>20</w:t>
            </w:r>
            <w:r w:rsidRPr="00101C99">
              <w:rPr>
                <w:szCs w:val="18"/>
              </w:rPr>
              <w:t xml:space="preserve"> unconfined and </w:t>
            </w:r>
            <w:r>
              <w:rPr>
                <w:szCs w:val="18"/>
              </w:rPr>
              <w:t>20</w:t>
            </w:r>
            <w:r w:rsidRPr="00101C99">
              <w:rPr>
                <w:szCs w:val="18"/>
              </w:rPr>
              <w:t xml:space="preserve"> confined aquifers in </w:t>
            </w:r>
            <w:r>
              <w:rPr>
                <w:szCs w:val="18"/>
              </w:rPr>
              <w:t>each of 6 reporting units</w:t>
            </w:r>
            <w:r w:rsidRPr="00101C99">
              <w:rPr>
                <w:szCs w:val="18"/>
              </w:rPr>
              <w:t xml:space="preserve">.  </w:t>
            </w:r>
            <w:r>
              <w:rPr>
                <w:szCs w:val="18"/>
              </w:rPr>
              <w:t xml:space="preserve">The data used </w:t>
            </w:r>
            <w:r w:rsidRPr="00101C99">
              <w:rPr>
                <w:szCs w:val="18"/>
              </w:rPr>
              <w:t xml:space="preserve">to characterize water quality on a </w:t>
            </w:r>
            <w:r>
              <w:rPr>
                <w:szCs w:val="18"/>
              </w:rPr>
              <w:t>statewide</w:t>
            </w:r>
            <w:r w:rsidRPr="00101C99">
              <w:rPr>
                <w:szCs w:val="18"/>
              </w:rPr>
              <w:t xml:space="preserve"> scale</w:t>
            </w:r>
            <w:r>
              <w:rPr>
                <w:szCs w:val="18"/>
              </w:rPr>
              <w:t>,</w:t>
            </w:r>
            <w:r w:rsidRPr="00101C99">
              <w:rPr>
                <w:szCs w:val="18"/>
              </w:rPr>
              <w:t xml:space="preserve"> and </w:t>
            </w:r>
            <w:r>
              <w:rPr>
                <w:szCs w:val="18"/>
              </w:rPr>
              <w:t xml:space="preserve">the </w:t>
            </w:r>
            <w:r w:rsidRPr="00101C99">
              <w:rPr>
                <w:szCs w:val="18"/>
              </w:rPr>
              <w:t>parameters monitored</w:t>
            </w:r>
            <w:r>
              <w:rPr>
                <w:szCs w:val="18"/>
              </w:rPr>
              <w:t>,</w:t>
            </w:r>
            <w:r w:rsidRPr="00101C99">
              <w:rPr>
                <w:szCs w:val="18"/>
              </w:rPr>
              <w:t xml:space="preserve"> correspond with those targeted in surface water evaluations.</w:t>
            </w:r>
          </w:p>
        </w:tc>
      </w:tr>
      <w:tr w:rsidR="00485094" w:rsidRPr="00101C99" w:rsidTr="005D2035">
        <w:trPr>
          <w:trHeight w:val="1070"/>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Background Network and</w:t>
            </w:r>
          </w:p>
          <w:p w:rsidR="00485094" w:rsidRPr="00101C99" w:rsidRDefault="00485094" w:rsidP="005D2035">
            <w:pPr>
              <w:pStyle w:val="TableText"/>
              <w:jc w:val="center"/>
              <w:rPr>
                <w:szCs w:val="18"/>
              </w:rPr>
            </w:pPr>
            <w:r w:rsidRPr="00101C99">
              <w:rPr>
                <w:szCs w:val="18"/>
              </w:rPr>
              <w:t>Temporal Variability (TV) Subnetwork</w:t>
            </w:r>
          </w:p>
        </w:tc>
        <w:tc>
          <w:tcPr>
            <w:tcW w:w="1506" w:type="dxa"/>
            <w:vAlign w:val="center"/>
          </w:tcPr>
          <w:p w:rsidR="00485094" w:rsidRPr="00101C99" w:rsidRDefault="00485094" w:rsidP="005D2035">
            <w:pPr>
              <w:pStyle w:val="TableText"/>
              <w:jc w:val="center"/>
              <w:rPr>
                <w:szCs w:val="18"/>
              </w:rPr>
            </w:pPr>
            <w:r w:rsidRPr="00101C99">
              <w:rPr>
                <w:szCs w:val="18"/>
              </w:rPr>
              <w:t>1985–</w:t>
            </w:r>
            <w:r>
              <w:rPr>
                <w:szCs w:val="18"/>
              </w:rPr>
              <w:t>19</w:t>
            </w:r>
            <w:r w:rsidRPr="00101C99">
              <w:rPr>
                <w:szCs w:val="18"/>
              </w:rPr>
              <w:t>99</w:t>
            </w:r>
          </w:p>
        </w:tc>
        <w:tc>
          <w:tcPr>
            <w:tcW w:w="5310" w:type="dxa"/>
            <w:vAlign w:val="center"/>
          </w:tcPr>
          <w:p w:rsidR="00485094" w:rsidRPr="00101C99" w:rsidRDefault="00485094" w:rsidP="005D2035">
            <w:pPr>
              <w:pStyle w:val="TableText"/>
              <w:jc w:val="center"/>
              <w:rPr>
                <w:szCs w:val="18"/>
              </w:rPr>
            </w:pPr>
            <w:r>
              <w:rPr>
                <w:szCs w:val="18"/>
              </w:rPr>
              <w:t>A st</w:t>
            </w:r>
            <w:r w:rsidRPr="00101C99">
              <w:rPr>
                <w:szCs w:val="18"/>
              </w:rPr>
              <w:t xml:space="preserve">atewide network of 1,600 water wells and monitoring wells </w:t>
            </w:r>
            <w:r>
              <w:rPr>
                <w:szCs w:val="18"/>
              </w:rPr>
              <w:t>used to</w:t>
            </w:r>
            <w:r w:rsidRPr="00101C99">
              <w:rPr>
                <w:szCs w:val="18"/>
              </w:rPr>
              <w:t xml:space="preserve"> spatially monitor general background water quality of local aquifers (surficial, intermediate, and Floridan).  On average, each well was sampled once every 3 years for an extensive list of analytes.  TV network well</w:t>
            </w:r>
            <w:r>
              <w:rPr>
                <w:szCs w:val="18"/>
              </w:rPr>
              <w:t>s</w:t>
            </w:r>
            <w:r w:rsidRPr="00101C99">
              <w:rPr>
                <w:szCs w:val="18"/>
              </w:rPr>
              <w:t xml:space="preserve"> </w:t>
            </w:r>
            <w:r>
              <w:rPr>
                <w:szCs w:val="18"/>
              </w:rPr>
              <w:t xml:space="preserve">are </w:t>
            </w:r>
            <w:r w:rsidRPr="00101C99">
              <w:rPr>
                <w:szCs w:val="18"/>
              </w:rPr>
              <w:t>sampled monthly to quarterly.</w:t>
            </w:r>
          </w:p>
        </w:tc>
      </w:tr>
      <w:tr w:rsidR="00485094" w:rsidRPr="00101C99" w:rsidTr="005D2035">
        <w:trPr>
          <w:trHeight w:val="530"/>
          <w:jc w:val="center"/>
        </w:trPr>
        <w:tc>
          <w:tcPr>
            <w:tcW w:w="3192" w:type="dxa"/>
            <w:shd w:val="clear" w:color="auto" w:fill="FFFFCC"/>
            <w:vAlign w:val="center"/>
          </w:tcPr>
          <w:p w:rsidR="00485094" w:rsidRPr="002C6A99" w:rsidRDefault="00485094" w:rsidP="005D2035">
            <w:pPr>
              <w:pStyle w:val="TableText"/>
              <w:jc w:val="center"/>
              <w:rPr>
                <w:szCs w:val="18"/>
              </w:rPr>
            </w:pPr>
            <w:r w:rsidRPr="002C6A99">
              <w:rPr>
                <w:szCs w:val="18"/>
              </w:rPr>
              <w:t>Ground Water Temporal Variability (GWTV) Subnetwork</w:t>
            </w:r>
          </w:p>
        </w:tc>
        <w:tc>
          <w:tcPr>
            <w:tcW w:w="1506" w:type="dxa"/>
            <w:vAlign w:val="center"/>
          </w:tcPr>
          <w:p w:rsidR="00485094" w:rsidRPr="00101C99" w:rsidRDefault="00485094" w:rsidP="005D2035">
            <w:pPr>
              <w:pStyle w:val="TableText"/>
              <w:jc w:val="center"/>
              <w:rPr>
                <w:szCs w:val="18"/>
              </w:rPr>
            </w:pPr>
            <w:r w:rsidRPr="00101C99">
              <w:rPr>
                <w:szCs w:val="18"/>
              </w:rPr>
              <w:t>1999–ongoing</w:t>
            </w:r>
          </w:p>
        </w:tc>
        <w:tc>
          <w:tcPr>
            <w:tcW w:w="5310" w:type="dxa"/>
            <w:vAlign w:val="center"/>
          </w:tcPr>
          <w:p w:rsidR="00485094" w:rsidRPr="00101C99" w:rsidRDefault="00485094" w:rsidP="005D2035">
            <w:pPr>
              <w:pStyle w:val="TableText"/>
              <w:jc w:val="center"/>
              <w:rPr>
                <w:szCs w:val="18"/>
              </w:rPr>
            </w:pPr>
            <w:r>
              <w:rPr>
                <w:szCs w:val="18"/>
              </w:rPr>
              <w:t>The c</w:t>
            </w:r>
            <w:r w:rsidRPr="00101C99">
              <w:rPr>
                <w:szCs w:val="18"/>
              </w:rPr>
              <w:t xml:space="preserve">urrent network consists of 46 wells statewide.  </w:t>
            </w:r>
            <w:r>
              <w:rPr>
                <w:szCs w:val="18"/>
              </w:rPr>
              <w:t>It is d</w:t>
            </w:r>
            <w:r w:rsidRPr="00101C99">
              <w:rPr>
                <w:szCs w:val="18"/>
              </w:rPr>
              <w:t xml:space="preserve">esigned to help correlate Status Network results with seasonal hydrologic variations, </w:t>
            </w:r>
            <w:r>
              <w:rPr>
                <w:szCs w:val="18"/>
              </w:rPr>
              <w:t xml:space="preserve">and </w:t>
            </w:r>
            <w:r w:rsidRPr="00101C99">
              <w:rPr>
                <w:szCs w:val="18"/>
              </w:rPr>
              <w:t xml:space="preserve">estimate </w:t>
            </w:r>
            <w:r>
              <w:rPr>
                <w:szCs w:val="18"/>
              </w:rPr>
              <w:t xml:space="preserve">the </w:t>
            </w:r>
            <w:r w:rsidRPr="00101C99">
              <w:rPr>
                <w:szCs w:val="18"/>
              </w:rPr>
              <w:t>temporal variance of analytes.</w:t>
            </w:r>
          </w:p>
        </w:tc>
      </w:tr>
      <w:tr w:rsidR="00485094" w:rsidRPr="00101C99" w:rsidTr="005D2035">
        <w:trPr>
          <w:trHeight w:val="890"/>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Very Intense Study Area (VISA) Network</w:t>
            </w:r>
          </w:p>
        </w:tc>
        <w:tc>
          <w:tcPr>
            <w:tcW w:w="1506" w:type="dxa"/>
            <w:vAlign w:val="center"/>
          </w:tcPr>
          <w:p w:rsidR="00485094" w:rsidRPr="00101C99" w:rsidRDefault="00485094" w:rsidP="005D2035">
            <w:pPr>
              <w:pStyle w:val="TableText"/>
              <w:jc w:val="center"/>
              <w:rPr>
                <w:szCs w:val="18"/>
              </w:rPr>
            </w:pPr>
            <w:r w:rsidRPr="00101C99">
              <w:rPr>
                <w:szCs w:val="18"/>
              </w:rPr>
              <w:t>1989–</w:t>
            </w:r>
            <w:r>
              <w:rPr>
                <w:szCs w:val="18"/>
              </w:rPr>
              <w:t>19</w:t>
            </w:r>
            <w:r w:rsidRPr="00101C99">
              <w:rPr>
                <w:szCs w:val="18"/>
              </w:rPr>
              <w:t>99</w:t>
            </w:r>
          </w:p>
        </w:tc>
        <w:tc>
          <w:tcPr>
            <w:tcW w:w="5310" w:type="dxa"/>
            <w:vAlign w:val="center"/>
          </w:tcPr>
          <w:p w:rsidR="00485094" w:rsidRPr="00101C99" w:rsidRDefault="00485094" w:rsidP="005D2035">
            <w:pPr>
              <w:pStyle w:val="TableText"/>
              <w:jc w:val="center"/>
              <w:rPr>
                <w:szCs w:val="18"/>
              </w:rPr>
            </w:pPr>
            <w:r>
              <w:rPr>
                <w:szCs w:val="18"/>
              </w:rPr>
              <w:t>The n</w:t>
            </w:r>
            <w:r w:rsidRPr="00101C99">
              <w:rPr>
                <w:szCs w:val="18"/>
              </w:rPr>
              <w:t>etwork monitored the effects of land uses on ground water quality in 23 selected areas of the state.  Individual VISAs consisted of approximately 20 wells sampled 3 times over an 11-year period.  Sampl</w:t>
            </w:r>
            <w:r>
              <w:rPr>
                <w:szCs w:val="18"/>
              </w:rPr>
              <w:t xml:space="preserve">ing was carried out </w:t>
            </w:r>
            <w:r w:rsidRPr="00101C99">
              <w:rPr>
                <w:szCs w:val="18"/>
              </w:rPr>
              <w:t>for a targeted list of analytes.</w:t>
            </w:r>
          </w:p>
        </w:tc>
      </w:tr>
      <w:tr w:rsidR="00485094" w:rsidRPr="00101C99" w:rsidTr="005D2035">
        <w:trPr>
          <w:trHeight w:val="539"/>
          <w:jc w:val="center"/>
        </w:trPr>
        <w:tc>
          <w:tcPr>
            <w:tcW w:w="3192" w:type="dxa"/>
            <w:shd w:val="clear" w:color="auto" w:fill="FFFFCC"/>
            <w:vAlign w:val="center"/>
          </w:tcPr>
          <w:p w:rsidR="00485094" w:rsidRPr="00101C99" w:rsidRDefault="00485094" w:rsidP="005D2035">
            <w:pPr>
              <w:pStyle w:val="TableText"/>
              <w:jc w:val="center"/>
              <w:rPr>
                <w:szCs w:val="18"/>
              </w:rPr>
            </w:pPr>
            <w:r>
              <w:rPr>
                <w:szCs w:val="18"/>
              </w:rPr>
              <w:t>Springs Monitoring Network</w:t>
            </w:r>
          </w:p>
        </w:tc>
        <w:tc>
          <w:tcPr>
            <w:tcW w:w="1506" w:type="dxa"/>
            <w:vAlign w:val="center"/>
          </w:tcPr>
          <w:p w:rsidR="00485094" w:rsidRPr="00101C99" w:rsidRDefault="00485094" w:rsidP="006F006D">
            <w:pPr>
              <w:pStyle w:val="TableText"/>
              <w:jc w:val="center"/>
              <w:rPr>
                <w:szCs w:val="18"/>
              </w:rPr>
            </w:pPr>
            <w:r>
              <w:rPr>
                <w:szCs w:val="18"/>
              </w:rPr>
              <w:t>2001–2010</w:t>
            </w:r>
          </w:p>
        </w:tc>
        <w:tc>
          <w:tcPr>
            <w:tcW w:w="5310" w:type="dxa"/>
            <w:vAlign w:val="center"/>
          </w:tcPr>
          <w:p w:rsidR="00485094" w:rsidRPr="00303A1A" w:rsidRDefault="00485094" w:rsidP="005D2035">
            <w:pPr>
              <w:pStyle w:val="TableText"/>
              <w:jc w:val="center"/>
              <w:rPr>
                <w:szCs w:val="18"/>
              </w:rPr>
            </w:pPr>
            <w:r>
              <w:rPr>
                <w:szCs w:val="18"/>
              </w:rPr>
              <w:t>Fifty-eight</w:t>
            </w:r>
            <w:r w:rsidRPr="00303A1A">
              <w:rPr>
                <w:szCs w:val="18"/>
              </w:rPr>
              <w:t xml:space="preserve"> samples </w:t>
            </w:r>
            <w:r>
              <w:rPr>
                <w:szCs w:val="18"/>
              </w:rPr>
              <w:t xml:space="preserve">were </w:t>
            </w:r>
            <w:r w:rsidRPr="00303A1A">
              <w:rPr>
                <w:szCs w:val="18"/>
              </w:rPr>
              <w:t>collected quarterly from 23 first-magnitude and 9 second-magnitude spring cluster</w:t>
            </w:r>
            <w:r>
              <w:rPr>
                <w:szCs w:val="18"/>
              </w:rPr>
              <w:t>s.  The b</w:t>
            </w:r>
            <w:r w:rsidRPr="00303A1A">
              <w:rPr>
                <w:szCs w:val="18"/>
              </w:rPr>
              <w:t xml:space="preserve">asic analyte list </w:t>
            </w:r>
            <w:r>
              <w:rPr>
                <w:szCs w:val="18"/>
              </w:rPr>
              <w:t xml:space="preserve">is </w:t>
            </w:r>
            <w:r w:rsidRPr="00303A1A">
              <w:rPr>
                <w:szCs w:val="18"/>
              </w:rPr>
              <w:t>identical to that used for the Status Network.</w:t>
            </w:r>
          </w:p>
        </w:tc>
      </w:tr>
    </w:tbl>
    <w:p w:rsidR="00485094" w:rsidRDefault="00485094" w:rsidP="001B0F18">
      <w:pPr>
        <w:pStyle w:val="TableText"/>
        <w:rPr>
          <w:b/>
          <w:szCs w:val="18"/>
        </w:rPr>
      </w:pPr>
    </w:p>
    <w:p w:rsidR="00485094" w:rsidRDefault="00485094" w:rsidP="001B0F18">
      <w:pPr>
        <w:pStyle w:val="TableText"/>
        <w:rPr>
          <w:b/>
          <w:szCs w:val="18"/>
        </w:rPr>
      </w:pPr>
      <w:r>
        <w:rPr>
          <w:b/>
          <w:szCs w:val="18"/>
        </w:rPr>
        <w:br w:type="page"/>
      </w:r>
    </w:p>
    <w:p w:rsidR="00485094" w:rsidRDefault="00485094" w:rsidP="001B0F18">
      <w:pPr>
        <w:pStyle w:val="Tableheading"/>
        <w:rPr>
          <w:snapToGrid w:val="0"/>
        </w:rPr>
      </w:pPr>
      <w:bookmarkStart w:id="649" w:name="_Toc257365163"/>
      <w:bookmarkStart w:id="650" w:name="_Toc271889874"/>
      <w:r>
        <w:rPr>
          <w:snapToGrid w:val="0"/>
        </w:rPr>
        <w:lastRenderedPageBreak/>
        <w:t xml:space="preserve">Table 9.1b.  Summary of Ground Water Monitoring Programs and Data Sources:  Programs that Include Potable Ground Water Sampling:  </w:t>
      </w:r>
      <w:r>
        <w:rPr>
          <w:snapToGrid w:val="0"/>
        </w:rPr>
        <w:br/>
        <w:t>FDEP-Maintained Monitoring Networks</w:t>
      </w:r>
      <w:bookmarkEnd w:id="649"/>
      <w:bookmarkEnd w:id="650"/>
    </w:p>
    <w:p w:rsidR="00485094" w:rsidRDefault="00485094" w:rsidP="001B0F18">
      <w:pPr>
        <w:pStyle w:val="TabledescriptionBF"/>
        <w:rPr>
          <w:snapToGrid w:val="0"/>
        </w:rPr>
      </w:pPr>
      <w:r>
        <w:rPr>
          <w:snapToGrid w:val="0"/>
        </w:rPr>
        <w:t>This is a three-column table.  Column 1 lists the monitoring network or program, Column 2 lists the period over which it has operated, and Column 3 provides a description.</w:t>
      </w:r>
    </w:p>
    <w:p w:rsidR="00485094" w:rsidRPr="00101C99" w:rsidRDefault="00485094" w:rsidP="001B0F18">
      <w:pPr>
        <w:pStyle w:val="Tabledescription"/>
        <w:rPr>
          <w:b w:val="0"/>
        </w:rPr>
      </w:pPr>
    </w:p>
    <w:tbl>
      <w:tblPr>
        <w:tblW w:w="95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192"/>
        <w:gridCol w:w="1030"/>
        <w:gridCol w:w="5354"/>
      </w:tblGrid>
      <w:tr w:rsidR="00485094" w:rsidRPr="00101C99" w:rsidTr="00E86B70">
        <w:trPr>
          <w:trHeight w:val="404"/>
          <w:jc w:val="center"/>
        </w:trPr>
        <w:tc>
          <w:tcPr>
            <w:tcW w:w="3192" w:type="dxa"/>
            <w:tcBorders>
              <w:bottom w:val="double" w:sz="4" w:space="0" w:color="auto"/>
            </w:tcBorders>
            <w:shd w:val="clear" w:color="auto" w:fill="BDFFFF"/>
            <w:vAlign w:val="center"/>
          </w:tcPr>
          <w:p w:rsidR="00485094" w:rsidRPr="00101C99" w:rsidRDefault="00485094" w:rsidP="005D2035">
            <w:pPr>
              <w:pStyle w:val="TableText"/>
              <w:jc w:val="center"/>
              <w:rPr>
                <w:szCs w:val="18"/>
              </w:rPr>
            </w:pPr>
            <w:r w:rsidRPr="00847549">
              <w:rPr>
                <w:b/>
                <w:i/>
                <w:szCs w:val="18"/>
              </w:rPr>
              <w:t>Monitoring Network or Program</w:t>
            </w:r>
          </w:p>
        </w:tc>
        <w:tc>
          <w:tcPr>
            <w:tcW w:w="1030" w:type="dxa"/>
            <w:tcBorders>
              <w:bottom w:val="double" w:sz="4" w:space="0" w:color="auto"/>
            </w:tcBorders>
            <w:shd w:val="clear" w:color="auto" w:fill="BDFFFF"/>
            <w:vAlign w:val="center"/>
          </w:tcPr>
          <w:p w:rsidR="00485094" w:rsidRDefault="00485094" w:rsidP="005D2035">
            <w:pPr>
              <w:pStyle w:val="TableText"/>
              <w:jc w:val="center"/>
              <w:rPr>
                <w:szCs w:val="18"/>
              </w:rPr>
            </w:pPr>
            <w:r w:rsidRPr="00847549">
              <w:rPr>
                <w:b/>
                <w:i/>
                <w:szCs w:val="18"/>
              </w:rPr>
              <w:t>Period</w:t>
            </w:r>
          </w:p>
        </w:tc>
        <w:tc>
          <w:tcPr>
            <w:tcW w:w="5354" w:type="dxa"/>
            <w:tcBorders>
              <w:bottom w:val="double" w:sz="4" w:space="0" w:color="auto"/>
            </w:tcBorders>
            <w:shd w:val="clear" w:color="auto" w:fill="BDFFFF"/>
            <w:vAlign w:val="center"/>
          </w:tcPr>
          <w:p w:rsidR="00485094" w:rsidRDefault="00485094" w:rsidP="005D2035">
            <w:pPr>
              <w:pStyle w:val="TableText"/>
              <w:jc w:val="center"/>
              <w:rPr>
                <w:szCs w:val="18"/>
              </w:rPr>
            </w:pPr>
            <w:r w:rsidRPr="00847549">
              <w:rPr>
                <w:b/>
                <w:i/>
                <w:szCs w:val="18"/>
              </w:rPr>
              <w:t>Description</w:t>
            </w:r>
          </w:p>
        </w:tc>
      </w:tr>
      <w:tr w:rsidR="00485094" w:rsidRPr="00101C99" w:rsidTr="005D2035">
        <w:trPr>
          <w:trHeight w:val="834"/>
          <w:jc w:val="center"/>
        </w:trPr>
        <w:tc>
          <w:tcPr>
            <w:tcW w:w="3192" w:type="dxa"/>
            <w:tcBorders>
              <w:top w:val="double" w:sz="4" w:space="0" w:color="auto"/>
            </w:tcBorders>
            <w:shd w:val="clear" w:color="auto" w:fill="FFFFCC"/>
            <w:vAlign w:val="center"/>
          </w:tcPr>
          <w:p w:rsidR="00485094" w:rsidRPr="00101C99" w:rsidRDefault="00485094" w:rsidP="005D2035">
            <w:pPr>
              <w:pStyle w:val="TableText"/>
              <w:jc w:val="center"/>
              <w:rPr>
                <w:szCs w:val="18"/>
              </w:rPr>
            </w:pPr>
            <w:r w:rsidRPr="00101C99">
              <w:rPr>
                <w:szCs w:val="18"/>
              </w:rPr>
              <w:t>Public Water System (PWS)</w:t>
            </w:r>
          </w:p>
          <w:p w:rsidR="00485094" w:rsidRPr="00101C99" w:rsidRDefault="00485094" w:rsidP="005D2035">
            <w:pPr>
              <w:pStyle w:val="TableText"/>
              <w:jc w:val="center"/>
              <w:rPr>
                <w:szCs w:val="18"/>
              </w:rPr>
            </w:pPr>
            <w:r w:rsidRPr="00101C99">
              <w:rPr>
                <w:szCs w:val="18"/>
              </w:rPr>
              <w:t>Monitoring</w:t>
            </w:r>
          </w:p>
        </w:tc>
        <w:tc>
          <w:tcPr>
            <w:tcW w:w="1030" w:type="dxa"/>
            <w:tcBorders>
              <w:top w:val="double" w:sz="4" w:space="0" w:color="auto"/>
            </w:tcBorders>
            <w:vAlign w:val="center"/>
          </w:tcPr>
          <w:p w:rsidR="00485094" w:rsidRPr="00101C99" w:rsidRDefault="00485094" w:rsidP="005D2035">
            <w:pPr>
              <w:pStyle w:val="TableText"/>
              <w:jc w:val="center"/>
              <w:rPr>
                <w:szCs w:val="18"/>
              </w:rPr>
            </w:pPr>
            <w:r w:rsidRPr="00101C99">
              <w:rPr>
                <w:szCs w:val="18"/>
              </w:rPr>
              <w:t>Ongoing</w:t>
            </w:r>
          </w:p>
        </w:tc>
        <w:tc>
          <w:tcPr>
            <w:tcW w:w="5354" w:type="dxa"/>
            <w:tcBorders>
              <w:top w:val="double" w:sz="4" w:space="0" w:color="auto"/>
            </w:tcBorders>
            <w:vAlign w:val="center"/>
          </w:tcPr>
          <w:p w:rsidR="00485094" w:rsidRPr="00101C99" w:rsidRDefault="00485094" w:rsidP="005D2035">
            <w:pPr>
              <w:pStyle w:val="TableText"/>
              <w:jc w:val="center"/>
              <w:rPr>
                <w:szCs w:val="18"/>
              </w:rPr>
            </w:pPr>
            <w:r>
              <w:rPr>
                <w:szCs w:val="18"/>
              </w:rPr>
              <w:t>Under</w:t>
            </w:r>
            <w:r w:rsidRPr="00101C99">
              <w:rPr>
                <w:szCs w:val="18"/>
              </w:rPr>
              <w:t xml:space="preserve"> </w:t>
            </w:r>
            <w:r>
              <w:rPr>
                <w:szCs w:val="18"/>
              </w:rPr>
              <w:t>Chapter</w:t>
            </w:r>
            <w:r w:rsidRPr="00101C99">
              <w:rPr>
                <w:szCs w:val="18"/>
              </w:rPr>
              <w:t xml:space="preserve"> 62-550, F.A.C., all public water systems are required to monitor and report water quality at regular intervals within their Compliance Cycle.  Ground water is the primary source of potable water in the state.</w:t>
            </w:r>
          </w:p>
        </w:tc>
      </w:tr>
      <w:tr w:rsidR="00485094" w:rsidRPr="00101C99" w:rsidTr="005D2035">
        <w:trPr>
          <w:trHeight w:val="782"/>
          <w:jc w:val="center"/>
        </w:trPr>
        <w:tc>
          <w:tcPr>
            <w:tcW w:w="3192" w:type="dxa"/>
            <w:shd w:val="clear" w:color="auto" w:fill="FFFFCC"/>
            <w:vAlign w:val="center"/>
          </w:tcPr>
          <w:p w:rsidR="00485094" w:rsidRPr="00101C99" w:rsidRDefault="00485094" w:rsidP="005D2035">
            <w:pPr>
              <w:pStyle w:val="TableText"/>
              <w:jc w:val="center"/>
              <w:rPr>
                <w:szCs w:val="18"/>
              </w:rPr>
            </w:pPr>
            <w:r w:rsidRPr="00101C99">
              <w:rPr>
                <w:szCs w:val="18"/>
              </w:rPr>
              <w:t>FDOH/FDEP Water Supply Restoration Program</w:t>
            </w:r>
            <w:r>
              <w:rPr>
                <w:szCs w:val="18"/>
              </w:rPr>
              <w:t xml:space="preserve"> (WSRP)–</w:t>
            </w:r>
            <w:r w:rsidRPr="00101C99">
              <w:rPr>
                <w:szCs w:val="18"/>
              </w:rPr>
              <w:t>Private Well Sampling Program</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485094" w:rsidRPr="00101C99" w:rsidRDefault="00485094" w:rsidP="005D2035">
            <w:pPr>
              <w:pStyle w:val="TableText"/>
              <w:jc w:val="center"/>
              <w:rPr>
                <w:szCs w:val="18"/>
              </w:rPr>
            </w:pPr>
            <w:r>
              <w:rPr>
                <w:szCs w:val="18"/>
              </w:rPr>
              <w:t>This consists of p</w:t>
            </w:r>
            <w:r w:rsidRPr="00101C99">
              <w:rPr>
                <w:szCs w:val="18"/>
              </w:rPr>
              <w:t>rivate well data collected in investigations of potential ground water contamination, maintai</w:t>
            </w:r>
            <w:r>
              <w:rPr>
                <w:szCs w:val="18"/>
              </w:rPr>
              <w:t>ned in an FDEP WSRP database.  The p</w:t>
            </w:r>
            <w:r w:rsidRPr="00101C99">
              <w:rPr>
                <w:szCs w:val="18"/>
              </w:rPr>
              <w:t xml:space="preserve">arameter list is variable, depending on </w:t>
            </w:r>
            <w:r>
              <w:rPr>
                <w:szCs w:val="18"/>
              </w:rPr>
              <w:t xml:space="preserve">the </w:t>
            </w:r>
            <w:r w:rsidRPr="00101C99">
              <w:rPr>
                <w:szCs w:val="18"/>
              </w:rPr>
              <w:t>contaminants of concern.</w:t>
            </w:r>
          </w:p>
        </w:tc>
      </w:tr>
      <w:tr w:rsidR="00485094" w:rsidRPr="00101C99" w:rsidTr="005D2035">
        <w:trPr>
          <w:trHeight w:val="638"/>
          <w:jc w:val="center"/>
        </w:trPr>
        <w:tc>
          <w:tcPr>
            <w:tcW w:w="3192" w:type="dxa"/>
            <w:shd w:val="clear" w:color="auto" w:fill="FFFFCC"/>
            <w:vAlign w:val="center"/>
          </w:tcPr>
          <w:p w:rsidR="00485094" w:rsidRDefault="00485094" w:rsidP="005D2035">
            <w:pPr>
              <w:pStyle w:val="TableText"/>
              <w:jc w:val="center"/>
              <w:rPr>
                <w:szCs w:val="18"/>
              </w:rPr>
            </w:pPr>
            <w:r w:rsidRPr="00101C99">
              <w:rPr>
                <w:szCs w:val="18"/>
              </w:rPr>
              <w:t xml:space="preserve">Monitoring </w:t>
            </w:r>
            <w:r>
              <w:rPr>
                <w:szCs w:val="18"/>
              </w:rPr>
              <w:t>of discharges</w:t>
            </w:r>
          </w:p>
          <w:p w:rsidR="00485094" w:rsidRPr="00101C99" w:rsidRDefault="00485094" w:rsidP="005D2035">
            <w:pPr>
              <w:pStyle w:val="TableText"/>
              <w:jc w:val="center"/>
              <w:rPr>
                <w:szCs w:val="18"/>
              </w:rPr>
            </w:pPr>
            <w:r>
              <w:rPr>
                <w:szCs w:val="18"/>
              </w:rPr>
              <w:t>to ground water</w:t>
            </w:r>
          </w:p>
        </w:tc>
        <w:tc>
          <w:tcPr>
            <w:tcW w:w="1030" w:type="dxa"/>
            <w:vAlign w:val="center"/>
          </w:tcPr>
          <w:p w:rsidR="00485094" w:rsidRPr="00101C99" w:rsidRDefault="00485094" w:rsidP="005D2035">
            <w:pPr>
              <w:pStyle w:val="TableText"/>
              <w:jc w:val="center"/>
              <w:rPr>
                <w:szCs w:val="18"/>
              </w:rPr>
            </w:pPr>
            <w:r w:rsidRPr="00101C99">
              <w:rPr>
                <w:szCs w:val="18"/>
              </w:rPr>
              <w:t>Ongoing</w:t>
            </w:r>
          </w:p>
        </w:tc>
        <w:tc>
          <w:tcPr>
            <w:tcW w:w="5354" w:type="dxa"/>
            <w:vAlign w:val="center"/>
          </w:tcPr>
          <w:p w:rsidR="00485094" w:rsidRPr="003B421E" w:rsidRDefault="00485094" w:rsidP="005D2035">
            <w:pPr>
              <w:pStyle w:val="TableText"/>
              <w:jc w:val="center"/>
              <w:rPr>
                <w:szCs w:val="18"/>
              </w:rPr>
            </w:pPr>
            <w:r>
              <w:rPr>
                <w:szCs w:val="18"/>
              </w:rPr>
              <w:t>Under</w:t>
            </w:r>
            <w:r w:rsidRPr="00101C99">
              <w:rPr>
                <w:szCs w:val="18"/>
              </w:rPr>
              <w:t xml:space="preserve"> </w:t>
            </w:r>
            <w:r>
              <w:rPr>
                <w:szCs w:val="18"/>
              </w:rPr>
              <w:t xml:space="preserve">Chapter </w:t>
            </w:r>
            <w:r w:rsidRPr="003B421E">
              <w:rPr>
                <w:szCs w:val="18"/>
              </w:rPr>
              <w:t xml:space="preserve"> 62-522, F</w:t>
            </w:r>
            <w:r>
              <w:rPr>
                <w:szCs w:val="18"/>
              </w:rPr>
              <w:t>.A.C.,</w:t>
            </w:r>
            <w:r w:rsidRPr="003B421E">
              <w:rPr>
                <w:szCs w:val="18"/>
              </w:rPr>
              <w:t xml:space="preserve"> facilities discharging to ground water are required to implement a ground water monitoring plan and report those results to </w:t>
            </w:r>
            <w:r>
              <w:rPr>
                <w:szCs w:val="18"/>
              </w:rPr>
              <w:t>FDEP</w:t>
            </w:r>
            <w:r w:rsidRPr="003B421E">
              <w:rPr>
                <w:szCs w:val="18"/>
              </w:rPr>
              <w:t>.</w:t>
            </w:r>
          </w:p>
        </w:tc>
      </w:tr>
    </w:tbl>
    <w:p w:rsidR="00485094" w:rsidRDefault="00485094" w:rsidP="001B0F18">
      <w:pPr>
        <w:pStyle w:val="Bodytext"/>
      </w:pPr>
    </w:p>
    <w:p w:rsidR="00485094" w:rsidRDefault="00485094" w:rsidP="001B0F18">
      <w:pPr>
        <w:pStyle w:val="Bodytext"/>
      </w:pPr>
    </w:p>
    <w:p w:rsidR="00485094" w:rsidRDefault="00485094" w:rsidP="001B0F18">
      <w:pPr>
        <w:pStyle w:val="ListBullet"/>
        <w:numPr>
          <w:ilvl w:val="0"/>
          <w:numId w:val="0"/>
        </w:numPr>
      </w:pPr>
      <w:bookmarkStart w:id="651" w:name="_Toc257365064"/>
      <w:bookmarkStart w:id="652" w:name="_Toc271794379"/>
      <w:r>
        <w:rPr>
          <w:rStyle w:val="Heading3Char"/>
          <w:sz w:val="28"/>
        </w:rPr>
        <w:t>FDEP-maintained Ground Water and Springs M</w:t>
      </w:r>
      <w:r w:rsidRPr="005342CE">
        <w:rPr>
          <w:rStyle w:val="Heading3Char"/>
          <w:sz w:val="28"/>
        </w:rPr>
        <w:t>onitoring</w:t>
      </w:r>
      <w:r>
        <w:rPr>
          <w:rStyle w:val="Heading3Char"/>
          <w:sz w:val="28"/>
        </w:rPr>
        <w:t xml:space="preserve"> Programs</w:t>
      </w:r>
      <w:bookmarkEnd w:id="651"/>
      <w:bookmarkEnd w:id="652"/>
      <w:r w:rsidRPr="004511D7">
        <w:t xml:space="preserve"> </w:t>
      </w:r>
    </w:p>
    <w:p w:rsidR="00485094" w:rsidRDefault="00485094" w:rsidP="001B0F18">
      <w:pPr>
        <w:pStyle w:val="Bodytext"/>
        <w:rPr>
          <w:rFonts w:cs="Arial"/>
          <w:snapToGrid w:val="0"/>
          <w:szCs w:val="22"/>
        </w:rPr>
      </w:pPr>
      <w:r>
        <w:t xml:space="preserve">FDEP established a ground water quality monitoring network in 1984, under the authority and direction of the 1983 Water Quality Assurance Act.  From 1984 to1999, the Background Network was maintained to establish the background and baseline ground water quality of major aquifer systems in </w:t>
      </w:r>
      <w:smartTag w:uri="urn:schemas-microsoft-com:office:smarttags" w:element="State">
        <w:smartTag w:uri="urn:schemas-microsoft-com:office:smarttags" w:element="place">
          <w:r>
            <w:t>Florida</w:t>
          </w:r>
        </w:smartTag>
      </w:smartTag>
      <w:r>
        <w:t xml:space="preserve">.  </w:t>
      </w:r>
      <w:r w:rsidRPr="009D0424">
        <w:rPr>
          <w:rFonts w:cs="Arial"/>
          <w:szCs w:val="22"/>
        </w:rPr>
        <w:t>In 1999, FDEP initiated a probabilistic sampling Status Network to assess ground water and surface water quality on a basin</w:t>
      </w:r>
      <w:r>
        <w:rPr>
          <w:rFonts w:cs="Arial"/>
          <w:szCs w:val="22"/>
        </w:rPr>
        <w:t>-</w:t>
      </w:r>
      <w:r w:rsidRPr="009D0424">
        <w:rPr>
          <w:rFonts w:cs="Arial"/>
          <w:szCs w:val="22"/>
        </w:rPr>
        <w:t xml:space="preserve">wide scale.  This sampling has been integrated into the agency’s watershed management </w:t>
      </w:r>
      <w:r>
        <w:rPr>
          <w:rFonts w:cs="Arial"/>
          <w:szCs w:val="22"/>
        </w:rPr>
        <w:t>approach</w:t>
      </w:r>
      <w:r w:rsidRPr="009D0424">
        <w:rPr>
          <w:rFonts w:cs="Arial"/>
          <w:szCs w:val="22"/>
        </w:rPr>
        <w:t xml:space="preserve">.  </w:t>
      </w:r>
      <w:r>
        <w:rPr>
          <w:rFonts w:cs="Arial"/>
          <w:szCs w:val="22"/>
        </w:rPr>
        <w:t>Since the Status Network’s inception, three statewide samplings have been completed</w:t>
      </w:r>
      <w:r w:rsidRPr="009D0424">
        <w:rPr>
          <w:rFonts w:cs="Arial"/>
          <w:snapToGrid w:val="0"/>
          <w:szCs w:val="22"/>
        </w:rPr>
        <w:t>.</w:t>
      </w:r>
    </w:p>
    <w:p w:rsidR="00485094" w:rsidRPr="009D0424" w:rsidRDefault="00485094" w:rsidP="001B0F18">
      <w:pPr>
        <w:pStyle w:val="Bodytext"/>
        <w:rPr>
          <w:rFonts w:cs="Arial"/>
          <w:snapToGrid w:val="0"/>
          <w:szCs w:val="22"/>
        </w:rPr>
      </w:pPr>
    </w:p>
    <w:p w:rsidR="00485094" w:rsidRDefault="00485094" w:rsidP="001B0F18">
      <w:pPr>
        <w:pStyle w:val="Bodytext"/>
        <w:rPr>
          <w:rFonts w:cs="Arial"/>
          <w:snapToGrid w:val="0"/>
          <w:szCs w:val="22"/>
        </w:rPr>
      </w:pPr>
      <w:r w:rsidRPr="009D0424">
        <w:rPr>
          <w:rFonts w:cs="Arial"/>
          <w:snapToGrid w:val="0"/>
          <w:szCs w:val="22"/>
        </w:rPr>
        <w:t>Monitoring results for the Ground Water Temporal Variability Network</w:t>
      </w:r>
      <w:r w:rsidR="0044193D">
        <w:rPr>
          <w:rFonts w:cs="Arial"/>
          <w:snapToGrid w:val="0"/>
          <w:szCs w:val="22"/>
        </w:rPr>
        <w:t xml:space="preserve"> (GWTV)</w:t>
      </w:r>
      <w:r w:rsidRPr="009D0424">
        <w:rPr>
          <w:rFonts w:cs="Arial"/>
          <w:snapToGrid w:val="0"/>
          <w:szCs w:val="22"/>
        </w:rPr>
        <w:t>, which also began in 1999, are used to assess seasonal and long-term variability in ground water quality.  Other, historical monitoring efforts include the Background Network, the VISA Network, and FDOH’s Private Water Well Quality Survey.</w:t>
      </w:r>
      <w:r>
        <w:rPr>
          <w:rFonts w:cs="Arial"/>
          <w:snapToGrid w:val="0"/>
          <w:szCs w:val="22"/>
        </w:rPr>
        <w:t xml:space="preserve">  </w:t>
      </w:r>
      <w:r>
        <w:rPr>
          <w:rFonts w:cs="Arial"/>
          <w:szCs w:val="22"/>
        </w:rPr>
        <w:t xml:space="preserve">Additional information on all these monitoring networks is available on the </w:t>
      </w:r>
      <w:hyperlink r:id="rId145" w:history="1">
        <w:r w:rsidRPr="00A83D11">
          <w:rPr>
            <w:rStyle w:val="Hyperlink"/>
            <w:rFonts w:cs="Arial"/>
            <w:szCs w:val="22"/>
          </w:rPr>
          <w:t>FDEP Watershed Monitoring website</w:t>
        </w:r>
      </w:hyperlink>
      <w:r>
        <w:rPr>
          <w:rFonts w:cs="Arial"/>
          <w:szCs w:val="22"/>
        </w:rPr>
        <w:t>.</w:t>
      </w:r>
    </w:p>
    <w:p w:rsidR="00485094" w:rsidRPr="009D0424" w:rsidRDefault="00485094" w:rsidP="001B0F18">
      <w:pPr>
        <w:pStyle w:val="Bodytext"/>
        <w:rPr>
          <w:rFonts w:cs="Arial"/>
          <w:snapToGrid w:val="0"/>
          <w:szCs w:val="22"/>
        </w:rPr>
      </w:pPr>
    </w:p>
    <w:p w:rsidR="00485094" w:rsidRDefault="00485094" w:rsidP="001B0F18">
      <w:pPr>
        <w:pStyle w:val="Bodytext"/>
        <w:rPr>
          <w:rFonts w:cs="Arial"/>
          <w:snapToGrid w:val="0"/>
          <w:szCs w:val="22"/>
        </w:rPr>
      </w:pPr>
      <w:r w:rsidRPr="009D0424">
        <w:rPr>
          <w:rFonts w:cs="Arial"/>
          <w:snapToGrid w:val="0"/>
          <w:szCs w:val="22"/>
        </w:rPr>
        <w:t>T</w:t>
      </w:r>
      <w:r>
        <w:rPr>
          <w:rFonts w:cs="Arial"/>
          <w:snapToGrid w:val="0"/>
          <w:szCs w:val="22"/>
        </w:rPr>
        <w:t>his report includes t</w:t>
      </w:r>
      <w:r w:rsidRPr="009D0424">
        <w:rPr>
          <w:rFonts w:cs="Arial"/>
          <w:snapToGrid w:val="0"/>
          <w:szCs w:val="22"/>
        </w:rPr>
        <w:t xml:space="preserve">he Status </w:t>
      </w:r>
      <w:r>
        <w:rPr>
          <w:rFonts w:cs="Arial"/>
          <w:snapToGrid w:val="0"/>
          <w:szCs w:val="22"/>
        </w:rPr>
        <w:t xml:space="preserve">Network </w:t>
      </w:r>
      <w:r w:rsidRPr="009D0424">
        <w:rPr>
          <w:rFonts w:cs="Arial"/>
          <w:snapToGrid w:val="0"/>
          <w:szCs w:val="22"/>
        </w:rPr>
        <w:t xml:space="preserve">monitoring data </w:t>
      </w:r>
      <w:r>
        <w:rPr>
          <w:rFonts w:cs="Arial"/>
          <w:snapToGrid w:val="0"/>
          <w:szCs w:val="22"/>
        </w:rPr>
        <w:t>in the dataset used to</w:t>
      </w:r>
      <w:r w:rsidRPr="009D0424">
        <w:rPr>
          <w:rFonts w:cs="Arial"/>
          <w:snapToGrid w:val="0"/>
          <w:szCs w:val="22"/>
        </w:rPr>
        <w:t xml:space="preserve"> evaluate overall ground water quality and ground water parameters of particular concern that may influence receiving surface waters.</w:t>
      </w:r>
    </w:p>
    <w:p w:rsidR="00485094" w:rsidRPr="009D0424" w:rsidRDefault="00485094" w:rsidP="001B0F18">
      <w:pPr>
        <w:pStyle w:val="Bodytext"/>
        <w:rPr>
          <w:rFonts w:cs="Arial"/>
          <w:snapToGrid w:val="0"/>
          <w:szCs w:val="22"/>
        </w:rPr>
      </w:pPr>
    </w:p>
    <w:p w:rsidR="00485094" w:rsidRPr="009D0424" w:rsidRDefault="00485094" w:rsidP="001B0F18">
      <w:pPr>
        <w:pStyle w:val="Bodytext"/>
        <w:rPr>
          <w:rFonts w:cs="Arial"/>
          <w:snapToGrid w:val="0"/>
          <w:szCs w:val="22"/>
        </w:rPr>
      </w:pPr>
      <w:r>
        <w:rPr>
          <w:rFonts w:cs="Arial"/>
          <w:snapToGrid w:val="0"/>
          <w:szCs w:val="22"/>
        </w:rPr>
        <w:t>FDEP established a</w:t>
      </w:r>
      <w:r w:rsidRPr="009D0424">
        <w:rPr>
          <w:rFonts w:cs="Arial"/>
          <w:snapToGrid w:val="0"/>
          <w:szCs w:val="22"/>
        </w:rPr>
        <w:t xml:space="preserve"> springs monitoring network as part of the </w:t>
      </w:r>
      <w:hyperlink r:id="rId146" w:history="1">
        <w:r w:rsidRPr="00C46301">
          <w:rPr>
            <w:rStyle w:val="Hyperlink"/>
            <w:rFonts w:cs="Arial"/>
            <w:snapToGrid w:val="0"/>
            <w:szCs w:val="22"/>
          </w:rPr>
          <w:t>Florida Springs Initiative</w:t>
        </w:r>
      </w:hyperlink>
      <w:r w:rsidRPr="009D0424">
        <w:rPr>
          <w:rFonts w:cs="Arial"/>
          <w:snapToGrid w:val="0"/>
          <w:szCs w:val="22"/>
        </w:rPr>
        <w:t xml:space="preserve">.  Beginning in 2000, </w:t>
      </w:r>
      <w:r>
        <w:rPr>
          <w:rFonts w:cs="Arial"/>
          <w:snapToGrid w:val="0"/>
          <w:szCs w:val="22"/>
        </w:rPr>
        <w:t>this</w:t>
      </w:r>
      <w:r w:rsidRPr="009D0424">
        <w:rPr>
          <w:rFonts w:cs="Arial"/>
          <w:snapToGrid w:val="0"/>
          <w:szCs w:val="22"/>
        </w:rPr>
        <w:t xml:space="preserve"> initially included quarterly monitoring at each of the state’s </w:t>
      </w:r>
      <w:r>
        <w:rPr>
          <w:rFonts w:cs="Arial"/>
          <w:snapToGrid w:val="0"/>
          <w:szCs w:val="22"/>
        </w:rPr>
        <w:t>first-magnitude</w:t>
      </w:r>
      <w:r w:rsidRPr="009D0424">
        <w:rPr>
          <w:rFonts w:cs="Arial"/>
          <w:snapToGrid w:val="0"/>
          <w:szCs w:val="22"/>
        </w:rPr>
        <w:t xml:space="preserve"> springs but has since expanded to include important second</w:t>
      </w:r>
      <w:r>
        <w:rPr>
          <w:rFonts w:cs="Arial"/>
          <w:snapToGrid w:val="0"/>
          <w:szCs w:val="22"/>
        </w:rPr>
        <w:t>-</w:t>
      </w:r>
      <w:r w:rsidRPr="009D0424">
        <w:rPr>
          <w:rFonts w:cs="Arial"/>
          <w:snapToGrid w:val="0"/>
          <w:szCs w:val="22"/>
        </w:rPr>
        <w:t>magnitude springs a</w:t>
      </w:r>
      <w:r>
        <w:rPr>
          <w:rFonts w:cs="Arial"/>
          <w:snapToGrid w:val="0"/>
          <w:szCs w:val="22"/>
        </w:rPr>
        <w:t>s</w:t>
      </w:r>
      <w:r w:rsidRPr="009D0424">
        <w:rPr>
          <w:rFonts w:cs="Arial"/>
          <w:snapToGrid w:val="0"/>
          <w:szCs w:val="22"/>
        </w:rPr>
        <w:t xml:space="preserve"> well.  In this report, Springs Initiative monitoring data are evaluated to identify spring water quality </w:t>
      </w:r>
      <w:r>
        <w:rPr>
          <w:rFonts w:cs="Arial"/>
          <w:snapToGrid w:val="0"/>
          <w:szCs w:val="22"/>
        </w:rPr>
        <w:t>with respect to nutrients.</w:t>
      </w:r>
    </w:p>
    <w:p w:rsidR="00485094" w:rsidRPr="009D0424" w:rsidRDefault="00485094" w:rsidP="001B0F18">
      <w:pPr>
        <w:pStyle w:val="Bodytext"/>
        <w:rPr>
          <w:szCs w:val="22"/>
        </w:rPr>
      </w:pPr>
    </w:p>
    <w:p w:rsidR="00485094" w:rsidRDefault="00485094" w:rsidP="001B0F18">
      <w:pPr>
        <w:pStyle w:val="Heading3"/>
      </w:pPr>
      <w:bookmarkStart w:id="653" w:name="_Toc257365065"/>
      <w:bookmarkStart w:id="654" w:name="_Toc271794380"/>
      <w:r w:rsidRPr="004511D7">
        <w:t xml:space="preserve">Potable Water Monitoring by </w:t>
      </w:r>
      <w:r>
        <w:t>FDOH/FDEP Water Supply Restoration Program</w:t>
      </w:r>
      <w:bookmarkEnd w:id="653"/>
      <w:bookmarkEnd w:id="654"/>
    </w:p>
    <w:p w:rsidR="00485094" w:rsidRPr="00D17DAD" w:rsidRDefault="00485094" w:rsidP="001B0F18">
      <w:pPr>
        <w:pStyle w:val="Bodytext"/>
      </w:pPr>
      <w:r w:rsidRPr="00D17DAD">
        <w:t xml:space="preserve">Contaminated drinking water wells are identified through the sampling efforts of the local </w:t>
      </w:r>
      <w:r>
        <w:t>c</w:t>
      </w:r>
      <w:r w:rsidRPr="00D17DAD">
        <w:t xml:space="preserve">ounty </w:t>
      </w:r>
      <w:r>
        <w:t>p</w:t>
      </w:r>
      <w:r w:rsidRPr="00D17DAD">
        <w:t xml:space="preserve">ublic </w:t>
      </w:r>
      <w:r>
        <w:t>h</w:t>
      </w:r>
      <w:r w:rsidRPr="00D17DAD">
        <w:t xml:space="preserve">ealth </w:t>
      </w:r>
      <w:r>
        <w:t>u</w:t>
      </w:r>
      <w:r w:rsidRPr="00D17DAD">
        <w:t>nits</w:t>
      </w:r>
      <w:r>
        <w:t>,</w:t>
      </w:r>
      <w:r w:rsidRPr="00D17DAD">
        <w:t xml:space="preserve"> supported by </w:t>
      </w:r>
      <w:r>
        <w:t>FDEP</w:t>
      </w:r>
      <w:r w:rsidRPr="00D17DAD">
        <w:t xml:space="preserve"> funding. </w:t>
      </w:r>
      <w:r>
        <w:t xml:space="preserve"> </w:t>
      </w:r>
      <w:r w:rsidRPr="00D17DAD">
        <w:t>To optimize resources, wells are sampled in areas of known or suspected contamination, such as agricultural areas, areas of known off</w:t>
      </w:r>
      <w:r>
        <w:t>-</w:t>
      </w:r>
      <w:r w:rsidRPr="00D17DAD">
        <w:t xml:space="preserve">site contamination near regulated facilities, landfills, or </w:t>
      </w:r>
      <w:r w:rsidRPr="00CB7EAC">
        <w:t>near</w:t>
      </w:r>
      <w:r w:rsidRPr="00D17DAD">
        <w:t xml:space="preserve"> underground storage tanks. </w:t>
      </w:r>
    </w:p>
    <w:p w:rsidR="00485094" w:rsidRDefault="00485094" w:rsidP="001B0F18">
      <w:pPr>
        <w:pStyle w:val="Bodytext"/>
      </w:pPr>
    </w:p>
    <w:p w:rsidR="00485094" w:rsidRPr="00D17DAD" w:rsidRDefault="00485094" w:rsidP="001B0F18">
      <w:pPr>
        <w:pStyle w:val="Bodytext"/>
      </w:pPr>
      <w:r w:rsidRPr="00D17DAD">
        <w:t xml:space="preserve">The </w:t>
      </w:r>
      <w:hyperlink r:id="rId147" w:history="1">
        <w:r w:rsidRPr="00C46301">
          <w:rPr>
            <w:rStyle w:val="Hyperlink"/>
          </w:rPr>
          <w:t>FDOH Petroleum Surveillance Program</w:t>
        </w:r>
      </w:hyperlink>
      <w:r w:rsidRPr="00D17DAD">
        <w:t xml:space="preserve"> concentrates its efforts in areas suspected to have petroleum</w:t>
      </w:r>
      <w:r>
        <w:t>-</w:t>
      </w:r>
      <w:r w:rsidRPr="00D17DAD">
        <w:t>related contamination and targets drinking water wells near known storage tanks for sampling.</w:t>
      </w:r>
    </w:p>
    <w:p w:rsidR="00485094" w:rsidRDefault="00485094" w:rsidP="001B0F18">
      <w:pPr>
        <w:pStyle w:val="Bodytext"/>
      </w:pPr>
    </w:p>
    <w:p w:rsidR="00485094" w:rsidRDefault="00485094" w:rsidP="001B0F18">
      <w:pPr>
        <w:pStyle w:val="Bodytext"/>
      </w:pPr>
      <w:r>
        <w:rPr>
          <w:rFonts w:cs="Arial"/>
          <w:szCs w:val="22"/>
        </w:rPr>
        <w:t>T</w:t>
      </w:r>
      <w:r w:rsidRPr="00D17DAD">
        <w:rPr>
          <w:rFonts w:cs="Arial"/>
          <w:szCs w:val="22"/>
        </w:rPr>
        <w:t xml:space="preserve">he </w:t>
      </w:r>
      <w:hyperlink r:id="rId148" w:anchor="Drinking2" w:history="1">
        <w:r>
          <w:rPr>
            <w:rStyle w:val="Hyperlink"/>
            <w:rFonts w:cs="Arial"/>
            <w:szCs w:val="22"/>
          </w:rPr>
          <w:t>D</w:t>
        </w:r>
        <w:r w:rsidRPr="00A83D11">
          <w:rPr>
            <w:rStyle w:val="Hyperlink"/>
            <w:rFonts w:cs="Arial"/>
            <w:szCs w:val="22"/>
          </w:rPr>
          <w:t>rinking Water Toxics Program</w:t>
        </w:r>
      </w:hyperlink>
      <w:r w:rsidRPr="00D17DAD">
        <w:rPr>
          <w:rFonts w:cs="Arial"/>
          <w:szCs w:val="22"/>
        </w:rPr>
        <w:t xml:space="preserve"> looks for contamination related to </w:t>
      </w:r>
      <w:r>
        <w:rPr>
          <w:rFonts w:cs="Arial"/>
          <w:szCs w:val="22"/>
        </w:rPr>
        <w:t xml:space="preserve">the </w:t>
      </w:r>
      <w:r w:rsidRPr="00D17DAD">
        <w:rPr>
          <w:rFonts w:cs="Arial"/>
          <w:szCs w:val="22"/>
        </w:rPr>
        <w:t xml:space="preserve">use of pesticides and </w:t>
      </w:r>
      <w:r w:rsidRPr="00D17DAD">
        <w:t xml:space="preserve">fertilizers, and contamination from solvents and metals. </w:t>
      </w:r>
      <w:r>
        <w:t xml:space="preserve"> </w:t>
      </w:r>
      <w:r w:rsidRPr="00D17DAD">
        <w:t>Th</w:t>
      </w:r>
      <w:r>
        <w:t>e</w:t>
      </w:r>
      <w:r w:rsidRPr="00D17DAD">
        <w:t xml:space="preserve"> program is a cooperative effort between </w:t>
      </w:r>
      <w:r>
        <w:t>F</w:t>
      </w:r>
      <w:r w:rsidRPr="00D17DAD">
        <w:t xml:space="preserve">DOH, the </w:t>
      </w:r>
      <w:r>
        <w:t>c</w:t>
      </w:r>
      <w:r w:rsidRPr="00D17DAD">
        <w:t xml:space="preserve">ounty </w:t>
      </w:r>
      <w:r>
        <w:t>p</w:t>
      </w:r>
      <w:r w:rsidRPr="00D17DAD">
        <w:t xml:space="preserve">ublic </w:t>
      </w:r>
      <w:r>
        <w:t>h</w:t>
      </w:r>
      <w:r w:rsidRPr="00D17DAD">
        <w:t xml:space="preserve">ealth </w:t>
      </w:r>
      <w:r>
        <w:t>u</w:t>
      </w:r>
      <w:r w:rsidRPr="00D17DAD">
        <w:t xml:space="preserve">nits, and </w:t>
      </w:r>
      <w:r>
        <w:t>FDEP</w:t>
      </w:r>
      <w:r w:rsidRPr="00D17DAD">
        <w:t xml:space="preserve">.  </w:t>
      </w:r>
      <w:r>
        <w:t xml:space="preserve">FDEP </w:t>
      </w:r>
      <w:r w:rsidRPr="00D17DAD">
        <w:t xml:space="preserve">funds the program through a contract with </w:t>
      </w:r>
      <w:r>
        <w:t>F</w:t>
      </w:r>
      <w:r w:rsidRPr="00D17DAD">
        <w:t xml:space="preserve">DOH, and </w:t>
      </w:r>
      <w:r>
        <w:t>F</w:t>
      </w:r>
      <w:r w:rsidRPr="00D17DAD">
        <w:t xml:space="preserve">DOH directs the sampling effort by local </w:t>
      </w:r>
      <w:r>
        <w:t>p</w:t>
      </w:r>
      <w:r w:rsidRPr="00D17DAD">
        <w:t xml:space="preserve">ublic </w:t>
      </w:r>
      <w:r>
        <w:t>h</w:t>
      </w:r>
      <w:r w:rsidRPr="00D17DAD">
        <w:t xml:space="preserve">ealth </w:t>
      </w:r>
      <w:r>
        <w:t>u</w:t>
      </w:r>
      <w:r w:rsidRPr="00D17DAD">
        <w:t>nits.</w:t>
      </w:r>
    </w:p>
    <w:p w:rsidR="00485094" w:rsidRPr="00D17DAD" w:rsidRDefault="00485094" w:rsidP="001B0F18">
      <w:pPr>
        <w:pStyle w:val="Bodytext"/>
      </w:pPr>
    </w:p>
    <w:p w:rsidR="00485094" w:rsidRDefault="00485094" w:rsidP="001B0F18">
      <w:pPr>
        <w:pStyle w:val="Bodytext"/>
        <w:rPr>
          <w:color w:val="333333"/>
        </w:rPr>
      </w:pPr>
      <w:r w:rsidRPr="00D17DAD">
        <w:rPr>
          <w:color w:val="333333"/>
        </w:rPr>
        <w:t xml:space="preserve">In this report, the </w:t>
      </w:r>
      <w:hyperlink r:id="rId149" w:history="1">
        <w:r w:rsidRPr="00A83D11">
          <w:rPr>
            <w:rStyle w:val="Hyperlink"/>
          </w:rPr>
          <w:t>FDEP Water Supply Restoration Program</w:t>
        </w:r>
      </w:hyperlink>
      <w:r>
        <w:rPr>
          <w:color w:val="333333"/>
        </w:rPr>
        <w:t xml:space="preserve"> (WSRP) database</w:t>
      </w:r>
      <w:r w:rsidRPr="00D17DAD">
        <w:rPr>
          <w:color w:val="333333"/>
        </w:rPr>
        <w:t xml:space="preserve"> maintained by </w:t>
      </w:r>
      <w:r>
        <w:t xml:space="preserve">FDEP </w:t>
      </w:r>
      <w:r w:rsidRPr="00D17DAD">
        <w:rPr>
          <w:color w:val="333333"/>
        </w:rPr>
        <w:t>was used in the evaluation of the ground water contaminants of concern identified in private drinking water wells.  Th</w:t>
      </w:r>
      <w:r>
        <w:rPr>
          <w:color w:val="333333"/>
        </w:rPr>
        <w:t>e</w:t>
      </w:r>
      <w:r w:rsidRPr="00D17DAD">
        <w:rPr>
          <w:color w:val="333333"/>
        </w:rPr>
        <w:t xml:space="preserve"> database currently has water quality records for approximately </w:t>
      </w:r>
      <w:r>
        <w:rPr>
          <w:color w:val="333333"/>
        </w:rPr>
        <w:t>40,000</w:t>
      </w:r>
      <w:r w:rsidRPr="00D17DAD">
        <w:rPr>
          <w:color w:val="333333"/>
        </w:rPr>
        <w:t xml:space="preserve"> private wells.</w:t>
      </w:r>
      <w:r>
        <w:rPr>
          <w:color w:val="333333"/>
        </w:rPr>
        <w:t xml:space="preserve">  A caveat to their use in this evaluation is that these wells are not evenly distributed because they were sampled in areas of known or suspected contamination.  Thus, the number of exceedances in a particular basin can be misleading because the results may depend on well density and distribution in relationship to a given problem area.</w:t>
      </w:r>
    </w:p>
    <w:p w:rsidR="00485094" w:rsidRPr="00D17DAD" w:rsidRDefault="00485094" w:rsidP="001B0F18">
      <w:pPr>
        <w:pStyle w:val="Bodytext"/>
        <w:rPr>
          <w:color w:val="333333"/>
        </w:rPr>
      </w:pPr>
    </w:p>
    <w:p w:rsidR="00485094" w:rsidRDefault="00485094" w:rsidP="001B0F18">
      <w:pPr>
        <w:pStyle w:val="Heading3"/>
      </w:pPr>
      <w:bookmarkStart w:id="655" w:name="_Toc257365066"/>
      <w:bookmarkStart w:id="656" w:name="_Toc271794381"/>
      <w:r>
        <w:t>Public Water System Monitoring</w:t>
      </w:r>
      <w:bookmarkEnd w:id="655"/>
      <w:bookmarkEnd w:id="656"/>
    </w:p>
    <w:p w:rsidR="00485094" w:rsidRPr="009D0424" w:rsidRDefault="00485094" w:rsidP="001B0F18">
      <w:pPr>
        <w:pStyle w:val="Bodytext"/>
      </w:pPr>
      <w:r>
        <w:t>A</w:t>
      </w:r>
      <w:r w:rsidRPr="009D0424">
        <w:t xml:space="preserve">pproximately </w:t>
      </w:r>
      <w:r w:rsidRPr="00D95715">
        <w:t>5,</w:t>
      </w:r>
      <w:r>
        <w:t>6</w:t>
      </w:r>
      <w:r w:rsidRPr="00D95715">
        <w:t xml:space="preserve">00 public water systems </w:t>
      </w:r>
      <w:r>
        <w:t xml:space="preserve">(PWSs) </w:t>
      </w:r>
      <w:r w:rsidRPr="00D95715">
        <w:t xml:space="preserve">in </w:t>
      </w:r>
      <w:smartTag w:uri="urn:schemas-microsoft-com:office:smarttags" w:element="State">
        <w:smartTag w:uri="urn:schemas-microsoft-com:office:smarttags" w:element="place">
          <w:r w:rsidRPr="00D95715">
            <w:t>Florida</w:t>
          </w:r>
        </w:smartTag>
      </w:smartTag>
      <w:r w:rsidRPr="00D95715">
        <w:t xml:space="preserve"> rely on ground water.  These are served by </w:t>
      </w:r>
      <w:r>
        <w:t>over</w:t>
      </w:r>
      <w:r w:rsidRPr="00D95715">
        <w:t xml:space="preserve"> 10,000</w:t>
      </w:r>
      <w:r w:rsidRPr="009D0424">
        <w:t xml:space="preserve"> wells. </w:t>
      </w:r>
      <w:r>
        <w:t xml:space="preserve"> Chapter </w:t>
      </w:r>
      <w:r w:rsidRPr="009D0424">
        <w:t>62-550, F</w:t>
      </w:r>
      <w:r>
        <w:t>.A.C.</w:t>
      </w:r>
      <w:r w:rsidRPr="009D0424">
        <w:t xml:space="preserve">, sets the drinking water standards, </w:t>
      </w:r>
      <w:r>
        <w:t xml:space="preserve">the </w:t>
      </w:r>
      <w:r w:rsidRPr="009D0424">
        <w:t xml:space="preserve">monitoring requirements and treatment techniques to be met by </w:t>
      </w:r>
      <w:r>
        <w:t xml:space="preserve">PWSs, </w:t>
      </w:r>
      <w:r w:rsidRPr="009D0424">
        <w:t xml:space="preserve">and </w:t>
      </w:r>
      <w:r>
        <w:t xml:space="preserve">that </w:t>
      </w:r>
      <w:r w:rsidRPr="009D0424">
        <w:t xml:space="preserve">testing </w:t>
      </w:r>
      <w:r>
        <w:t xml:space="preserve">must be conducted by </w:t>
      </w:r>
      <w:r w:rsidR="0044193D">
        <w:t>F</w:t>
      </w:r>
      <w:r>
        <w:t>DOH</w:t>
      </w:r>
      <w:r w:rsidRPr="009D0424">
        <w:t xml:space="preserve"> certified laboratories.  The ultimate concern of the </w:t>
      </w:r>
      <w:r>
        <w:t xml:space="preserve">PWS </w:t>
      </w:r>
      <w:r w:rsidRPr="009D0424">
        <w:t xml:space="preserve">supervision program is the quality of water when the water reaches consumers, </w:t>
      </w:r>
      <w:r>
        <w:t xml:space="preserve">but PWS </w:t>
      </w:r>
      <w:r w:rsidRPr="009D0424">
        <w:t xml:space="preserve">monitoring involves </w:t>
      </w:r>
      <w:r>
        <w:t xml:space="preserve">the </w:t>
      </w:r>
      <w:r w:rsidRPr="009D0424">
        <w:t>direct sampling of wells in some instances</w:t>
      </w:r>
      <w:r>
        <w:t>.  Water quality results</w:t>
      </w:r>
      <w:r w:rsidRPr="009D0424">
        <w:t xml:space="preserve"> include </w:t>
      </w:r>
      <w:r>
        <w:t xml:space="preserve">samples from various </w:t>
      </w:r>
      <w:r w:rsidRPr="009D0424">
        <w:t>entry points into the water system and</w:t>
      </w:r>
      <w:r>
        <w:t xml:space="preserve"> points in the distribution system, </w:t>
      </w:r>
      <w:r w:rsidRPr="009D0424">
        <w:t>include treated water, and for some parameters may include composite sampl</w:t>
      </w:r>
      <w:r>
        <w:t xml:space="preserve">es.  Not all samples included in the data are used to determine compliance with 62-550.  </w:t>
      </w:r>
    </w:p>
    <w:p w:rsidR="00485094" w:rsidRPr="009D0424" w:rsidRDefault="00485094" w:rsidP="001B0F18">
      <w:pPr>
        <w:pStyle w:val="Bodytext"/>
      </w:pPr>
    </w:p>
    <w:p w:rsidR="00485094" w:rsidRPr="008B0E79" w:rsidRDefault="00485094" w:rsidP="001B0F18">
      <w:pPr>
        <w:pStyle w:val="Bodytext"/>
      </w:pPr>
      <w:r w:rsidRPr="009D0424">
        <w:t xml:space="preserve">The monitoring framework for </w:t>
      </w:r>
      <w:r>
        <w:t xml:space="preserve">PWSs </w:t>
      </w:r>
      <w:r w:rsidRPr="009D0424">
        <w:t xml:space="preserve">is a </w:t>
      </w:r>
      <w:r>
        <w:t>nine</w:t>
      </w:r>
      <w:r w:rsidRPr="009D0424">
        <w:t xml:space="preserve">-year compliance cycle </w:t>
      </w:r>
      <w:r>
        <w:t>containing</w:t>
      </w:r>
      <w:r w:rsidRPr="009D0424">
        <w:t xml:space="preserve"> specific monitoring requirements for individual parameter groups and specific actions based on the detection of parameters above action limits or maximum contaminant levels (MCLs).</w:t>
      </w:r>
      <w:r>
        <w:t xml:space="preserve">  Water quality data in the PWS database are reported by the public water system </w:t>
      </w:r>
      <w:r w:rsidR="0044193D">
        <w:t xml:space="preserve">identification number </w:t>
      </w:r>
      <w:r>
        <w:t xml:space="preserve">(PWS ID#).  </w:t>
      </w:r>
      <w:r w:rsidRPr="008B0E79">
        <w:t xml:space="preserve">While individual sample results collected for this report may exceed an action level or MCL, that exceedance does not necessarily translate directly into a violation of water delivered to the consumer </w:t>
      </w:r>
      <w:r>
        <w:t xml:space="preserve">because of </w:t>
      </w:r>
      <w:r w:rsidRPr="008B0E79">
        <w:t>the compositing or blending of water mentioned above, or because averaging with subsequent samples was below the action level or MCL.</w:t>
      </w:r>
      <w:r>
        <w:t xml:space="preserve">  Additional information is available on the </w:t>
      </w:r>
      <w:hyperlink r:id="rId150" w:history="1">
        <w:r w:rsidRPr="00A83D11">
          <w:rPr>
            <w:rStyle w:val="Hyperlink"/>
          </w:rPr>
          <w:t>FDEP Drinking Water Program website</w:t>
        </w:r>
      </w:hyperlink>
      <w:r>
        <w:t>.</w:t>
      </w:r>
    </w:p>
    <w:p w:rsidR="00485094" w:rsidRPr="009D0424" w:rsidRDefault="00485094" w:rsidP="001B0F18">
      <w:pPr>
        <w:pStyle w:val="Bodytext"/>
        <w:rPr>
          <w:rFonts w:ascii="TimesNewRomanPSMT" w:hAnsi="TimesNewRomanPSMT" w:cs="TimesNewRomanPSMT"/>
        </w:rPr>
      </w:pPr>
    </w:p>
    <w:p w:rsidR="00485094" w:rsidRDefault="00485094" w:rsidP="001B0F18">
      <w:pPr>
        <w:pStyle w:val="Bodytext"/>
      </w:pPr>
      <w:r w:rsidRPr="008D7208">
        <w:t>Water quality data in the P</w:t>
      </w:r>
      <w:r>
        <w:t>WS d</w:t>
      </w:r>
      <w:r w:rsidRPr="008D7208">
        <w:t>atabase were used in the evaluation of regional and statewide contaminants of concern.  These data can either represent one individual well or a composite sample from multiple wells that comprise a system.  Generally, the most densely populated areas of the state have public supply systems with multiple wells</w:t>
      </w:r>
      <w:r>
        <w:t>,</w:t>
      </w:r>
      <w:r w:rsidRPr="008D7208">
        <w:t xml:space="preserve"> while less populated areas may rely on only one well.  Each public supply well was assigned to a basin or, in the case of a system, the basin that represents the majority of those wells.  In the analysis of contaminants of concern, the number of MCL exceedances </w:t>
      </w:r>
      <w:r>
        <w:t>is</w:t>
      </w:r>
      <w:r w:rsidRPr="008D7208">
        <w:t xml:space="preserve"> not weighted</w:t>
      </w:r>
      <w:r w:rsidRPr="00E138B6">
        <w:t>, and thus</w:t>
      </w:r>
      <w:r w:rsidRPr="008D7208">
        <w:t xml:space="preserve"> each exceedance may represent one individual well or a composite of many wells in a system.  Drinking water standards, monitoring requirements</w:t>
      </w:r>
      <w:r>
        <w:t>,</w:t>
      </w:r>
      <w:r w:rsidRPr="008D7208">
        <w:t xml:space="preserve"> and the frequency of sampling for public water supply wells are based on </w:t>
      </w:r>
      <w:r>
        <w:t>Chapter</w:t>
      </w:r>
      <w:r w:rsidRPr="008D7208">
        <w:t xml:space="preserve"> 62-550, F.A.C.</w:t>
      </w:r>
    </w:p>
    <w:p w:rsidR="00485094" w:rsidRPr="008D7208" w:rsidRDefault="00485094" w:rsidP="001B0F18">
      <w:pPr>
        <w:pStyle w:val="Bodytext"/>
      </w:pPr>
    </w:p>
    <w:p w:rsidR="00485094" w:rsidRPr="00C30FAC" w:rsidRDefault="00485094" w:rsidP="001B0F18">
      <w:pPr>
        <w:pStyle w:val="Heading3"/>
      </w:pPr>
      <w:bookmarkStart w:id="657" w:name="_Toc257365067"/>
      <w:bookmarkStart w:id="658" w:name="_Toc271794382"/>
      <w:r w:rsidRPr="00C30FAC">
        <w:lastRenderedPageBreak/>
        <w:t xml:space="preserve">Monitoring </w:t>
      </w:r>
      <w:r>
        <w:t>of Discharges to Ground Water</w:t>
      </w:r>
      <w:bookmarkEnd w:id="657"/>
      <w:bookmarkEnd w:id="658"/>
    </w:p>
    <w:p w:rsidR="00485094" w:rsidRPr="00012923" w:rsidRDefault="00485094" w:rsidP="001B0F18">
      <w:pPr>
        <w:pStyle w:val="Bodytext"/>
      </w:pPr>
      <w:r w:rsidRPr="00012923">
        <w:t xml:space="preserve">FDEP implements a comprehensive ground water quality protection program that regulates discharges to ground water.  The program establishes ground water quality standards and classifications and permitting criteria.  </w:t>
      </w:r>
      <w:r>
        <w:t>S</w:t>
      </w:r>
      <w:r w:rsidRPr="00012923">
        <w:t xml:space="preserve">everal FDEP rules </w:t>
      </w:r>
      <w:r>
        <w:t>contain</w:t>
      </w:r>
      <w:r w:rsidRPr="00012923">
        <w:t xml:space="preserve"> construction and operation requirements, minimum setbacks, and ground water monitoring criteria. </w:t>
      </w:r>
    </w:p>
    <w:p w:rsidR="00485094" w:rsidRDefault="00485094" w:rsidP="001B0F18">
      <w:pPr>
        <w:pStyle w:val="Bodytext"/>
      </w:pPr>
    </w:p>
    <w:p w:rsidR="00485094" w:rsidRPr="00012923" w:rsidRDefault="00485094" w:rsidP="001B0F18">
      <w:pPr>
        <w:pStyle w:val="Bodytext"/>
      </w:pPr>
      <w:r w:rsidRPr="00012923">
        <w:t>Most permitted discharges to ground water are required to submit and implement a ground water monitoring plan show</w:t>
      </w:r>
      <w:r>
        <w:t>ing</w:t>
      </w:r>
      <w:r w:rsidRPr="00012923">
        <w:t xml:space="preserve"> the location of the proposed upgradient and downgradient monitoring wells, construction details, and a ground water sampling and analysis protocol.  At a minimum, these plans require three monitoring wells:  a background well, an intermediate well, and a compliance well.  These wells are generally sampled quarterly</w:t>
      </w:r>
      <w:r>
        <w:t xml:space="preserve"> by the permittee</w:t>
      </w:r>
      <w:r w:rsidRPr="00012923">
        <w:t xml:space="preserve">, and the analysis is submitted to FDEP to ensure compliance with </w:t>
      </w:r>
      <w:smartTag w:uri="urn:schemas-microsoft-com:office:smarttags" w:element="State">
        <w:smartTag w:uri="urn:schemas-microsoft-com:office:smarttags" w:element="place">
          <w:r w:rsidRPr="00012923">
            <w:t>Florida</w:t>
          </w:r>
        </w:smartTag>
      </w:smartTag>
      <w:r w:rsidRPr="00012923">
        <w:t xml:space="preserve">’s ground water standards. </w:t>
      </w:r>
    </w:p>
    <w:p w:rsidR="00485094" w:rsidRPr="00012923" w:rsidRDefault="00485094" w:rsidP="001B0F18">
      <w:pPr>
        <w:pStyle w:val="Bodytextreduced"/>
      </w:pPr>
    </w:p>
    <w:p w:rsidR="00485094" w:rsidRPr="00012923" w:rsidRDefault="00485094" w:rsidP="00E85D84">
      <w:pPr>
        <w:pStyle w:val="Bodytextreduced"/>
      </w:pPr>
      <w:bookmarkStart w:id="659" w:name="_Toc209241277"/>
      <w:bookmarkStart w:id="660" w:name="_Toc255822574"/>
      <w:bookmarkEnd w:id="645"/>
      <w:bookmarkEnd w:id="646"/>
      <w:r>
        <w:br w:type="page"/>
      </w:r>
    </w:p>
    <w:p w:rsidR="00FC6EE0" w:rsidRDefault="00FC6EE0" w:rsidP="00FC6EE0">
      <w:pPr>
        <w:pStyle w:val="Bodytextreduced"/>
      </w:pPr>
      <w:bookmarkStart w:id="661" w:name="_Chapter_10:_"/>
      <w:bookmarkEnd w:id="661"/>
    </w:p>
    <w:p w:rsidR="00485094" w:rsidRDefault="00485094" w:rsidP="006E16DB">
      <w:pPr>
        <w:pStyle w:val="Heading1"/>
      </w:pPr>
      <w:bookmarkStart w:id="662" w:name="_Toc271794383"/>
      <w:r>
        <w:t>Chapter 10:  Results of the Ground Water Assessment</w:t>
      </w:r>
      <w:bookmarkEnd w:id="659"/>
      <w:bookmarkEnd w:id="660"/>
      <w:r>
        <w:t>s</w:t>
      </w:r>
      <w:bookmarkEnd w:id="662"/>
      <w:r w:rsidRPr="003A4461">
        <w:t xml:space="preserve"> </w:t>
      </w:r>
    </w:p>
    <w:p w:rsidR="00485094" w:rsidRPr="00012923" w:rsidRDefault="00485094" w:rsidP="00E85D84">
      <w:pPr>
        <w:pStyle w:val="Bodytextreduced"/>
      </w:pPr>
      <w:bookmarkStart w:id="663" w:name="_Toc209241278"/>
      <w:bookmarkStart w:id="664" w:name="_Toc255822575"/>
    </w:p>
    <w:p w:rsidR="00485094" w:rsidRDefault="00485094" w:rsidP="005D2035">
      <w:pPr>
        <w:pStyle w:val="Heading2"/>
      </w:pPr>
      <w:bookmarkStart w:id="665" w:name="_Toc257365069"/>
      <w:bookmarkStart w:id="666" w:name="_Toc271794384"/>
      <w:r>
        <w:t>Overall Ground Water Quality</w:t>
      </w:r>
      <w:bookmarkEnd w:id="665"/>
      <w:bookmarkEnd w:id="666"/>
    </w:p>
    <w:p w:rsidR="00485094" w:rsidRDefault="00485094" w:rsidP="005D2035">
      <w:pPr>
        <w:pStyle w:val="Bodytext"/>
      </w:pPr>
      <w:r>
        <w:t xml:space="preserve">A combination of data from all agencies in </w:t>
      </w:r>
      <w:smartTag w:uri="urn:schemas-microsoft-com:office:smarttags" w:element="State">
        <w:smartTag w:uri="urn:schemas-microsoft-com:office:smarttags" w:element="place">
          <w:r>
            <w:t>Florida</w:t>
          </w:r>
        </w:smartTag>
      </w:smartTag>
      <w:r>
        <w:t xml:space="preserve"> with ground water monitoring programs was used to evaluate the overall quality of ground water based on several categories of </w:t>
      </w:r>
      <w:r w:rsidRPr="00380A2E">
        <w:t>primary ground water MCL</w:t>
      </w:r>
      <w:r>
        <w:t>s</w:t>
      </w:r>
      <w:r w:rsidRPr="00380A2E">
        <w:t>.  The data were sorted into analyte groups</w:t>
      </w:r>
      <w:r>
        <w:t>,</w:t>
      </w:r>
      <w:r w:rsidRPr="00380A2E">
        <w:t xml:space="preserve"> and an “indicator” analyte was selected to determine ground water quality for wells in each of the basins.  The groups </w:t>
      </w:r>
      <w:r>
        <w:t>used in this evaluation include metals, bacteria, nitrate</w:t>
      </w:r>
      <w:r w:rsidRPr="00380A2E">
        <w:t xml:space="preserve">, </w:t>
      </w:r>
      <w:r>
        <w:t>and saline water, which</w:t>
      </w:r>
      <w:r w:rsidRPr="00380A2E">
        <w:t xml:space="preserve"> represent </w:t>
      </w:r>
      <w:r>
        <w:t>some of th</w:t>
      </w:r>
      <w:r w:rsidRPr="00380A2E">
        <w:t xml:space="preserve">e most common threats to drinking water noted by </w:t>
      </w:r>
      <w:r>
        <w:t xml:space="preserve">the </w:t>
      </w:r>
      <w:r w:rsidRPr="00380A2E">
        <w:t xml:space="preserve">EPA in national surveys.  </w:t>
      </w:r>
      <w:r>
        <w:t xml:space="preserve">Organics and radionuclides were not included in the Status Network parameter list but are addressed in a later section.  It should be noted that the ground water evaluation used a larger set of data from more monitoring stations than were available in the probabilistic network used for the Status and Trends reporting in </w:t>
      </w:r>
      <w:hyperlink w:anchor="_Chapter_5._" w:history="1">
        <w:r w:rsidRPr="0011748B">
          <w:rPr>
            <w:rStyle w:val="Hyperlink"/>
          </w:rPr>
          <w:t>Chapter 5</w:t>
        </w:r>
      </w:hyperlink>
      <w:r>
        <w:t xml:space="preserve">.  This evaluation also provided information by basin rather than statewide as was done with the assessments reported in </w:t>
      </w:r>
      <w:hyperlink w:anchor="_Chapter_5._" w:history="1">
        <w:r w:rsidR="0011748B" w:rsidRPr="0011748B">
          <w:rPr>
            <w:rStyle w:val="Hyperlink"/>
          </w:rPr>
          <w:t>Chapter 5</w:t>
        </w:r>
      </w:hyperlink>
      <w:r>
        <w:t>.</w:t>
      </w:r>
    </w:p>
    <w:p w:rsidR="00485094" w:rsidRPr="00380A2E" w:rsidRDefault="00485094" w:rsidP="005D2035">
      <w:pPr>
        <w:pStyle w:val="Bodytext"/>
      </w:pPr>
    </w:p>
    <w:p w:rsidR="00485094" w:rsidRPr="00380A2E" w:rsidRDefault="00485094" w:rsidP="005D2035">
      <w:pPr>
        <w:pStyle w:val="Bodytext"/>
      </w:pPr>
      <w:r>
        <w:t>T</w:t>
      </w:r>
      <w:r w:rsidRPr="00380A2E">
        <w:t xml:space="preserve">he </w:t>
      </w:r>
      <w:r>
        <w:t>wells used in</w:t>
      </w:r>
      <w:r w:rsidRPr="00380A2E">
        <w:t xml:space="preserve"> </w:t>
      </w:r>
      <w:r>
        <w:t xml:space="preserve">this statewide </w:t>
      </w:r>
      <w:r w:rsidRPr="00380A2E">
        <w:t>evaluation</w:t>
      </w:r>
      <w:r>
        <w:t xml:space="preserve"> of overall ground water quality consist of a mixture of drinking water, irrigation, production, and monitoring wells that are used by FDEP, the water management districts, and the USGS for monitoring ground water quality.  There is no single database from which these come, nor is there a singular monitoring objective under which the sampling occurred.</w:t>
      </w:r>
      <w:r w:rsidRPr="00380A2E">
        <w:t xml:space="preserve">  These data indicate general </w:t>
      </w:r>
      <w:r>
        <w:t xml:space="preserve">basin-scale or </w:t>
      </w:r>
      <w:r w:rsidRPr="00380A2E">
        <w:t xml:space="preserve">statewide conditions and </w:t>
      </w:r>
      <w:r>
        <w:t>do</w:t>
      </w:r>
      <w:r w:rsidRPr="00380A2E">
        <w:t xml:space="preserve"> not represent local con</w:t>
      </w:r>
      <w:r>
        <w:t>ditions</w:t>
      </w:r>
      <w:r w:rsidRPr="00380A2E">
        <w:t>.  The</w:t>
      </w:r>
      <w:r>
        <w:t>y</w:t>
      </w:r>
      <w:r w:rsidRPr="00380A2E">
        <w:t xml:space="preserve"> generally represent ambient ground water</w:t>
      </w:r>
      <w:r>
        <w:t xml:space="preserve"> quality</w:t>
      </w:r>
      <w:r w:rsidRPr="00380A2E">
        <w:t xml:space="preserve">, although a small number of </w:t>
      </w:r>
      <w:r>
        <w:t>wells are used for targeted monitoring.  I</w:t>
      </w:r>
      <w:r w:rsidRPr="00380A2E">
        <w:t xml:space="preserve">t is assumed for the purposes of this </w:t>
      </w:r>
      <w:r>
        <w:t>analysis</w:t>
      </w:r>
      <w:r w:rsidRPr="00380A2E">
        <w:t xml:space="preserve"> that the water quality in these wells provide</w:t>
      </w:r>
      <w:r>
        <w:t>s</w:t>
      </w:r>
      <w:r w:rsidRPr="00380A2E">
        <w:t xml:space="preserve"> a </w:t>
      </w:r>
      <w:r>
        <w:t>generalized</w:t>
      </w:r>
      <w:r w:rsidRPr="00380A2E">
        <w:t xml:space="preserve"> representation of overall ground water conditions</w:t>
      </w:r>
      <w:r>
        <w:t>.</w:t>
      </w:r>
    </w:p>
    <w:p w:rsidR="00485094" w:rsidRPr="00380A2E" w:rsidRDefault="00485094" w:rsidP="005D2035">
      <w:pPr>
        <w:pStyle w:val="Bodytext"/>
      </w:pPr>
    </w:p>
    <w:p w:rsidR="00485094" w:rsidRDefault="00485094" w:rsidP="005D2035">
      <w:pPr>
        <w:pStyle w:val="Bodytext"/>
      </w:pPr>
      <w:r w:rsidRPr="00D76772">
        <w:rPr>
          <w:b/>
          <w:i/>
        </w:rPr>
        <w:t xml:space="preserve">Table </w:t>
      </w:r>
      <w:r>
        <w:rPr>
          <w:b/>
          <w:i/>
        </w:rPr>
        <w:t>10.1</w:t>
      </w:r>
      <w:r w:rsidRPr="00D76772">
        <w:rPr>
          <w:b/>
          <w:i/>
        </w:rPr>
        <w:t xml:space="preserve"> </w:t>
      </w:r>
      <w:r>
        <w:t xml:space="preserve">presents the results of this evaluation, with the results provided by individual basin and combined for statewide statistics.  The results in the table are further broken down to show the results from the past two years and prior data back to 2000.  Older (pre-2000) data may include nonrepresentative artifacts from sample collection and analysis, and so these are not included in the assessment. </w:t>
      </w:r>
    </w:p>
    <w:p w:rsidR="00485094" w:rsidRDefault="00485094" w:rsidP="005D2035">
      <w:pPr>
        <w:pStyle w:val="Bodytext"/>
        <w:rPr>
          <w:rFonts w:cs="Arial"/>
          <w:szCs w:val="22"/>
        </w:rPr>
      </w:pPr>
    </w:p>
    <w:p w:rsidR="00485094" w:rsidRDefault="00485094" w:rsidP="005D2035">
      <w:pPr>
        <w:pStyle w:val="Bodytext"/>
      </w:pPr>
      <w:r w:rsidRPr="005B0A81">
        <w:t xml:space="preserve">In the statewide </w:t>
      </w:r>
      <w:r>
        <w:t>dataset</w:t>
      </w:r>
      <w:r w:rsidRPr="005B0A81">
        <w:t xml:space="preserve">, </w:t>
      </w:r>
      <w:r>
        <w:t xml:space="preserve">bacteria (as total coliform) and salinity (as sodium) were </w:t>
      </w:r>
      <w:r w:rsidRPr="005B0A81">
        <w:t>the analyte group</w:t>
      </w:r>
      <w:r>
        <w:t>s</w:t>
      </w:r>
      <w:r w:rsidRPr="005B0A81">
        <w:t xml:space="preserve"> with the fewest wells that </w:t>
      </w:r>
      <w:r>
        <w:t xml:space="preserve">were found to </w:t>
      </w:r>
      <w:r w:rsidRPr="005B0A81">
        <w:t>m</w:t>
      </w:r>
      <w:r>
        <w:t>e</w:t>
      </w:r>
      <w:r w:rsidRPr="005B0A81">
        <w:t>et their designated use</w:t>
      </w:r>
      <w:r>
        <w:t>s.</w:t>
      </w:r>
    </w:p>
    <w:p w:rsidR="00485094" w:rsidRPr="005B0A81" w:rsidRDefault="00485094" w:rsidP="005D2035">
      <w:pPr>
        <w:pStyle w:val="Bodytext"/>
      </w:pPr>
    </w:p>
    <w:p w:rsidR="00485094" w:rsidRDefault="00485094" w:rsidP="005D2035">
      <w:pPr>
        <w:pStyle w:val="Bodytext"/>
      </w:pPr>
      <w:r w:rsidRPr="005B0A81">
        <w:t>Coliform</w:t>
      </w:r>
      <w:r>
        <w:t xml:space="preserve"> bacteria</w:t>
      </w:r>
      <w:r w:rsidRPr="005B0A81">
        <w:t xml:space="preserve"> can commonly reflect conditions in the well rather than the aquifer when associated with well construction or inadequate maintenance issues, </w:t>
      </w:r>
      <w:r>
        <w:t xml:space="preserve">and </w:t>
      </w:r>
      <w:r w:rsidRPr="005B0A81">
        <w:t xml:space="preserve">so these results should also be scrutinized.  They are discussed in greater detail in the </w:t>
      </w:r>
      <w:r>
        <w:t xml:space="preserve">next section </w:t>
      </w:r>
      <w:r w:rsidRPr="005B0A81">
        <w:t xml:space="preserve">on contaminants of concern.  The statewide assessment shows that </w:t>
      </w:r>
      <w:r>
        <w:t xml:space="preserve">data from the past 2 years were similar to the 2000–07 median in the number of samples achieving the MCL (84% compared with 81%).  </w:t>
      </w:r>
      <w:r w:rsidRPr="006E16DB">
        <w:rPr>
          <w:b/>
          <w:i/>
        </w:rPr>
        <w:t>Table 10.1</w:t>
      </w:r>
      <w:r>
        <w:t xml:space="preserve"> shows the basins with the highest number of wells achieving the ground water standards.  The Everglades, Everglades West Coast, Ochlockonee–St. Marks, and Southeast Coast–Biscayne Bay Basins have the highest number of wells exceeding the MCL for total coliform.</w:t>
      </w:r>
    </w:p>
    <w:p w:rsidR="00485094" w:rsidRPr="005B0A81" w:rsidRDefault="00485094" w:rsidP="005D2035">
      <w:pPr>
        <w:pStyle w:val="Bodytext"/>
      </w:pPr>
    </w:p>
    <w:p w:rsidR="00485094" w:rsidRDefault="00485094" w:rsidP="005D2035">
      <w:pPr>
        <w:pStyle w:val="Bodytext"/>
        <w:sectPr w:rsidR="00485094" w:rsidSect="005D2035">
          <w:headerReference w:type="even" r:id="rId151"/>
          <w:footerReference w:type="even" r:id="rId152"/>
          <w:footerReference w:type="default" r:id="rId153"/>
          <w:headerReference w:type="first" r:id="rId154"/>
          <w:pgSz w:w="12240" w:h="15840"/>
          <w:pgMar w:top="1440" w:right="1440" w:bottom="1440" w:left="1440" w:header="720" w:footer="720" w:gutter="0"/>
          <w:cols w:space="720"/>
          <w:docGrid w:linePitch="360"/>
        </w:sectPr>
      </w:pPr>
    </w:p>
    <w:p w:rsidR="00485094" w:rsidRDefault="00485094" w:rsidP="005D2035">
      <w:pPr>
        <w:pStyle w:val="Tableheading"/>
      </w:pPr>
      <w:bookmarkStart w:id="667" w:name="_Toc257365164"/>
      <w:bookmarkStart w:id="668" w:name="_Toc271889875"/>
      <w:r w:rsidRPr="00742904">
        <w:lastRenderedPageBreak/>
        <w:t xml:space="preserve">Table </w:t>
      </w:r>
      <w:r>
        <w:t>10.1</w:t>
      </w:r>
      <w:r w:rsidRPr="00742904">
        <w:t>.</w:t>
      </w:r>
      <w:r>
        <w:tab/>
      </w:r>
      <w:r w:rsidRPr="00742904">
        <w:t>Summary of Percent Ground Water Samples Achieving Primary Ground Water Standards for Selected Analytes</w:t>
      </w:r>
      <w:r>
        <w:t xml:space="preserve"> b</w:t>
      </w:r>
      <w:r w:rsidRPr="00742904">
        <w:t>y Basin</w:t>
      </w:r>
      <w:bookmarkEnd w:id="667"/>
      <w:bookmarkEnd w:id="668"/>
    </w:p>
    <w:p w:rsidR="00485094" w:rsidRDefault="00485094" w:rsidP="005D2035">
      <w:pPr>
        <w:pStyle w:val="TabledescriptionBF"/>
      </w:pPr>
      <w:r>
        <w:t>This is a seven-column table.  Column 1 lists the basins, Column 2 lists the most frequent metal (arsenic or lead) over the MCL in 2000–07 and 2008–09, and Columns 3 through 5 list the results for arsenic, lead, total coliform, nitrate + nitrite (as N), and total sodium, respectively, in 2000–07 and 2008–09.</w:t>
      </w:r>
    </w:p>
    <w:p w:rsidR="00485094" w:rsidRDefault="00485094" w:rsidP="005D2035">
      <w:pPr>
        <w:pStyle w:val="Bodytextreduced"/>
        <w:rPr>
          <w:b/>
        </w:rPr>
      </w:pPr>
    </w:p>
    <w:p w:rsidR="00485094" w:rsidRPr="00336540" w:rsidRDefault="00485094" w:rsidP="00943060">
      <w:pPr>
        <w:pStyle w:val="Bodytextreduced"/>
      </w:pPr>
      <w:r w:rsidRPr="00336540">
        <w:rPr>
          <w:b/>
        </w:rPr>
        <w:t>Note</w:t>
      </w:r>
      <w:r>
        <w:rPr>
          <w:b/>
        </w:rPr>
        <w:t>s</w:t>
      </w:r>
      <w:r w:rsidRPr="00336540">
        <w:rPr>
          <w:b/>
        </w:rPr>
        <w:t>:</w:t>
      </w:r>
      <w:r>
        <w:rPr>
          <w:b/>
        </w:rPr>
        <w:t xml:space="preserve">  </w:t>
      </w:r>
      <w:r w:rsidRPr="00336540">
        <w:t>Data are from a combination of sources</w:t>
      </w:r>
      <w:r>
        <w:t>,</w:t>
      </w:r>
      <w:r w:rsidRPr="00336540">
        <w:t xml:space="preserve"> including FDEP’s Status Network, the water management districts, and USGS.</w:t>
      </w:r>
      <w:r>
        <w:t xml:space="preserve">  </w:t>
      </w:r>
      <w:r w:rsidRPr="00336540">
        <w:t>For some basins, datasets are limited</w:t>
      </w:r>
      <w:r>
        <w:t>.  V</w:t>
      </w:r>
      <w:r w:rsidRPr="00336540">
        <w:t xml:space="preserve">alues for basins with 5 or fewer samples are </w:t>
      </w:r>
      <w:r>
        <w:t xml:space="preserve">indicated by </w:t>
      </w:r>
      <w:r w:rsidRPr="00336540">
        <w:rPr>
          <w:highlight w:val="lightGray"/>
        </w:rPr>
        <w:t>shad</w:t>
      </w:r>
      <w:r>
        <w:rPr>
          <w:highlight w:val="lightGray"/>
        </w:rPr>
        <w:t>ing</w:t>
      </w:r>
      <w:r>
        <w:t xml:space="preserve"> and an asterisk</w:t>
      </w:r>
      <w:r w:rsidRPr="00336540">
        <w:t>.</w:t>
      </w:r>
    </w:p>
    <w:p w:rsidR="00485094" w:rsidRPr="00336540" w:rsidRDefault="00485094" w:rsidP="005D2035">
      <w:pPr>
        <w:pStyle w:val="Bodytextreduced"/>
      </w:pPr>
      <w:r w:rsidRPr="001B5059">
        <w:rPr>
          <w:vertAlign w:val="superscript"/>
        </w:rPr>
        <w:t>1</w:t>
      </w:r>
      <w:r>
        <w:t xml:space="preserve"> </w:t>
      </w:r>
      <w:r w:rsidRPr="00336540">
        <w:t xml:space="preserve">Metals assessments were conducted for arsenic (As) and lead (Pb), the two primary metals most commonly exceeding their MCL.  </w:t>
      </w:r>
    </w:p>
    <w:p w:rsidR="00485094" w:rsidRPr="00814746" w:rsidRDefault="00485094" w:rsidP="005D2035">
      <w:pPr>
        <w:pStyle w:val="Bodytextreduced"/>
        <w:rPr>
          <w:rFonts w:cs="Arial"/>
          <w:b/>
          <w:sz w:val="18"/>
          <w:szCs w:val="18"/>
        </w:rPr>
      </w:pPr>
      <w:r w:rsidRPr="00336540">
        <w:t>N/A</w:t>
      </w:r>
      <w:r>
        <w:t xml:space="preserve"> = N</w:t>
      </w:r>
      <w:r w:rsidRPr="00336540">
        <w:t>ot available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10"/>
        <w:gridCol w:w="1850"/>
        <w:gridCol w:w="1845"/>
        <w:gridCol w:w="1838"/>
        <w:gridCol w:w="1847"/>
        <w:gridCol w:w="1841"/>
        <w:gridCol w:w="1845"/>
      </w:tblGrid>
      <w:tr w:rsidR="00485094" w:rsidRPr="000F2909" w:rsidTr="000F2909">
        <w:trPr>
          <w:jc w:val="center"/>
        </w:trPr>
        <w:tc>
          <w:tcPr>
            <w:tcW w:w="2134"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i/>
              </w:rPr>
              <w:t>Basin</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Metals</w:t>
            </w:r>
          </w:p>
          <w:p w:rsidR="00485094" w:rsidRPr="000F2909" w:rsidRDefault="00485094" w:rsidP="005D2035">
            <w:pPr>
              <w:pStyle w:val="Tabletextreduced"/>
              <w:jc w:val="center"/>
              <w:rPr>
                <w:rFonts w:ascii="Arial" w:hAnsi="Arial"/>
                <w:b/>
                <w:bCs/>
                <w:i/>
              </w:rPr>
            </w:pPr>
            <w:r w:rsidRPr="000F2909">
              <w:rPr>
                <w:rFonts w:ascii="Arial" w:hAnsi="Arial"/>
                <w:b/>
                <w:bCs/>
                <w:i/>
              </w:rPr>
              <w:t>(Most Frequent Metal exceeding MCL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Arsenic</w:t>
            </w:r>
            <w:r w:rsidRPr="000F2909">
              <w:rPr>
                <w:rFonts w:ascii="Arial" w:hAnsi="Arial"/>
                <w:b/>
                <w:bCs/>
                <w:i/>
                <w:vertAlign w:val="superscript"/>
              </w:rPr>
              <w:t>1</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Lead</w:t>
            </w:r>
            <w:r w:rsidRPr="000F2909">
              <w:rPr>
                <w:rFonts w:ascii="Arial" w:hAnsi="Arial"/>
                <w:b/>
                <w:bCs/>
                <w:i/>
                <w:vertAlign w:val="superscript"/>
              </w:rPr>
              <w:t>1</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2"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Coliform, Total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3"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 xml:space="preserve">Nitrate + Nitrite </w:t>
            </w:r>
          </w:p>
          <w:p w:rsidR="00485094" w:rsidRPr="000F2909" w:rsidRDefault="00485094" w:rsidP="005D2035">
            <w:pPr>
              <w:pStyle w:val="Tabletextreduced"/>
              <w:jc w:val="center"/>
              <w:rPr>
                <w:rFonts w:ascii="Arial" w:hAnsi="Arial"/>
                <w:b/>
                <w:bCs/>
                <w:i/>
              </w:rPr>
            </w:pPr>
            <w:r w:rsidRPr="000F2909">
              <w:rPr>
                <w:rFonts w:ascii="Arial" w:hAnsi="Arial"/>
                <w:b/>
                <w:bCs/>
                <w:i/>
              </w:rPr>
              <w:t>(as N)</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c>
          <w:tcPr>
            <w:tcW w:w="1883" w:type="dxa"/>
            <w:tcBorders>
              <w:bottom w:val="double" w:sz="4" w:space="0" w:color="auto"/>
            </w:tcBorders>
            <w:shd w:val="clear" w:color="auto" w:fill="BDFFFF"/>
            <w:vAlign w:val="bottom"/>
          </w:tcPr>
          <w:p w:rsidR="00485094" w:rsidRPr="000F2909" w:rsidRDefault="00485094" w:rsidP="005D2035">
            <w:pPr>
              <w:pStyle w:val="Tabletextreduced"/>
              <w:jc w:val="center"/>
              <w:rPr>
                <w:rFonts w:ascii="Arial" w:hAnsi="Arial"/>
                <w:b/>
                <w:bCs/>
                <w:i/>
              </w:rPr>
            </w:pPr>
            <w:r w:rsidRPr="000F2909">
              <w:rPr>
                <w:rFonts w:ascii="Arial" w:hAnsi="Arial"/>
                <w:b/>
                <w:bCs/>
                <w:i/>
              </w:rPr>
              <w:t>Sodium, Total</w:t>
            </w:r>
          </w:p>
          <w:p w:rsidR="00485094" w:rsidRPr="000F2909" w:rsidRDefault="00485094" w:rsidP="005D2035">
            <w:pPr>
              <w:pStyle w:val="Tabletextreduced"/>
              <w:jc w:val="center"/>
              <w:rPr>
                <w:rFonts w:ascii="Arial" w:hAnsi="Arial"/>
                <w:b/>
                <w:bCs/>
                <w:i/>
              </w:rPr>
            </w:pPr>
            <w:r w:rsidRPr="000F2909">
              <w:rPr>
                <w:rFonts w:ascii="Arial" w:hAnsi="Arial"/>
                <w:b/>
                <w:bCs/>
                <w:i/>
                <w:iCs/>
              </w:rPr>
              <w:t>2000–07 / 2008–09</w:t>
            </w:r>
          </w:p>
        </w:tc>
      </w:tr>
      <w:tr w:rsidR="00485094" w:rsidRPr="00336540" w:rsidTr="000F2909">
        <w:trPr>
          <w:jc w:val="center"/>
        </w:trPr>
        <w:tc>
          <w:tcPr>
            <w:tcW w:w="2134" w:type="dxa"/>
            <w:tcBorders>
              <w:top w:val="double" w:sz="4" w:space="0" w:color="auto"/>
            </w:tcBorders>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Apalachicola–Chipola</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92% - 100%</w:t>
            </w:r>
          </w:p>
        </w:tc>
        <w:tc>
          <w:tcPr>
            <w:tcW w:w="1883"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tcBorders>
              <w:top w:val="double" w:sz="4" w:space="0" w:color="auto"/>
            </w:tcBorders>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Caloosahatchee</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75%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39% -75 %</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Charlotte</w:t>
                </w:r>
              </w:smartTag>
              <w:r w:rsidRPr="00336540">
                <w:rPr>
                  <w:rFonts w:ascii="Arial" w:hAnsi="Arial"/>
                  <w:bCs/>
                </w:rPr>
                <w:t xml:space="preserve"> </w:t>
              </w:r>
              <w:smartTag w:uri="urn:schemas-microsoft-com:office:smarttags" w:element="PlaceName">
                <w:r w:rsidRPr="00336540">
                  <w:rPr>
                    <w:rFonts w:ascii="Arial" w:hAnsi="Arial"/>
                    <w:bCs/>
                  </w:rPr>
                  <w:t>Harbor</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84%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37% - </w:t>
            </w:r>
            <w:r w:rsidRPr="00336540">
              <w:rPr>
                <w:rFonts w:ascii="Arial" w:hAnsi="Arial"/>
                <w:bCs/>
                <w:highlight w:val="lightGray"/>
              </w:rPr>
              <w:t>0%</w:t>
            </w:r>
            <w:r>
              <w:rPr>
                <w:rFonts w:ascii="Arial" w:hAnsi="Arial"/>
                <w:bCs/>
              </w:rPr>
              <w:t>*</w:t>
            </w:r>
          </w:p>
        </w:tc>
      </w:tr>
      <w:tr w:rsidR="00485094" w:rsidRPr="00336540" w:rsidTr="00E86B70">
        <w:trPr>
          <w:jc w:val="center"/>
        </w:trPr>
        <w:tc>
          <w:tcPr>
            <w:tcW w:w="2134" w:type="dxa"/>
            <w:shd w:val="clear" w:color="auto" w:fill="FFFFCC"/>
            <w:vAlign w:val="center"/>
          </w:tcPr>
          <w:p w:rsidR="00485094" w:rsidRDefault="00485094" w:rsidP="005D2035">
            <w:pPr>
              <w:pStyle w:val="Tabletextreduced"/>
              <w:jc w:val="center"/>
              <w:rPr>
                <w:rFonts w:ascii="Arial" w:hAnsi="Arial"/>
                <w:bCs/>
              </w:rPr>
            </w:pPr>
            <w:smartTag w:uri="urn:schemas-microsoft-com:office:smarttags" w:element="place">
              <w:r w:rsidRPr="00336540">
                <w:rPr>
                  <w:rFonts w:ascii="Arial" w:hAnsi="Arial"/>
                  <w:bCs/>
                </w:rPr>
                <w:t>Choctawhatchee–</w:t>
              </w:r>
            </w:smartTag>
          </w:p>
          <w:p w:rsidR="00485094" w:rsidRPr="00336540" w:rsidRDefault="00485094" w:rsidP="005D2035">
            <w:pPr>
              <w:pStyle w:val="Tabletextreduced"/>
              <w:jc w:val="center"/>
              <w:rPr>
                <w:rFonts w:ascii="Arial" w:hAnsi="Arial"/>
                <w:bCs/>
              </w:rPr>
            </w:pPr>
            <w:r w:rsidRPr="00336540">
              <w:rPr>
                <w:rFonts w:ascii="Arial" w:hAnsi="Arial"/>
                <w:bCs/>
              </w:rPr>
              <w:t>St. Andrew</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87% - 90%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Everglades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- 63%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55% - 76%</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Everglades</w:t>
              </w:r>
            </w:smartTag>
            <w:r w:rsidRPr="00336540">
              <w:rPr>
                <w:rFonts w:ascii="Arial" w:hAnsi="Arial"/>
                <w:bCs/>
              </w:rPr>
              <w:t xml:space="preserve"> West Coast</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- 96%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- 96%</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72%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28% - 64%</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Fisheating Creek</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N/A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N/A</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53% - 61%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N/A</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Florida Keys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- 88%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- 75%</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0%</w:t>
            </w:r>
            <w:r>
              <w:rPr>
                <w:rFonts w:ascii="Arial" w:hAnsi="Arial"/>
                <w:bCs/>
              </w:rPr>
              <w:t>*</w:t>
            </w:r>
            <w:r w:rsidRPr="00336540">
              <w:rPr>
                <w:rFonts w:ascii="Arial" w:hAnsi="Arial"/>
                <w:bCs/>
              </w:rPr>
              <w:t xml:space="preserve"> - 0%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Indian River</w:t>
              </w:r>
            </w:smartTag>
            <w:r w:rsidRPr="00336540">
              <w:rPr>
                <w:rFonts w:ascii="Arial" w:hAnsi="Arial"/>
                <w:bCs/>
              </w:rPr>
              <w:t xml:space="preserve"> Lagoon</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- 96%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- 96%</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- 85%</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- 98%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60% - 47%</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Kissimmee River</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- 88%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- 88%</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90% - 97%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52% - 54%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Lake Okeechobee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67% - </w:t>
            </w:r>
            <w:r w:rsidRPr="00336540">
              <w:rPr>
                <w:rFonts w:ascii="Arial" w:hAnsi="Arial"/>
                <w:bCs/>
                <w:highlight w:val="lightGray"/>
              </w:rPr>
              <w:t>40%</w:t>
            </w:r>
            <w:r>
              <w:rPr>
                <w:rFonts w:ascii="Arial" w:hAnsi="Arial"/>
                <w:bCs/>
              </w:rPr>
              <w:t>*</w:t>
            </w:r>
          </w:p>
        </w:tc>
      </w:tr>
      <w:tr w:rsidR="00485094" w:rsidRPr="00336540" w:rsidTr="00E86B70">
        <w:trPr>
          <w:jc w:val="center"/>
        </w:trPr>
        <w:tc>
          <w:tcPr>
            <w:tcW w:w="2134" w:type="dxa"/>
            <w:shd w:val="clear" w:color="auto" w:fill="FFFFCC"/>
            <w:vAlign w:val="center"/>
          </w:tcPr>
          <w:p w:rsidR="00485094" w:rsidRDefault="00485094" w:rsidP="005D2035">
            <w:pPr>
              <w:pStyle w:val="Tabletextreduced"/>
              <w:jc w:val="center"/>
              <w:rPr>
                <w:rFonts w:ascii="Arial" w:hAnsi="Arial"/>
                <w:bCs/>
              </w:rPr>
            </w:pPr>
            <w:smartTag w:uri="urn:schemas-microsoft-com:office:smarttags" w:element="place">
              <w:r w:rsidRPr="00336540">
                <w:rPr>
                  <w:rFonts w:ascii="Arial" w:hAnsi="Arial"/>
                  <w:bCs/>
                </w:rPr>
                <w:t>Lake</w:t>
              </w:r>
            </w:smartTag>
            <w:r w:rsidRPr="00336540">
              <w:rPr>
                <w:rFonts w:ascii="Arial" w:hAnsi="Arial"/>
                <w:bCs/>
              </w:rPr>
              <w:t xml:space="preserve"> Worth Lagoon–</w:t>
            </w:r>
          </w:p>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Palm Beach</w:t>
                </w:r>
              </w:smartTag>
              <w:r w:rsidRPr="00336540">
                <w:rPr>
                  <w:rFonts w:ascii="Arial" w:hAnsi="Arial"/>
                  <w:bCs/>
                </w:rPr>
                <w:t xml:space="preserve"> </w:t>
              </w:r>
              <w:smartTag w:uri="urn:schemas-microsoft-com:office:smarttags" w:element="PlaceType">
                <w:r w:rsidRPr="00336540">
                  <w:rPr>
                    <w:rFonts w:ascii="Arial" w:hAnsi="Arial"/>
                    <w:bCs/>
                  </w:rPr>
                  <w:t>Coast</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74% - 88%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47% - </w:t>
            </w:r>
            <w:r w:rsidRPr="00336540">
              <w:rPr>
                <w:rFonts w:ascii="Arial" w:hAnsi="Arial"/>
                <w:bCs/>
                <w:highlight w:val="lightGray"/>
              </w:rPr>
              <w:t>100%</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Lower St. Johns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76%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- 82%</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Middle </w:t>
            </w:r>
            <w:smartTag w:uri="urn:schemas-microsoft-com:office:smarttags" w:element="City">
              <w:smartTag w:uri="urn:schemas-microsoft-com:office:smarttags" w:element="place">
                <w:r w:rsidRPr="00336540">
                  <w:rPr>
                    <w:rFonts w:ascii="Arial" w:hAnsi="Arial"/>
                    <w:bCs/>
                  </w:rPr>
                  <w:t>St. Johns</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79% - 84%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72% - 75%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Nassau–St. Marys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87% - 86%</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- 94%</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Ochlockonee–St. Marks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66%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- 81%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Ocklawaha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79% - 91%</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- 99%</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City">
              <w:smartTag w:uri="urn:schemas-microsoft-com:office:smarttags" w:element="place">
                <w:r w:rsidRPr="00336540">
                  <w:rPr>
                    <w:rFonts w:ascii="Arial" w:hAnsi="Arial"/>
                    <w:bCs/>
                  </w:rPr>
                  <w:t>Pensacola</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Perdido</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Sarasota Bay–Peace–Myakka</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97%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73% - 93%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89% - 88%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Southeast</w:t>
                </w:r>
              </w:smartTag>
              <w:r w:rsidRPr="00336540">
                <w:rPr>
                  <w:rFonts w:ascii="Arial" w:hAnsi="Arial"/>
                  <w:bCs/>
                </w:rPr>
                <w:t xml:space="preserve"> </w:t>
              </w:r>
              <w:smartTag w:uri="urn:schemas-microsoft-com:office:smarttags" w:element="PlaceName">
                <w:r w:rsidRPr="00336540">
                  <w:rPr>
                    <w:rFonts w:ascii="Arial" w:hAnsi="Arial"/>
                    <w:bCs/>
                  </w:rPr>
                  <w:t>Coast–Biscayne</w:t>
                </w:r>
              </w:smartTag>
              <w:r w:rsidRPr="00336540">
                <w:rPr>
                  <w:rFonts w:ascii="Arial" w:hAnsi="Arial"/>
                  <w:bCs/>
                </w:rPr>
                <w:t xml:space="preserve"> </w:t>
              </w:r>
              <w:smartTag w:uri="urn:schemas-microsoft-com:office:smarttags" w:element="PlaceType">
                <w:r w:rsidRPr="00336540">
                  <w:rPr>
                    <w:rFonts w:ascii="Arial" w:hAnsi="Arial"/>
                    <w:bCs/>
                  </w:rPr>
                  <w:t>Bay</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71% - 68%</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44% - 85%</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Type">
              <w:smartTag w:uri="urn:schemas-microsoft-com:office:smarttags" w:element="place">
                <w:r w:rsidRPr="00336540">
                  <w:rPr>
                    <w:rFonts w:ascii="Arial" w:hAnsi="Arial"/>
                    <w:bCs/>
                  </w:rPr>
                  <w:t>Springs</w:t>
                </w:r>
              </w:smartTag>
              <w:r w:rsidRPr="00336540">
                <w:rPr>
                  <w:rFonts w:ascii="Arial" w:hAnsi="Arial"/>
                  <w:bCs/>
                </w:rPr>
                <w:t xml:space="preserve"> </w:t>
              </w:r>
              <w:smartTag w:uri="urn:schemas-microsoft-com:office:smarttags" w:element="PlaceType">
                <w:r w:rsidRPr="00336540">
                  <w:rPr>
                    <w:rFonts w:ascii="Arial" w:hAnsi="Arial"/>
                    <w:bCs/>
                  </w:rPr>
                  <w:t>Coast</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- 89%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- 89%</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- 97%</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- 84%</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N/A - 73%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r w:rsidRPr="00336540">
              <w:rPr>
                <w:rFonts w:ascii="Arial" w:hAnsi="Arial"/>
                <w:bCs/>
              </w:rPr>
              <w:t>St. Lucie–Loxahatchee</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64%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24% - </w:t>
            </w:r>
            <w:r w:rsidRPr="00336540">
              <w:rPr>
                <w:rFonts w:ascii="Arial" w:hAnsi="Arial"/>
                <w:bCs/>
                <w:highlight w:val="lightGray"/>
              </w:rPr>
              <w:t>0%</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Suwannee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83% - 80%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- 99%</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Tampa</w:t>
                </w:r>
              </w:smartTag>
              <w:r w:rsidRPr="00336540">
                <w:rPr>
                  <w:rFonts w:ascii="Arial" w:hAnsi="Arial"/>
                  <w:bCs/>
                </w:rPr>
                <w:t xml:space="preserve"> </w:t>
              </w:r>
              <w:smartTag w:uri="urn:schemas-microsoft-com:office:smarttags" w:element="PlaceType">
                <w:r w:rsidRPr="00336540">
                  <w:rPr>
                    <w:rFonts w:ascii="Arial" w:hAnsi="Arial"/>
                    <w:bCs/>
                  </w:rPr>
                  <w:t>Bay</w:t>
                </w:r>
              </w:smartTag>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91%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94%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88% - 100%</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Name">
              <w:smartTag w:uri="urn:schemas-microsoft-com:office:smarttags" w:element="place">
                <w:r w:rsidRPr="00336540">
                  <w:rPr>
                    <w:rFonts w:ascii="Arial" w:hAnsi="Arial"/>
                    <w:bCs/>
                  </w:rPr>
                  <w:t>Tampa</w:t>
                </w:r>
              </w:smartTag>
              <w:r w:rsidRPr="00336540">
                <w:rPr>
                  <w:rFonts w:ascii="Arial" w:hAnsi="Arial"/>
                  <w:bCs/>
                </w:rPr>
                <w:t xml:space="preserve"> </w:t>
              </w:r>
              <w:smartTag w:uri="urn:schemas-microsoft-com:office:smarttags" w:element="PlaceType">
                <w:r w:rsidRPr="00336540">
                  <w:rPr>
                    <w:rFonts w:ascii="Arial" w:hAnsi="Arial"/>
                    <w:bCs/>
                  </w:rPr>
                  <w:t>Bay</w:t>
                </w:r>
              </w:smartTag>
            </w:smartTag>
            <w:r w:rsidRPr="00336540">
              <w:rPr>
                <w:rFonts w:ascii="Arial" w:hAnsi="Arial"/>
                <w:bCs/>
              </w:rPr>
              <w:t xml:space="preserve"> Tributaries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 (As)</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93%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77% - 67%</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 xml:space="preserve">95% - </w:t>
            </w:r>
            <w:r w:rsidRPr="00336540">
              <w:rPr>
                <w:rFonts w:ascii="Arial" w:hAnsi="Arial"/>
                <w:bCs/>
                <w:highlight w:val="lightGray"/>
              </w:rPr>
              <w:t>75%</w:t>
            </w:r>
            <w:r>
              <w:rPr>
                <w:rFonts w:ascii="Arial" w:hAnsi="Arial"/>
                <w:bCs/>
              </w:rPr>
              <w:t>*</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Upper East Coast</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60%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80%</w:t>
            </w:r>
            <w:r>
              <w:rPr>
                <w:rFonts w:ascii="Arial" w:hAnsi="Arial"/>
                <w:bCs/>
              </w:rPr>
              <w:t>*</w:t>
            </w:r>
            <w:r w:rsidRPr="00336540">
              <w:rPr>
                <w:rFonts w:ascii="Arial" w:hAnsi="Arial"/>
                <w:bCs/>
              </w:rPr>
              <w:t xml:space="preserve">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60%</w:t>
            </w:r>
            <w:r>
              <w:rPr>
                <w:rFonts w:ascii="Arial" w:hAnsi="Arial"/>
                <w:bCs/>
              </w:rPr>
              <w:t>*</w:t>
            </w:r>
            <w:r w:rsidRPr="00336540">
              <w:rPr>
                <w:rFonts w:ascii="Arial" w:hAnsi="Arial"/>
                <w:bCs/>
              </w:rPr>
              <w:t xml:space="preserve">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highlight w:val="lightGray"/>
              </w:rPr>
              <w:t>0%</w:t>
            </w:r>
            <w:r>
              <w:rPr>
                <w:rFonts w:ascii="Arial" w:hAnsi="Arial"/>
                <w:bCs/>
              </w:rPr>
              <w:t>*</w:t>
            </w:r>
            <w:r w:rsidRPr="00336540">
              <w:rPr>
                <w:rFonts w:ascii="Arial" w:hAnsi="Arial"/>
                <w:bCs/>
              </w:rPr>
              <w:t xml:space="preserve"> - 79%</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67% - 63%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Upper St. Johns</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96%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95% - 50%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- 83%</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44% - 43%</w:t>
            </w:r>
          </w:p>
        </w:tc>
      </w:tr>
      <w:tr w:rsidR="00485094" w:rsidRPr="00336540" w:rsidTr="00E86B70">
        <w:trPr>
          <w:jc w:val="center"/>
        </w:trPr>
        <w:tc>
          <w:tcPr>
            <w:tcW w:w="2134" w:type="dxa"/>
            <w:shd w:val="clear" w:color="auto" w:fill="FFFFCC"/>
            <w:vAlign w:val="center"/>
          </w:tcPr>
          <w:p w:rsidR="00485094" w:rsidRPr="00336540" w:rsidRDefault="00485094" w:rsidP="005D2035">
            <w:pPr>
              <w:pStyle w:val="Tabletextreduced"/>
              <w:jc w:val="center"/>
              <w:rPr>
                <w:rFonts w:ascii="Arial" w:hAnsi="Arial"/>
                <w:bCs/>
              </w:rPr>
            </w:pPr>
            <w:smartTag w:uri="urn:schemas-microsoft-com:office:smarttags" w:element="place">
              <w:r w:rsidRPr="00336540">
                <w:rPr>
                  <w:rFonts w:ascii="Arial" w:hAnsi="Arial"/>
                  <w:bCs/>
                </w:rPr>
                <w:t>Withlacoochee</w:t>
              </w:r>
            </w:smartTag>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 (Pb)</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98% - 100%</w:t>
            </w:r>
          </w:p>
        </w:tc>
        <w:tc>
          <w:tcPr>
            <w:tcW w:w="1882" w:type="dxa"/>
            <w:vAlign w:val="center"/>
          </w:tcPr>
          <w:p w:rsidR="00485094" w:rsidRPr="00336540" w:rsidRDefault="00485094" w:rsidP="005D2035">
            <w:pPr>
              <w:pStyle w:val="Tabletextreduced"/>
              <w:jc w:val="center"/>
              <w:rPr>
                <w:rFonts w:ascii="Arial" w:hAnsi="Arial"/>
                <w:bCs/>
              </w:rPr>
            </w:pPr>
            <w:r w:rsidRPr="00336540">
              <w:rPr>
                <w:rFonts w:ascii="Arial" w:hAnsi="Arial"/>
                <w:bCs/>
              </w:rPr>
              <w:t>82% - 92%</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99% - 100%</w:t>
            </w:r>
          </w:p>
        </w:tc>
        <w:tc>
          <w:tcPr>
            <w:tcW w:w="1883" w:type="dxa"/>
            <w:vAlign w:val="center"/>
          </w:tcPr>
          <w:p w:rsidR="00485094" w:rsidRPr="00336540" w:rsidRDefault="00485094" w:rsidP="005D2035">
            <w:pPr>
              <w:pStyle w:val="Tabletextreduced"/>
              <w:jc w:val="center"/>
              <w:rPr>
                <w:rFonts w:ascii="Arial" w:hAnsi="Arial"/>
                <w:bCs/>
              </w:rPr>
            </w:pPr>
            <w:r w:rsidRPr="00336540">
              <w:rPr>
                <w:rFonts w:ascii="Arial" w:hAnsi="Arial"/>
                <w:bCs/>
              </w:rPr>
              <w:t>100% - 100%</w:t>
            </w:r>
          </w:p>
        </w:tc>
      </w:tr>
      <w:tr w:rsidR="00485094" w:rsidRPr="00336540" w:rsidTr="00E86B70">
        <w:trPr>
          <w:jc w:val="center"/>
        </w:trPr>
        <w:tc>
          <w:tcPr>
            <w:tcW w:w="2134"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STATEWIDE SUMMARY</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 (Pb)</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99% - 99%</w:t>
            </w:r>
          </w:p>
        </w:tc>
        <w:tc>
          <w:tcPr>
            <w:tcW w:w="1882"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81% - 84%</w:t>
            </w:r>
          </w:p>
        </w:tc>
        <w:tc>
          <w:tcPr>
            <w:tcW w:w="1883"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94% - 94%</w:t>
            </w:r>
          </w:p>
        </w:tc>
        <w:tc>
          <w:tcPr>
            <w:tcW w:w="1883" w:type="dxa"/>
            <w:shd w:val="clear" w:color="auto" w:fill="FFD9FF"/>
            <w:vAlign w:val="center"/>
          </w:tcPr>
          <w:p w:rsidR="00485094" w:rsidRPr="00336540" w:rsidRDefault="00485094" w:rsidP="005D2035">
            <w:pPr>
              <w:pStyle w:val="Tabletextreduced"/>
              <w:jc w:val="center"/>
              <w:rPr>
                <w:rFonts w:ascii="Arial" w:hAnsi="Arial"/>
                <w:b/>
                <w:bCs/>
              </w:rPr>
            </w:pPr>
            <w:r w:rsidRPr="00336540">
              <w:rPr>
                <w:rFonts w:ascii="Arial" w:hAnsi="Arial"/>
                <w:b/>
                <w:bCs/>
              </w:rPr>
              <w:t>85% - 82%</w:t>
            </w:r>
          </w:p>
        </w:tc>
      </w:tr>
    </w:tbl>
    <w:p w:rsidR="00485094" w:rsidRDefault="00485094" w:rsidP="005D2035">
      <w:pPr>
        <w:pStyle w:val="Bodytext"/>
      </w:pPr>
    </w:p>
    <w:p w:rsidR="00485094" w:rsidRDefault="00485094" w:rsidP="005D2035">
      <w:pPr>
        <w:pStyle w:val="Bodytext"/>
        <w:sectPr w:rsidR="00485094" w:rsidSect="005D2035">
          <w:pgSz w:w="15840" w:h="12240" w:orient="landscape"/>
          <w:pgMar w:top="1440" w:right="1440" w:bottom="1440" w:left="1440" w:header="720" w:footer="720" w:gutter="0"/>
          <w:cols w:space="720"/>
          <w:docGrid w:linePitch="360"/>
        </w:sectPr>
      </w:pPr>
    </w:p>
    <w:p w:rsidR="00485094" w:rsidRDefault="00485094" w:rsidP="005D2035">
      <w:pPr>
        <w:pStyle w:val="Bodytext"/>
      </w:pPr>
    </w:p>
    <w:p w:rsidR="00485094" w:rsidRDefault="00485094" w:rsidP="005D2035">
      <w:pPr>
        <w:pStyle w:val="Bodytext"/>
        <w:rPr>
          <w:rFonts w:cs="Arial"/>
          <w:szCs w:val="22"/>
        </w:rPr>
      </w:pPr>
      <w:r w:rsidRPr="006A0BE8">
        <w:t xml:space="preserve">Sodium can be used as an indicator </w:t>
      </w:r>
      <w:r>
        <w:t>of</w:t>
      </w:r>
      <w:r w:rsidRPr="006A0BE8">
        <w:t xml:space="preserve"> saline ground water </w:t>
      </w:r>
      <w:r>
        <w:t>influence on</w:t>
      </w:r>
      <w:r w:rsidRPr="006A0BE8">
        <w:t xml:space="preserve"> freshwater aquifers.  The issues with salt water can be related to increased ground water usage that creates </w:t>
      </w:r>
      <w:r>
        <w:t xml:space="preserve">the </w:t>
      </w:r>
      <w:r w:rsidRPr="006A0BE8">
        <w:t xml:space="preserve">upconing of mineralized ground water from deeper aquifers or seawater intrusion if wells are located in coastal areas.  Saline water (as sodium) may be a </w:t>
      </w:r>
      <w:r>
        <w:rPr>
          <w:rFonts w:cs="Arial"/>
          <w:szCs w:val="22"/>
        </w:rPr>
        <w:t>concern in approximately 15</w:t>
      </w:r>
      <w:r w:rsidRPr="006A0BE8">
        <w:rPr>
          <w:rFonts w:cs="Arial"/>
          <w:szCs w:val="22"/>
        </w:rPr>
        <w:t>%</w:t>
      </w:r>
      <w:r>
        <w:t xml:space="preserve"> </w:t>
      </w:r>
      <w:r w:rsidRPr="006A0BE8">
        <w:rPr>
          <w:rFonts w:cs="Arial"/>
          <w:szCs w:val="22"/>
        </w:rPr>
        <w:t xml:space="preserve">of the state, based on statewide statistics.  </w:t>
      </w:r>
      <w:r w:rsidRPr="005B0A81">
        <w:t xml:space="preserve">The statewide assessment shows that </w:t>
      </w:r>
      <w:r>
        <w:t xml:space="preserve">data from the past 2 years were similar to the 2000–07 median in the number of samples achieving the MCL (82% in comparison to 85%).  </w:t>
      </w:r>
      <w:r w:rsidRPr="006D2864">
        <w:rPr>
          <w:b/>
          <w:i/>
        </w:rPr>
        <w:t>Table 10.1</w:t>
      </w:r>
      <w:r>
        <w:t xml:space="preserve"> shows the basins with the highest number of wells achieving the MCL for sodium.  Coastal basins were found to have the lowest percentage of wells meeting the MCL, with Caloosahatchee, </w:t>
      </w:r>
      <w:smartTag w:uri="urn:schemas-microsoft-com:office:smarttags" w:element="PlaceName">
        <w:smartTag w:uri="urn:schemas-microsoft-com:office:smarttags" w:element="place">
          <w:r>
            <w:t>Charlotte</w:t>
          </w:r>
        </w:smartTag>
        <w:r>
          <w:t xml:space="preserve"> </w:t>
        </w:r>
        <w:smartTag w:uri="urn:schemas-microsoft-com:office:smarttags" w:element="PlaceName">
          <w:r>
            <w:t>Harbor</w:t>
          </w:r>
        </w:smartTag>
      </w:smartTag>
      <w:r>
        <w:t>, Everglades West Coast, and St. Lucie–Loxahatchee having the highest number of wells exceeding the MCL for sodium</w:t>
      </w:r>
      <w:r>
        <w:rPr>
          <w:rFonts w:cs="Arial"/>
          <w:szCs w:val="22"/>
        </w:rPr>
        <w:t>.</w:t>
      </w:r>
    </w:p>
    <w:p w:rsidR="00485094" w:rsidRDefault="00485094" w:rsidP="005D2035">
      <w:pPr>
        <w:pStyle w:val="Bodytext"/>
      </w:pPr>
    </w:p>
    <w:p w:rsidR="00485094" w:rsidRDefault="00485094" w:rsidP="005D2035">
      <w:pPr>
        <w:pStyle w:val="Bodytext"/>
      </w:pPr>
      <w:r>
        <w:t>One or more metals exceeding a primary ground water MCL occurred in only about 1% of the samples, with the most prevalent metals exceedances for lead and arsenic.  Lead levels are sometimes related to well casing or plumbing material, but arsenic is most frequently associated with a contaminant source or natural condition in the aquifer when it is found at concentrations above its MCL.</w:t>
      </w:r>
    </w:p>
    <w:p w:rsidR="00485094" w:rsidRPr="005B0A81" w:rsidRDefault="00485094" w:rsidP="005D2035">
      <w:pPr>
        <w:pStyle w:val="Bodytext"/>
      </w:pPr>
    </w:p>
    <w:p w:rsidR="00485094" w:rsidRPr="005B0A81" w:rsidRDefault="00485094" w:rsidP="005D2035">
      <w:pPr>
        <w:pStyle w:val="Bodytext"/>
      </w:pPr>
      <w:r w:rsidRPr="005B0A81">
        <w:t>Nitrate</w:t>
      </w:r>
      <w:r>
        <w:t xml:space="preserve"> - nitrogen</w:t>
      </w:r>
      <w:r w:rsidRPr="005B0A81">
        <w:t xml:space="preserve"> is a conservative contaminant, and concentrations are not typically biased by well materials or sampling technique.  </w:t>
      </w:r>
      <w:r>
        <w:t xml:space="preserve">The compound nitrite - nitrogen is seldom detected in ground water and, if present, occurs in only minute concentrations.  Therefore, when concentrations of nitrate + nitrite - nitrogen are reported together, as they are in </w:t>
      </w:r>
      <w:r w:rsidRPr="006D2864">
        <w:rPr>
          <w:b/>
          <w:i/>
        </w:rPr>
        <w:t>Table 10.1</w:t>
      </w:r>
      <w:r>
        <w:t xml:space="preserve">, it can be safely assumed that the value represents the nitrate concentration.  </w:t>
      </w:r>
      <w:r w:rsidRPr="005B0A81">
        <w:t xml:space="preserve">Elevated nitrate </w:t>
      </w:r>
      <w:r>
        <w:t>levels</w:t>
      </w:r>
      <w:r w:rsidRPr="005B0A81">
        <w:t xml:space="preserve"> reflect the presence of nutrient sources such as fertilizers, animal waste, or domestic wastewater.  According to th</w:t>
      </w:r>
      <w:r>
        <w:t>e statewide assessment, nitrate</w:t>
      </w:r>
      <w:r w:rsidRPr="005B0A81">
        <w:t xml:space="preserve"> above </w:t>
      </w:r>
      <w:r>
        <w:t xml:space="preserve">the </w:t>
      </w:r>
      <w:r w:rsidRPr="005B0A81">
        <w:t xml:space="preserve">MCL </w:t>
      </w:r>
      <w:r>
        <w:t>is</w:t>
      </w:r>
      <w:r w:rsidRPr="005B0A81">
        <w:t xml:space="preserve"> a concern in </w:t>
      </w:r>
      <w:r>
        <w:t>6</w:t>
      </w:r>
      <w:r w:rsidRPr="005B0A81">
        <w:t xml:space="preserve">% of the </w:t>
      </w:r>
      <w:r>
        <w:t>wells sampled</w:t>
      </w:r>
      <w:r w:rsidRPr="005B0A81">
        <w:t>.</w:t>
      </w:r>
      <w:r>
        <w:t xml:space="preserve">  </w:t>
      </w:r>
      <w:r w:rsidRPr="006D2864">
        <w:rPr>
          <w:b/>
          <w:i/>
        </w:rPr>
        <w:t>Table 10.1</w:t>
      </w:r>
      <w:r>
        <w:t xml:space="preserve"> lists the basins with the highest number of wells achieving the MCL for nitrate.  Basins with the lowest percentage of wells meeting the MCL for nitrate included Fisheating Creek and </w:t>
      </w:r>
      <w:smartTag w:uri="urn:schemas-microsoft-com:office:smarttags" w:element="place">
        <w:r>
          <w:t>Kissimmee River</w:t>
        </w:r>
      </w:smartTag>
      <w:r>
        <w:t>.</w:t>
      </w:r>
    </w:p>
    <w:p w:rsidR="00485094" w:rsidRPr="006A0BE8" w:rsidRDefault="00485094" w:rsidP="005D2035">
      <w:pPr>
        <w:pStyle w:val="Bodytext"/>
      </w:pPr>
    </w:p>
    <w:p w:rsidR="00485094" w:rsidRDefault="00485094" w:rsidP="005D2035">
      <w:pPr>
        <w:pStyle w:val="Bodytext"/>
      </w:pPr>
      <w:r>
        <w:t>This</w:t>
      </w:r>
      <w:r w:rsidRPr="00C328E1">
        <w:t xml:space="preserve"> </w:t>
      </w:r>
      <w:r>
        <w:t xml:space="preserve">generalized </w:t>
      </w:r>
      <w:r w:rsidRPr="00C328E1">
        <w:t xml:space="preserve">analysis shows that overall ground water quality in the state is good, when considering these parameters. </w:t>
      </w:r>
      <w:r>
        <w:t xml:space="preserve"> However, this analysis indicates that there are some ground water quality issues in the state, and, depending on the contaminant, they can occur on a localized or regional scale.  The following section describes the contaminants of concern in </w:t>
      </w:r>
      <w:smartTag w:uri="urn:schemas-microsoft-com:office:smarttags" w:element="State">
        <w:smartTag w:uri="urn:schemas-microsoft-com:office:smarttags" w:element="place">
          <w:r>
            <w:t>Florida</w:t>
          </w:r>
        </w:smartTag>
      </w:smartTag>
      <w:r>
        <w:t xml:space="preserve"> and their observed occurrences in potable ground water.</w:t>
      </w:r>
    </w:p>
    <w:p w:rsidR="00485094" w:rsidRDefault="00485094">
      <w:pPr>
        <w:pStyle w:val="Bodytextreduced"/>
        <w:rPr>
          <w:rStyle w:val="Heading3Char"/>
          <w:rFonts w:cs="Times New Roman"/>
          <w:b w:val="0"/>
          <w:bCs w:val="0"/>
          <w:i w:val="0"/>
          <w:sz w:val="16"/>
        </w:rPr>
      </w:pPr>
    </w:p>
    <w:p w:rsidR="00485094" w:rsidRPr="00A94FE1" w:rsidRDefault="00485094" w:rsidP="00943060">
      <w:pPr>
        <w:pStyle w:val="Heading3"/>
      </w:pPr>
      <w:bookmarkStart w:id="669" w:name="_Toc271794385"/>
      <w:r w:rsidRPr="00943060">
        <w:t>Ground Water Quality Issues and Contaminants of Concern, Including Public Health Issues</w:t>
      </w:r>
      <w:bookmarkEnd w:id="669"/>
    </w:p>
    <w:p w:rsidR="00485094" w:rsidRDefault="00485094" w:rsidP="005D2035">
      <w:pPr>
        <w:pStyle w:val="Bodytext"/>
      </w:pPr>
      <w:r>
        <w:t>As discussed in the analysis of ambient data</w:t>
      </w:r>
      <w:r w:rsidRPr="009D0424">
        <w:t xml:space="preserve">, the overall quality of ground water in </w:t>
      </w:r>
      <w:smartTag w:uri="urn:schemas-microsoft-com:office:smarttags" w:element="State">
        <w:smartTag w:uri="urn:schemas-microsoft-com:office:smarttags" w:element="place">
          <w:r w:rsidRPr="009D0424">
            <w:t>Florida</w:t>
          </w:r>
        </w:smartTag>
      </w:smartTag>
      <w:r w:rsidRPr="009D0424">
        <w:t xml:space="preserve"> is good</w:t>
      </w:r>
      <w:r>
        <w:t>.  However</w:t>
      </w:r>
      <w:r w:rsidRPr="009D0424">
        <w:t>,</w:t>
      </w:r>
      <w:r>
        <w:t xml:space="preserve"> there are ground </w:t>
      </w:r>
      <w:r w:rsidRPr="009D0424">
        <w:t xml:space="preserve">water quality issues </w:t>
      </w:r>
      <w:r>
        <w:t>in</w:t>
      </w:r>
      <w:r w:rsidRPr="009D0424">
        <w:t xml:space="preserve"> specific areas.  </w:t>
      </w:r>
      <w:r>
        <w:t>P</w:t>
      </w:r>
      <w:r w:rsidRPr="009D0424">
        <w:t xml:space="preserve">rivate well sampling data and public water system </w:t>
      </w:r>
      <w:r>
        <w:t>data (which include both treated and raw water samples)</w:t>
      </w:r>
      <w:r w:rsidRPr="009D0424">
        <w:t xml:space="preserve"> were used to develop a summary of the </w:t>
      </w:r>
      <w:r>
        <w:t>categories of</w:t>
      </w:r>
      <w:r w:rsidRPr="009D0424">
        <w:t xml:space="preserve"> parameters </w:t>
      </w:r>
      <w:r>
        <w:t>that were most frequently found at levels exceeding primary ground water MCLs in potable water aquifers</w:t>
      </w:r>
      <w:r w:rsidRPr="009D0424">
        <w:t xml:space="preserve">.  </w:t>
      </w:r>
      <w:r>
        <w:t xml:space="preserve">Data were obtained for a two-year period of record spanning November 2007 through November 2009.  </w:t>
      </w:r>
      <w:r w:rsidRPr="009D0424">
        <w:t xml:space="preserve">The </w:t>
      </w:r>
      <w:r>
        <w:t>MCL exceedances</w:t>
      </w:r>
      <w:r w:rsidRPr="009D0424">
        <w:t xml:space="preserve"> </w:t>
      </w:r>
      <w:r>
        <w:t xml:space="preserve">during this period </w:t>
      </w:r>
      <w:r w:rsidRPr="009D0424">
        <w:t xml:space="preserve">help shape </w:t>
      </w:r>
      <w:r>
        <w:t xml:space="preserve">some of </w:t>
      </w:r>
      <w:r w:rsidRPr="009D0424">
        <w:t xml:space="preserve">the </w:t>
      </w:r>
      <w:r>
        <w:t xml:space="preserve">more current </w:t>
      </w:r>
      <w:r w:rsidRPr="009D0424">
        <w:t xml:space="preserve">issues </w:t>
      </w:r>
      <w:r>
        <w:t>and contaminants of concern for</w:t>
      </w:r>
      <w:r w:rsidRPr="009D0424">
        <w:t xml:space="preserve"> potable ground water </w:t>
      </w:r>
      <w:r>
        <w:t>resources</w:t>
      </w:r>
      <w:r w:rsidRPr="009D0424">
        <w:t xml:space="preserve">.  </w:t>
      </w:r>
      <w:r>
        <w:t xml:space="preserve">The reporting of these exceedances in wells and water systems is not meant to imply that well owners or public water customers are consuming contaminated ground water.  Alternative sources or treatment systems are provided to private well owners, and </w:t>
      </w:r>
      <w:r w:rsidRPr="00E7712C">
        <w:t>water</w:t>
      </w:r>
      <w:r>
        <w:t xml:space="preserve"> from public water systems is most often treated but sometimes blended to reduce contaminants to safe levels.</w:t>
      </w:r>
    </w:p>
    <w:p w:rsidR="00485094" w:rsidRDefault="00485094" w:rsidP="005D2035">
      <w:pPr>
        <w:pStyle w:val="Bodytext"/>
      </w:pPr>
    </w:p>
    <w:p w:rsidR="00485094" w:rsidRPr="009D0424" w:rsidRDefault="00485094" w:rsidP="005D2035">
      <w:pPr>
        <w:pStyle w:val="Bodytext"/>
      </w:pPr>
      <w:r w:rsidRPr="00895EBF">
        <w:rPr>
          <w:b/>
          <w:i/>
        </w:rPr>
        <w:lastRenderedPageBreak/>
        <w:t>Figure 10.1</w:t>
      </w:r>
      <w:r>
        <w:t xml:space="preserve"> provides a statewide summary of findings by contaminant category.  </w:t>
      </w:r>
      <w:r w:rsidRPr="000A42AD">
        <w:rPr>
          <w:b/>
          <w:i/>
        </w:rPr>
        <w:t>Table</w:t>
      </w:r>
      <w:r>
        <w:rPr>
          <w:b/>
          <w:i/>
        </w:rPr>
        <w:t>s</w:t>
      </w:r>
      <w:r w:rsidRPr="000A42AD">
        <w:rPr>
          <w:b/>
          <w:i/>
        </w:rPr>
        <w:t xml:space="preserve"> </w:t>
      </w:r>
      <w:r>
        <w:rPr>
          <w:b/>
          <w:i/>
        </w:rPr>
        <w:t xml:space="preserve">10.2a </w:t>
      </w:r>
      <w:r w:rsidRPr="005657F9">
        <w:t>and</w:t>
      </w:r>
      <w:r>
        <w:rPr>
          <w:b/>
          <w:i/>
        </w:rPr>
        <w:t xml:space="preserve"> 10.2b </w:t>
      </w:r>
      <w:r>
        <w:t>summarize</w:t>
      </w:r>
      <w:r w:rsidRPr="009D0424">
        <w:t xml:space="preserve"> contaminant</w:t>
      </w:r>
      <w:r>
        <w:t xml:space="preserve"> categories</w:t>
      </w:r>
      <w:r w:rsidRPr="009D0424">
        <w:t xml:space="preserve"> in </w:t>
      </w:r>
      <w:r>
        <w:t xml:space="preserve">each of </w:t>
      </w:r>
      <w:r w:rsidRPr="009D0424">
        <w:t xml:space="preserve">the </w:t>
      </w:r>
      <w:r>
        <w:t xml:space="preserve">state’s </w:t>
      </w:r>
      <w:r w:rsidRPr="009D0424">
        <w:t>29 major basins</w:t>
      </w:r>
      <w:r w:rsidRPr="003A2398">
        <w:t>, showing</w:t>
      </w:r>
      <w:r>
        <w:t xml:space="preserve"> the total number of MCL exceeda</w:t>
      </w:r>
      <w:r w:rsidRPr="003A2398">
        <w:t>nces reported over time</w:t>
      </w:r>
      <w:r>
        <w:t xml:space="preserve"> and the numbers of exceeda</w:t>
      </w:r>
      <w:r w:rsidRPr="003A2398">
        <w:t>nces found in the most recent 2-year period.</w:t>
      </w:r>
      <w:r w:rsidRPr="009D0424">
        <w:t xml:space="preserve">  </w:t>
      </w:r>
      <w:r>
        <w:t>These</w:t>
      </w:r>
      <w:r w:rsidRPr="009D0424">
        <w:t xml:space="preserve"> categories include volatile organic compounds (VOC</w:t>
      </w:r>
      <w:r>
        <w:t>s</w:t>
      </w:r>
      <w:r w:rsidRPr="009D0424">
        <w:t>), pesticides/synthetic organic chemicals (SOC</w:t>
      </w:r>
      <w:r>
        <w:t>s), nitrate</w:t>
      </w:r>
      <w:r w:rsidRPr="009D0424">
        <w:t xml:space="preserve">, primary metals, </w:t>
      </w:r>
      <w:r>
        <w:t>salinity (as measured by sodium concentrations), and radionuclides</w:t>
      </w:r>
      <w:r w:rsidRPr="009D0424">
        <w:t xml:space="preserve">.  </w:t>
      </w:r>
      <w:r>
        <w:t>The specific contaminants included in this evaluation have potable ground water MCLs.  Although not included in the summary table, trihalomethanes and bacteria are</w:t>
      </w:r>
      <w:r w:rsidRPr="009D0424">
        <w:t xml:space="preserve"> </w:t>
      </w:r>
      <w:r>
        <w:t>significant contaminants affecting water supplies, and they are also discussed in this section</w:t>
      </w:r>
      <w:r w:rsidRPr="009D0424">
        <w:t>.</w:t>
      </w:r>
    </w:p>
    <w:p w:rsidR="00485094" w:rsidRDefault="00485094" w:rsidP="005D2035">
      <w:pPr>
        <w:pStyle w:val="Bodytext"/>
      </w:pPr>
    </w:p>
    <w:p w:rsidR="00485094" w:rsidRPr="0022785D" w:rsidRDefault="00485094" w:rsidP="0044193D">
      <w:pPr>
        <w:pStyle w:val="Heading3"/>
      </w:pPr>
      <w:bookmarkStart w:id="670" w:name="_Toc257365071"/>
      <w:bookmarkStart w:id="671" w:name="_Toc271794386"/>
      <w:r w:rsidRPr="0022785D">
        <w:t>Volatile Organic</w:t>
      </w:r>
      <w:r>
        <w:t xml:space="preserve"> Compound</w:t>
      </w:r>
      <w:r w:rsidRPr="0022785D">
        <w:t>s</w:t>
      </w:r>
      <w:bookmarkEnd w:id="670"/>
      <w:bookmarkEnd w:id="671"/>
      <w:r>
        <w:t xml:space="preserve"> </w:t>
      </w:r>
    </w:p>
    <w:p w:rsidR="00485094" w:rsidRDefault="00485094" w:rsidP="005D2035">
      <w:pPr>
        <w:pStyle w:val="Bodytext"/>
      </w:pPr>
      <w:r w:rsidRPr="009D0424">
        <w:t>Volatile organics can be highly mobile and persistent in ground water</w:t>
      </w:r>
      <w:r>
        <w:t>,</w:t>
      </w:r>
      <w:r w:rsidRPr="009D0424">
        <w:t xml:space="preserve"> and incidences of ground water contamination </w:t>
      </w:r>
      <w:r>
        <w:t xml:space="preserve">by VOCs </w:t>
      </w:r>
      <w:r w:rsidRPr="009D0424">
        <w:t xml:space="preserve">are widespread.  </w:t>
      </w:r>
      <w:r w:rsidRPr="000A42AD">
        <w:rPr>
          <w:b/>
          <w:i/>
        </w:rPr>
        <w:t xml:space="preserve">Table </w:t>
      </w:r>
      <w:r>
        <w:rPr>
          <w:b/>
          <w:i/>
        </w:rPr>
        <w:t xml:space="preserve">10.2a </w:t>
      </w:r>
      <w:r w:rsidRPr="00943060">
        <w:t>includes a</w:t>
      </w:r>
      <w:r w:rsidRPr="00943060">
        <w:rPr>
          <w:b/>
        </w:rPr>
        <w:t xml:space="preserve"> </w:t>
      </w:r>
      <w:r w:rsidRPr="00943060">
        <w:t>summary</w:t>
      </w:r>
      <w:r>
        <w:t xml:space="preserve"> of t</w:t>
      </w:r>
      <w:r w:rsidRPr="009D0424">
        <w:t xml:space="preserve">he </w:t>
      </w:r>
      <w:r>
        <w:t>numbers of water systems or private wells for which samples contained above-MCL levels</w:t>
      </w:r>
      <w:r w:rsidRPr="009D0424">
        <w:t xml:space="preserve"> of VOCs that have primary drinking water MCLs.</w:t>
      </w:r>
      <w:r>
        <w:t xml:space="preserve">  The highest numbers of public water systems that have historically had above-MCL VOC levels were in the Ocklawaha, Middle St. Johns, and Tampa Bay Tributaries Basins; however, there have been few to no additions to these totals over the past two years.  Historically, the highest numbers of MCL exceedances in private wells were in the Lower St. Johns, Middle St. Johns, Sarasota–Peace–Myakka and </w:t>
      </w:r>
      <w:smartTag w:uri="urn:schemas-microsoft-com:office:smarttags" w:element="PlaceName">
        <w:smartTag w:uri="urn:schemas-microsoft-com:office:smarttags" w:element="place">
          <w:r>
            <w:t>Tampa</w:t>
          </w:r>
        </w:smartTag>
        <w:r>
          <w:t xml:space="preserve"> </w:t>
        </w:r>
        <w:smartTag w:uri="urn:schemas-microsoft-com:office:smarttags" w:element="PlaceType">
          <w:r>
            <w:t>Bay</w:t>
          </w:r>
        </w:smartTag>
        <w:r>
          <w:t xml:space="preserve"> </w:t>
        </w:r>
        <w:smartTag w:uri="urn:schemas-microsoft-com:office:smarttags" w:element="PlaceName">
          <w:r>
            <w:t>Tributaries</w:t>
          </w:r>
        </w:smartTag>
        <w:r>
          <w:t xml:space="preserve"> </w:t>
        </w:r>
        <w:smartTag w:uri="urn:schemas-microsoft-com:office:smarttags" w:element="PlaceType">
          <w:r>
            <w:t>Basins</w:t>
          </w:r>
        </w:smartTag>
      </w:smartTag>
      <w:r>
        <w:t xml:space="preserve">.  Of these, the highest number of MCL exceedances over the past two years was in the Middle St. Johns Basin (33 wells), followed by the Lower St. Johns and Southeast Coast–Biscayne Bay Basins (10 each).  </w:t>
      </w:r>
    </w:p>
    <w:p w:rsidR="00485094" w:rsidRDefault="00485094" w:rsidP="005D2035">
      <w:pPr>
        <w:pStyle w:val="Bodytext"/>
      </w:pPr>
    </w:p>
    <w:p w:rsidR="00485094" w:rsidRDefault="00485094" w:rsidP="005D2035">
      <w:pPr>
        <w:pStyle w:val="Bodytext"/>
      </w:pPr>
      <w:r>
        <w:t xml:space="preserve">Benzene has historically been the compound that most frequently exceeded MCLs in each of the two sets of water quality data, followed by trichloroethylene (TCE) and tetrachloroethylene (PCE).  Other compounds with primary MCLs that were exceeded included vinyl chloride, dichloromethane, 1,1-dichloroethylene, 1,2-dichloroethane, and carbon tetrachloride (in PWS systems only).  Based on the last two years of data, the highest number of exceedances in private wells was for vinyl chloride and the highest number of exceedances in public water systems was for 1,1-dichloroethylene.  </w:t>
      </w:r>
    </w:p>
    <w:p w:rsidR="00485094" w:rsidRDefault="00485094" w:rsidP="005D2035">
      <w:pPr>
        <w:pStyle w:val="Bodytext"/>
      </w:pPr>
      <w:r>
        <w:br w:type="page"/>
      </w:r>
    </w:p>
    <w:p w:rsidR="00485094" w:rsidRDefault="00485094" w:rsidP="005D2035">
      <w:pPr>
        <w:pStyle w:val="Caption"/>
      </w:pPr>
      <w:bookmarkStart w:id="672" w:name="_Toc271280187"/>
      <w:bookmarkStart w:id="673" w:name="_Toc257365218"/>
      <w:r w:rsidRPr="00C2428A">
        <w:lastRenderedPageBreak/>
        <w:t xml:space="preserve">Figure </w:t>
      </w:r>
      <w:r>
        <w:t>10.1.  Numbers of Primary MCL Exceedances in Samples from Public Water Systems and Private Wells for the Recent 2-Year Period</w:t>
      </w:r>
      <w:bookmarkEnd w:id="672"/>
      <w:r>
        <w:t xml:space="preserve"> </w:t>
      </w:r>
      <w:bookmarkEnd w:id="673"/>
    </w:p>
    <w:p w:rsidR="00485094" w:rsidRDefault="00485094" w:rsidP="005D2035"/>
    <w:p w:rsidR="00485094" w:rsidRDefault="00485094" w:rsidP="005D2035"/>
    <w:p w:rsidR="00485094" w:rsidRPr="005D7321" w:rsidRDefault="001717CD" w:rsidP="005D2035">
      <w:r>
        <w:rPr>
          <w:noProof/>
        </w:rPr>
        <w:drawing>
          <wp:inline distT="0" distB="0" distL="0" distR="0">
            <wp:extent cx="5518261" cy="4642991"/>
            <wp:effectExtent l="12202" t="6098" r="8007" b="381"/>
            <wp:docPr id="30" name="Chart 1" descr="Figure 10.1.  Numbers of Primary MCL Exceedances in Samples from Public Water Systems and Private Wells for the Recent 2-Year Period "/>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55"/>
              </a:graphicData>
            </a:graphic>
          </wp:inline>
        </w:drawing>
      </w:r>
    </w:p>
    <w:p w:rsidR="00485094" w:rsidRPr="0022785D" w:rsidRDefault="00485094" w:rsidP="005D2035">
      <w:pPr>
        <w:pStyle w:val="ListBullet"/>
        <w:numPr>
          <w:ilvl w:val="0"/>
          <w:numId w:val="0"/>
        </w:numPr>
        <w:tabs>
          <w:tab w:val="left" w:pos="2805"/>
        </w:tabs>
        <w:jc w:val="center"/>
        <w:rPr>
          <w:rFonts w:cs="Arial"/>
          <w:b/>
          <w:szCs w:val="20"/>
          <w:u w:val="single"/>
        </w:rPr>
      </w:pPr>
    </w:p>
    <w:p w:rsidR="00485094" w:rsidRPr="00A94430" w:rsidRDefault="00485094" w:rsidP="005D2035">
      <w:pPr>
        <w:rPr>
          <w:rFonts w:ascii="Arial" w:hAnsi="Arial" w:cs="Arial"/>
          <w:b/>
          <w:sz w:val="16"/>
          <w:szCs w:val="16"/>
        </w:rPr>
      </w:pPr>
      <w:r>
        <w:t xml:space="preserve">  </w:t>
      </w:r>
      <w:r>
        <w:rPr>
          <w:u w:val="single"/>
        </w:rPr>
        <w:br w:type="page"/>
      </w:r>
    </w:p>
    <w:p w:rsidR="00485094" w:rsidRPr="006D2864" w:rsidRDefault="00485094" w:rsidP="005D2035">
      <w:pPr>
        <w:pStyle w:val="Tableheading"/>
      </w:pPr>
      <w:bookmarkStart w:id="674" w:name="_Toc271889876"/>
      <w:bookmarkStart w:id="675" w:name="_Toc257365165"/>
      <w:r w:rsidRPr="006D2864">
        <w:lastRenderedPageBreak/>
        <w:t>Table 10.2a.</w:t>
      </w:r>
      <w:r w:rsidRPr="006D2864">
        <w:tab/>
        <w:t xml:space="preserve">Summary of </w:t>
      </w:r>
      <w:r>
        <w:t>Recent Exceedances of Primary Ground Water Standards in Samples from Private Wells and Ground Water–Based Public Water Systems</w:t>
      </w:r>
      <w:bookmarkEnd w:id="674"/>
      <w:r>
        <w:t xml:space="preserve"> </w:t>
      </w:r>
      <w:bookmarkEnd w:id="675"/>
    </w:p>
    <w:p w:rsidR="00485094" w:rsidRDefault="00485094" w:rsidP="005D2035">
      <w:pPr>
        <w:pStyle w:val="TabledescriptionBF"/>
      </w:pPr>
      <w:r>
        <w:t xml:space="preserve">This is a seven-column table.  Column 1 lists the basin/aquifer.  </w:t>
      </w:r>
      <w:r w:rsidRPr="00B74802">
        <w:t xml:space="preserve">Columns 2 and 3 list the number of </w:t>
      </w:r>
      <w:r>
        <w:t xml:space="preserve">public water </w:t>
      </w:r>
      <w:r w:rsidRPr="00B74802">
        <w:t xml:space="preserve">systems </w:t>
      </w:r>
      <w:r>
        <w:t xml:space="preserve">and private wells, respectively, </w:t>
      </w:r>
      <w:r w:rsidRPr="00B74802">
        <w:t xml:space="preserve">exceeding primary standards for </w:t>
      </w:r>
      <w:r>
        <w:t>VOCs</w:t>
      </w:r>
      <w:r w:rsidRPr="00B74802">
        <w:t xml:space="preserve"> since the 2008 report.</w:t>
      </w:r>
      <w:r>
        <w:t xml:space="preserve">  Columns 4 and 5 list the number of public/private exceedances, respectively, for pesticides/SOCs over the same period; and Columns 6 and 7 list the number of public/private exceedances, respectively, for nitrate.</w:t>
      </w:r>
    </w:p>
    <w:p w:rsidR="00485094" w:rsidRDefault="00485094" w:rsidP="005D2035">
      <w:pPr>
        <w:pStyle w:val="Bodytextreduced"/>
      </w:pPr>
    </w:p>
    <w:p w:rsidR="00485094" w:rsidRPr="007043C1" w:rsidRDefault="00485094" w:rsidP="005D2035">
      <w:pPr>
        <w:pStyle w:val="Bodytextreduced"/>
        <w:rPr>
          <w:szCs w:val="15"/>
        </w:rPr>
      </w:pPr>
      <w:r w:rsidRPr="007043C1">
        <w:rPr>
          <w:szCs w:val="15"/>
          <w:vertAlign w:val="superscript"/>
        </w:rPr>
        <w:t>1</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 xml:space="preserve">MCLs for </w:t>
      </w:r>
      <w:r>
        <w:rPr>
          <w:szCs w:val="15"/>
        </w:rPr>
        <w:t>VOCs</w:t>
      </w:r>
      <w:r w:rsidRPr="007043C1">
        <w:rPr>
          <w:szCs w:val="15"/>
        </w:rPr>
        <w:t>, excluding trihalomethanes and ethylene dibromide.</w:t>
      </w:r>
    </w:p>
    <w:p w:rsidR="00485094" w:rsidRPr="007043C1" w:rsidRDefault="00485094" w:rsidP="005D2035">
      <w:pPr>
        <w:pStyle w:val="Bodytextreduced"/>
        <w:rPr>
          <w:szCs w:val="15"/>
        </w:rPr>
      </w:pPr>
      <w:r w:rsidRPr="007043C1">
        <w:rPr>
          <w:szCs w:val="15"/>
          <w:vertAlign w:val="superscript"/>
        </w:rPr>
        <w:t>2</w:t>
      </w:r>
      <w:r w:rsidRPr="007043C1">
        <w:rPr>
          <w:szCs w:val="15"/>
        </w:rPr>
        <w:t xml:space="preserve"> </w:t>
      </w:r>
      <w:r>
        <w:rPr>
          <w:szCs w:val="15"/>
        </w:rPr>
        <w:t>Public water s</w:t>
      </w:r>
      <w:r w:rsidRPr="007043C1">
        <w:rPr>
          <w:szCs w:val="15"/>
        </w:rPr>
        <w:t xml:space="preserve">ystems or </w:t>
      </w:r>
      <w:r>
        <w:rPr>
          <w:szCs w:val="15"/>
        </w:rPr>
        <w:t xml:space="preserve">private </w:t>
      </w:r>
      <w:r w:rsidRPr="007043C1">
        <w:rPr>
          <w:szCs w:val="15"/>
        </w:rPr>
        <w:t xml:space="preserve">wells with samples that exceeded </w:t>
      </w:r>
      <w:r>
        <w:rPr>
          <w:szCs w:val="15"/>
        </w:rPr>
        <w:t xml:space="preserve">primary </w:t>
      </w:r>
      <w:r w:rsidRPr="007043C1">
        <w:rPr>
          <w:szCs w:val="15"/>
        </w:rPr>
        <w:t>MCLs for pesticides (also known as SOCs).</w:t>
      </w:r>
    </w:p>
    <w:p w:rsidR="00485094" w:rsidRPr="007043C1" w:rsidRDefault="00485094" w:rsidP="005D2035">
      <w:pPr>
        <w:pStyle w:val="Bodytextreduced"/>
        <w:rPr>
          <w:szCs w:val="15"/>
        </w:rPr>
      </w:pPr>
      <w:r w:rsidRPr="007043C1">
        <w:rPr>
          <w:szCs w:val="15"/>
          <w:vertAlign w:val="superscript"/>
        </w:rPr>
        <w:t>3</w:t>
      </w:r>
      <w:r w:rsidRPr="007043C1">
        <w:rPr>
          <w:szCs w:val="15"/>
        </w:rPr>
        <w:t xml:space="preserve"> </w:t>
      </w:r>
      <w:r>
        <w:rPr>
          <w:szCs w:val="15"/>
        </w:rPr>
        <w:t>Public s</w:t>
      </w:r>
      <w:r w:rsidRPr="007043C1">
        <w:rPr>
          <w:szCs w:val="15"/>
        </w:rPr>
        <w:t xml:space="preserve">ystems or </w:t>
      </w:r>
      <w:r>
        <w:rPr>
          <w:szCs w:val="15"/>
        </w:rPr>
        <w:t xml:space="preserve">private </w:t>
      </w:r>
      <w:r w:rsidRPr="007043C1">
        <w:rPr>
          <w:szCs w:val="15"/>
        </w:rPr>
        <w:t>wells with samples that exceeded MCLs for nitrate or nitrate</w:t>
      </w:r>
      <w:r>
        <w:rPr>
          <w:szCs w:val="15"/>
        </w:rPr>
        <w:t xml:space="preserve"> </w:t>
      </w:r>
      <w:r w:rsidRPr="007043C1">
        <w:rPr>
          <w:szCs w:val="15"/>
        </w:rPr>
        <w:t>+</w:t>
      </w:r>
      <w:r>
        <w:rPr>
          <w:szCs w:val="15"/>
        </w:rPr>
        <w:t xml:space="preserve"> </w:t>
      </w:r>
      <w:r w:rsidRPr="007043C1">
        <w:rPr>
          <w:szCs w:val="15"/>
        </w:rPr>
        <w:t>nitrite.</w:t>
      </w:r>
    </w:p>
    <w:p w:rsidR="00485094" w:rsidRPr="007043C1" w:rsidRDefault="00485094" w:rsidP="005D2035">
      <w:pPr>
        <w:pStyle w:val="Bodytextreduced"/>
        <w:rPr>
          <w:szCs w:val="15"/>
        </w:rPr>
      </w:pPr>
      <w:r>
        <w:rPr>
          <w:szCs w:val="15"/>
          <w:vertAlign w:val="superscript"/>
        </w:rPr>
        <w:t>4</w:t>
      </w:r>
      <w:r w:rsidRPr="007043C1">
        <w:rPr>
          <w:szCs w:val="15"/>
        </w:rPr>
        <w:t xml:space="preserve"> PWS data not restricted to wells only.  Some parameter results </w:t>
      </w:r>
      <w:r>
        <w:rPr>
          <w:szCs w:val="15"/>
        </w:rPr>
        <w:t>are</w:t>
      </w:r>
      <w:r w:rsidRPr="007043C1">
        <w:rPr>
          <w:szCs w:val="15"/>
        </w:rPr>
        <w:t xml:space="preserve"> for other entry points into a system</w:t>
      </w:r>
      <w:r>
        <w:rPr>
          <w:szCs w:val="15"/>
        </w:rPr>
        <w:t xml:space="preserve"> or</w:t>
      </w:r>
      <w:r w:rsidRPr="007043C1">
        <w:rPr>
          <w:szCs w:val="15"/>
        </w:rPr>
        <w:t xml:space="preserve"> composite samples.  Data are from systems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85094" w:rsidRDefault="00485094" w:rsidP="005D2035">
      <w:pPr>
        <w:pStyle w:val="Bodytextreduced"/>
        <w:rPr>
          <w:szCs w:val="16"/>
        </w:rPr>
      </w:pPr>
      <w:r>
        <w:rPr>
          <w:szCs w:val="15"/>
          <w:vertAlign w:val="superscript"/>
        </w:rPr>
        <w:t>5</w:t>
      </w:r>
      <w:r w:rsidRPr="007043C1">
        <w:rPr>
          <w:szCs w:val="15"/>
        </w:rPr>
        <w:t xml:space="preserve"> Private well sampling under the WSRP is targeted sampling conducted in areas of suspected contamination, and the parameters analyzed are specific to contaminants of concern</w:t>
      </w:r>
      <w:r w:rsidRPr="007043C1">
        <w:rPr>
          <w:szCs w:val="16"/>
        </w:rPr>
        <w:t>.</w:t>
      </w:r>
    </w:p>
    <w:p w:rsidR="00485094" w:rsidRDefault="00485094" w:rsidP="005D2035">
      <w:pPr>
        <w:pStyle w:val="Bodytextreduced"/>
        <w:rPr>
          <w:rFonts w:cs="Arial"/>
          <w:szCs w:val="16"/>
        </w:rPr>
      </w:pPr>
      <w:r w:rsidRPr="007043C1">
        <w:t>- = Empty cell/no data</w:t>
      </w:r>
    </w:p>
    <w:tbl>
      <w:tblPr>
        <w:tblW w:w="96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374"/>
        <w:gridCol w:w="810"/>
        <w:gridCol w:w="1080"/>
        <w:gridCol w:w="810"/>
        <w:gridCol w:w="900"/>
        <w:gridCol w:w="720"/>
        <w:gridCol w:w="954"/>
      </w:tblGrid>
      <w:tr w:rsidR="00485094" w:rsidRPr="003A02D8" w:rsidTr="000F2909">
        <w:trPr>
          <w:trHeight w:val="450"/>
          <w:tblHeader/>
          <w:jc w:val="center"/>
        </w:trPr>
        <w:tc>
          <w:tcPr>
            <w:tcW w:w="4374" w:type="dxa"/>
            <w:shd w:val="clear" w:color="auto" w:fill="BDFFFF"/>
            <w:vAlign w:val="center"/>
          </w:tcPr>
          <w:p w:rsidR="00485094" w:rsidRPr="00053F7A" w:rsidRDefault="00485094" w:rsidP="005D2035">
            <w:pPr>
              <w:pStyle w:val="TableText"/>
              <w:jc w:val="center"/>
              <w:rPr>
                <w:b/>
                <w:i/>
                <w:sz w:val="15"/>
                <w:szCs w:val="15"/>
              </w:rPr>
            </w:pPr>
            <w:r>
              <w:rPr>
                <w:b/>
                <w:i/>
                <w:sz w:val="15"/>
                <w:szCs w:val="15"/>
              </w:rPr>
              <w:t>-</w:t>
            </w:r>
          </w:p>
        </w:tc>
        <w:tc>
          <w:tcPr>
            <w:tcW w:w="5274" w:type="dxa"/>
            <w:gridSpan w:val="6"/>
            <w:shd w:val="clear" w:color="auto" w:fill="BDFFFF"/>
            <w:vAlign w:val="center"/>
          </w:tcPr>
          <w:p w:rsidR="00485094" w:rsidRDefault="00485094" w:rsidP="005D2035">
            <w:pPr>
              <w:pStyle w:val="TableText"/>
              <w:jc w:val="center"/>
              <w:rPr>
                <w:b/>
                <w:i/>
                <w:sz w:val="15"/>
                <w:szCs w:val="15"/>
              </w:rPr>
            </w:pPr>
            <w:r w:rsidRPr="00053F7A">
              <w:rPr>
                <w:b/>
                <w:i/>
                <w:sz w:val="15"/>
                <w:szCs w:val="15"/>
              </w:rPr>
              <w:t>Contaminant Categories and Number of Wells or Water Systems with Samples that Have Exceeded Primary Standards</w:t>
            </w:r>
            <w:r>
              <w:rPr>
                <w:b/>
                <w:i/>
                <w:sz w:val="15"/>
                <w:szCs w:val="15"/>
              </w:rPr>
              <w:t xml:space="preserve"> </w:t>
            </w:r>
          </w:p>
          <w:p w:rsidR="00485094" w:rsidRPr="00053F7A" w:rsidRDefault="00485094" w:rsidP="00943060">
            <w:pPr>
              <w:pStyle w:val="TableText"/>
              <w:jc w:val="center"/>
              <w:rPr>
                <w:b/>
                <w:i/>
                <w:sz w:val="15"/>
                <w:szCs w:val="15"/>
              </w:rPr>
            </w:pPr>
            <w:r>
              <w:rPr>
                <w:b/>
                <w:i/>
                <w:color w:val="000000"/>
                <w:sz w:val="15"/>
                <w:szCs w:val="15"/>
              </w:rPr>
              <w:t>(period of record November 2007–November 2009)</w:t>
            </w:r>
          </w:p>
        </w:tc>
      </w:tr>
      <w:tr w:rsidR="00485094" w:rsidRPr="003A02D8" w:rsidTr="000F2909">
        <w:trPr>
          <w:cantSplit/>
          <w:trHeight w:val="1286"/>
          <w:tblHeader/>
          <w:jc w:val="center"/>
        </w:trPr>
        <w:tc>
          <w:tcPr>
            <w:tcW w:w="4374" w:type="dxa"/>
            <w:tcBorders>
              <w:bottom w:val="double" w:sz="4" w:space="0" w:color="auto"/>
            </w:tcBorders>
            <w:shd w:val="clear" w:color="auto" w:fill="BDFFFF"/>
            <w:vAlign w:val="bottom"/>
          </w:tcPr>
          <w:p w:rsidR="00485094" w:rsidRPr="00053F7A" w:rsidRDefault="00485094" w:rsidP="005D2035">
            <w:pPr>
              <w:pStyle w:val="TableText"/>
              <w:jc w:val="center"/>
              <w:rPr>
                <w:b/>
                <w:i/>
                <w:sz w:val="15"/>
                <w:szCs w:val="15"/>
              </w:rPr>
            </w:pPr>
            <w:r w:rsidRPr="00053F7A">
              <w:rPr>
                <w:b/>
                <w:i/>
                <w:sz w:val="15"/>
                <w:szCs w:val="15"/>
              </w:rPr>
              <w:t>Basin—Aquifer</w:t>
            </w:r>
          </w:p>
        </w:tc>
        <w:tc>
          <w:tcPr>
            <w:tcW w:w="810" w:type="dxa"/>
            <w:tcBorders>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Public Water Systems</w:t>
            </w:r>
            <w:r>
              <w:rPr>
                <w:b/>
                <w:i/>
                <w:sz w:val="15"/>
                <w:szCs w:val="15"/>
                <w:vertAlign w:val="superscript"/>
              </w:rPr>
              <w:t>4</w:t>
            </w:r>
          </w:p>
        </w:tc>
        <w:tc>
          <w:tcPr>
            <w:tcW w:w="1080" w:type="dxa"/>
            <w:tcBorders>
              <w:bottom w:val="double" w:sz="4" w:space="0" w:color="auto"/>
              <w:right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Pr>
                <w:b/>
                <w:i/>
                <w:sz w:val="15"/>
                <w:szCs w:val="15"/>
              </w:rPr>
              <w:t>VOCs</w:t>
            </w:r>
            <w:r w:rsidRPr="00EF44DF">
              <w:rPr>
                <w:b/>
                <w:i/>
                <w:sz w:val="15"/>
                <w:szCs w:val="15"/>
                <w:vertAlign w:val="superscript"/>
              </w:rPr>
              <w:t>1</w:t>
            </w:r>
            <w:r>
              <w:rPr>
                <w:b/>
                <w:i/>
                <w:sz w:val="15"/>
                <w:szCs w:val="15"/>
              </w:rPr>
              <w:t xml:space="preserve"> in </w:t>
            </w:r>
            <w:r w:rsidRPr="00053F7A">
              <w:rPr>
                <w:b/>
                <w:i/>
                <w:sz w:val="15"/>
                <w:szCs w:val="15"/>
              </w:rPr>
              <w:t>Private Wells (WSRP)</w:t>
            </w:r>
            <w:r>
              <w:rPr>
                <w:b/>
                <w:i/>
                <w:sz w:val="15"/>
                <w:szCs w:val="15"/>
                <w:vertAlign w:val="superscript"/>
              </w:rPr>
              <w:t>5</w:t>
            </w:r>
          </w:p>
        </w:tc>
        <w:tc>
          <w:tcPr>
            <w:tcW w:w="810" w:type="dxa"/>
            <w:tcBorders>
              <w:left w:val="double" w:sz="4" w:space="0" w:color="auto"/>
              <w:bottom w:val="double" w:sz="4" w:space="0" w:color="auto"/>
            </w:tcBorders>
            <w:shd w:val="clear" w:color="auto" w:fill="BDFFFF"/>
            <w:textDirection w:val="btLr"/>
            <w:vAlign w:val="center"/>
          </w:tcPr>
          <w:p w:rsidR="00485094" w:rsidRDefault="00485094" w:rsidP="005D2035">
            <w:pPr>
              <w:pStyle w:val="TableText"/>
              <w:rPr>
                <w:b/>
                <w:i/>
                <w:sz w:val="15"/>
                <w:szCs w:val="15"/>
              </w:rPr>
            </w:pPr>
            <w:r>
              <w:rPr>
                <w:b/>
                <w:i/>
                <w:sz w:val="15"/>
                <w:szCs w:val="15"/>
              </w:rPr>
              <w:t>Pesticides/</w:t>
            </w:r>
          </w:p>
          <w:p w:rsidR="00485094" w:rsidRPr="00053F7A" w:rsidRDefault="00485094" w:rsidP="005D2035">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Public Water Systems</w:t>
            </w:r>
            <w:r>
              <w:rPr>
                <w:b/>
                <w:i/>
                <w:sz w:val="15"/>
                <w:szCs w:val="15"/>
                <w:vertAlign w:val="superscript"/>
              </w:rPr>
              <w:t>4</w:t>
            </w:r>
          </w:p>
        </w:tc>
        <w:tc>
          <w:tcPr>
            <w:tcW w:w="900" w:type="dxa"/>
            <w:tcBorders>
              <w:bottom w:val="double" w:sz="4" w:space="0" w:color="auto"/>
              <w:right w:val="double" w:sz="4" w:space="0" w:color="auto"/>
            </w:tcBorders>
            <w:shd w:val="clear" w:color="auto" w:fill="BDFFFF"/>
            <w:textDirection w:val="btLr"/>
            <w:vAlign w:val="center"/>
          </w:tcPr>
          <w:p w:rsidR="00485094" w:rsidRDefault="00485094" w:rsidP="005D2035">
            <w:pPr>
              <w:pStyle w:val="TableText"/>
              <w:rPr>
                <w:b/>
                <w:i/>
                <w:sz w:val="15"/>
                <w:szCs w:val="15"/>
              </w:rPr>
            </w:pPr>
            <w:r>
              <w:rPr>
                <w:b/>
                <w:i/>
                <w:sz w:val="15"/>
                <w:szCs w:val="15"/>
              </w:rPr>
              <w:t>Pesticides/</w:t>
            </w:r>
          </w:p>
          <w:p w:rsidR="00485094" w:rsidRPr="00053F7A" w:rsidRDefault="00485094" w:rsidP="005D2035">
            <w:pPr>
              <w:pStyle w:val="TableText"/>
              <w:rPr>
                <w:b/>
                <w:i/>
                <w:sz w:val="15"/>
                <w:szCs w:val="15"/>
              </w:rPr>
            </w:pPr>
            <w:r>
              <w:rPr>
                <w:b/>
                <w:i/>
                <w:sz w:val="15"/>
                <w:szCs w:val="15"/>
              </w:rPr>
              <w:t>SOCs</w:t>
            </w:r>
            <w:r w:rsidRPr="00EF44DF">
              <w:rPr>
                <w:b/>
                <w:i/>
                <w:sz w:val="15"/>
                <w:szCs w:val="15"/>
                <w:vertAlign w:val="superscript"/>
              </w:rPr>
              <w:t>2</w:t>
            </w:r>
            <w:r>
              <w:rPr>
                <w:b/>
                <w:i/>
                <w:sz w:val="15"/>
                <w:szCs w:val="15"/>
              </w:rPr>
              <w:t xml:space="preserve"> in </w:t>
            </w:r>
            <w:r w:rsidRPr="00053F7A">
              <w:rPr>
                <w:b/>
                <w:i/>
                <w:sz w:val="15"/>
                <w:szCs w:val="15"/>
              </w:rPr>
              <w:t>Private Wells (WSRP)</w:t>
            </w:r>
            <w:r>
              <w:rPr>
                <w:b/>
                <w:i/>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Public Water Systems</w:t>
            </w:r>
            <w:r>
              <w:rPr>
                <w:b/>
                <w:i/>
                <w:sz w:val="15"/>
                <w:szCs w:val="15"/>
                <w:vertAlign w:val="superscript"/>
              </w:rPr>
              <w:t>4</w:t>
            </w:r>
          </w:p>
        </w:tc>
        <w:tc>
          <w:tcPr>
            <w:tcW w:w="954" w:type="dxa"/>
            <w:tcBorders>
              <w:bottom w:val="double" w:sz="4" w:space="0" w:color="auto"/>
            </w:tcBorders>
            <w:shd w:val="clear" w:color="auto" w:fill="BDFFFF"/>
            <w:textDirection w:val="btLr"/>
            <w:vAlign w:val="center"/>
          </w:tcPr>
          <w:p w:rsidR="00485094" w:rsidRPr="00053F7A" w:rsidRDefault="00485094" w:rsidP="005D2035">
            <w:pPr>
              <w:pStyle w:val="TableText"/>
              <w:rPr>
                <w:b/>
                <w:i/>
                <w:sz w:val="15"/>
                <w:szCs w:val="15"/>
              </w:rPr>
            </w:pPr>
            <w:r w:rsidRPr="00053F7A">
              <w:rPr>
                <w:b/>
                <w:i/>
                <w:sz w:val="15"/>
                <w:szCs w:val="15"/>
              </w:rPr>
              <w:t>Nitrate</w:t>
            </w:r>
            <w:r w:rsidRPr="00053F7A">
              <w:rPr>
                <w:b/>
                <w:i/>
                <w:sz w:val="15"/>
                <w:szCs w:val="15"/>
                <w:vertAlign w:val="superscript"/>
              </w:rPr>
              <w:t>3</w:t>
            </w:r>
            <w:r>
              <w:rPr>
                <w:b/>
                <w:i/>
                <w:sz w:val="15"/>
                <w:szCs w:val="15"/>
                <w:vertAlign w:val="superscript"/>
              </w:rPr>
              <w:t xml:space="preserve"> </w:t>
            </w:r>
            <w:r w:rsidRPr="00EF44DF">
              <w:rPr>
                <w:b/>
                <w:i/>
                <w:sz w:val="15"/>
                <w:szCs w:val="15"/>
              </w:rPr>
              <w:t>in</w:t>
            </w:r>
            <w:r>
              <w:rPr>
                <w:b/>
                <w:i/>
                <w:sz w:val="15"/>
                <w:szCs w:val="15"/>
              </w:rPr>
              <w:t xml:space="preserve"> </w:t>
            </w:r>
            <w:r w:rsidRPr="00053F7A">
              <w:rPr>
                <w:b/>
                <w:i/>
                <w:sz w:val="15"/>
                <w:szCs w:val="15"/>
              </w:rPr>
              <w:t>Private Wells (WSRP)</w:t>
            </w:r>
            <w:r>
              <w:rPr>
                <w:b/>
                <w:i/>
                <w:sz w:val="15"/>
                <w:szCs w:val="15"/>
                <w:vertAlign w:val="superscript"/>
              </w:rPr>
              <w:t>5</w:t>
            </w:r>
          </w:p>
        </w:tc>
      </w:tr>
      <w:tr w:rsidR="00485094" w:rsidRPr="00053F7A" w:rsidTr="000F2909">
        <w:trPr>
          <w:trHeight w:val="220"/>
          <w:jc w:val="center"/>
        </w:trPr>
        <w:tc>
          <w:tcPr>
            <w:tcW w:w="4374" w:type="dxa"/>
            <w:tcBorders>
              <w:top w:val="double" w:sz="4" w:space="0" w:color="auto"/>
            </w:tcBorders>
            <w:shd w:val="clear" w:color="auto" w:fill="FFFFCC"/>
            <w:vAlign w:val="center"/>
          </w:tcPr>
          <w:p w:rsidR="00485094" w:rsidRPr="00053F7A" w:rsidRDefault="00485094" w:rsidP="005D2035">
            <w:pPr>
              <w:pStyle w:val="TableText"/>
              <w:rPr>
                <w:sz w:val="15"/>
                <w:szCs w:val="15"/>
              </w:rPr>
            </w:pPr>
            <w:r w:rsidRPr="00053F7A">
              <w:rPr>
                <w:sz w:val="15"/>
                <w:szCs w:val="15"/>
              </w:rPr>
              <w:t>Apalachicola–Chipola—Floridan Aquifer</w:t>
            </w:r>
          </w:p>
        </w:tc>
        <w:tc>
          <w:tcPr>
            <w:tcW w:w="810" w:type="dxa"/>
            <w:tcBorders>
              <w:top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top w:val="double" w:sz="4" w:space="0" w:color="auto"/>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top w:val="double" w:sz="4" w:space="0" w:color="auto"/>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top w:val="double" w:sz="4" w:space="0" w:color="auto"/>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6</w:t>
            </w:r>
          </w:p>
        </w:tc>
        <w:tc>
          <w:tcPr>
            <w:tcW w:w="720" w:type="dxa"/>
            <w:tcBorders>
              <w:top w:val="double" w:sz="4" w:space="0" w:color="auto"/>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tcBorders>
              <w:top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 xml:space="preserve">Caloosahatchee—Surficial Aquifer </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Charlotte</w:t>
                </w:r>
              </w:smartTag>
              <w:r w:rsidRPr="00053F7A">
                <w:rPr>
                  <w:sz w:val="15"/>
                  <w:szCs w:val="15"/>
                </w:rPr>
                <w:t xml:space="preserve"> </w:t>
              </w:r>
              <w:smartTag w:uri="urn:schemas-microsoft-com:office:smarttags" w:element="PlaceName">
                <w:r w:rsidRPr="00053F7A">
                  <w:rPr>
                    <w:sz w:val="15"/>
                    <w:szCs w:val="15"/>
                  </w:rPr>
                  <w:t>Harbor</w:t>
                </w:r>
              </w:smartTag>
            </w:smartTag>
            <w:r w:rsidRPr="00053F7A">
              <w:rPr>
                <w:sz w:val="15"/>
                <w:szCs w:val="15"/>
              </w:rPr>
              <w:t>—Floridan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8</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Choctawhatchee–St. Andrew—Floridan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Everglades</w:t>
              </w:r>
            </w:smartTag>
            <w:r w:rsidRPr="00053F7A">
              <w:rPr>
                <w:sz w:val="15"/>
                <w:szCs w:val="15"/>
              </w:rPr>
              <w:t>—Surficial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Everglades</w:t>
              </w:r>
            </w:smartTag>
            <w:r w:rsidRPr="00053F7A">
              <w:rPr>
                <w:sz w:val="15"/>
                <w:szCs w:val="15"/>
              </w:rPr>
              <w:t xml:space="preserve"> West Coast—Surficial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Fisheating Creek—Surficial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Florida Keys</w:t>
              </w:r>
            </w:smartTag>
            <w:r w:rsidRPr="00053F7A">
              <w:rPr>
                <w:sz w:val="15"/>
                <w:szCs w:val="15"/>
              </w:rPr>
              <w:t>—None</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Indian River</w:t>
              </w:r>
            </w:smartTag>
            <w:r w:rsidRPr="00053F7A">
              <w:rPr>
                <w:sz w:val="15"/>
                <w:szCs w:val="15"/>
              </w:rPr>
              <w:t xml:space="preserve"> Lagoon—Floridan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highlight w:val="yellow"/>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Kissimmee River</w:t>
              </w:r>
            </w:smartTag>
            <w:r w:rsidRPr="00053F7A">
              <w:rPr>
                <w:sz w:val="15"/>
                <w:szCs w:val="15"/>
              </w:rPr>
              <w:t>—Floridan, Intermediate,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Lake Okeechobee</w:t>
              </w:r>
            </w:smartTag>
            <w:r w:rsidRPr="00053F7A">
              <w:rPr>
                <w:sz w:val="15"/>
                <w:szCs w:val="15"/>
              </w:rPr>
              <w:t>—Surficial Aquifer (SW)</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Lake Worth</w:t>
                </w:r>
              </w:smartTag>
              <w:r w:rsidRPr="00053F7A">
                <w:rPr>
                  <w:sz w:val="15"/>
                  <w:szCs w:val="15"/>
                </w:rPr>
                <w:t xml:space="preserve"> </w:t>
              </w:r>
              <w:smartTag w:uri="urn:schemas-microsoft-com:office:smarttags" w:element="PlaceName">
                <w:r w:rsidRPr="00053F7A">
                  <w:rPr>
                    <w:sz w:val="15"/>
                    <w:szCs w:val="15"/>
                  </w:rPr>
                  <w:t>Lagoon–Palm</w:t>
                </w:r>
              </w:smartTag>
              <w:r w:rsidRPr="00053F7A">
                <w:rPr>
                  <w:sz w:val="15"/>
                  <w:szCs w:val="15"/>
                </w:rPr>
                <w:t xml:space="preserve"> </w:t>
              </w:r>
              <w:smartTag w:uri="urn:schemas-microsoft-com:office:smarttags" w:element="PlaceType">
                <w:r w:rsidRPr="00053F7A">
                  <w:rPr>
                    <w:sz w:val="15"/>
                    <w:szCs w:val="15"/>
                  </w:rPr>
                  <w:t>Beach</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Lower St. Johns</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 xml:space="preserve">Middle </w:t>
            </w:r>
            <w:smartTag w:uri="urn:schemas-microsoft-com:office:smarttags" w:element="City">
              <w:smartTag w:uri="urn:schemas-microsoft-com:office:smarttags" w:element="place">
                <w:r w:rsidRPr="00053F7A">
                  <w:rPr>
                    <w:sz w:val="15"/>
                    <w:szCs w:val="15"/>
                  </w:rPr>
                  <w:t>St. Johns</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33</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19</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Nassau–St. Marys—Floridan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Ochlockonee–St. Marks—Floridan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Ocklawaha—Floridan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Default="00485094" w:rsidP="005D2035">
            <w:pPr>
              <w:pStyle w:val="TableText"/>
              <w:jc w:val="center"/>
              <w:rPr>
                <w:rFonts w:cs="Arial"/>
                <w:sz w:val="15"/>
                <w:szCs w:val="15"/>
              </w:rPr>
            </w:pPr>
            <w:r w:rsidRPr="000268B0">
              <w:rPr>
                <w:rFonts w:ascii="Cambria" w:hAnsi="Cambria" w:cs="Cambria"/>
                <w:sz w:val="15"/>
                <w:szCs w:val="15"/>
              </w:rPr>
              <w:t>50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Pensacola—Sand-and-Gravel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Perdido—Sand-and-Gravel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Sarasota Bay–Peace–Myakka—Floridan and Surficial Aquifers</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3</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73</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Southeast</w:t>
                </w:r>
              </w:smartTag>
              <w:r w:rsidRPr="00053F7A">
                <w:rPr>
                  <w:sz w:val="15"/>
                  <w:szCs w:val="15"/>
                </w:rPr>
                <w:t xml:space="preserve"> </w:t>
              </w:r>
              <w:smartTag w:uri="urn:schemas-microsoft-com:office:smarttags" w:element="PlaceName">
                <w:r w:rsidRPr="00053F7A">
                  <w:rPr>
                    <w:sz w:val="15"/>
                    <w:szCs w:val="15"/>
                  </w:rPr>
                  <w:t>Coast–Biscayne</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---Biscayne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5</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Type">
              <w:smartTag w:uri="urn:schemas-microsoft-com:office:smarttags" w:element="place">
                <w:r w:rsidRPr="00053F7A">
                  <w:rPr>
                    <w:sz w:val="15"/>
                    <w:szCs w:val="15"/>
                  </w:rPr>
                  <w:t>Springs</w:t>
                </w:r>
              </w:smartTag>
              <w:r w:rsidRPr="00053F7A">
                <w:rPr>
                  <w:sz w:val="15"/>
                  <w:szCs w:val="15"/>
                </w:rPr>
                <w:t xml:space="preserve"> </w:t>
              </w:r>
              <w:smartTag w:uri="urn:schemas-microsoft-com:office:smarttags" w:element="PlaceType">
                <w:r w:rsidRPr="00053F7A">
                  <w:rPr>
                    <w:sz w:val="15"/>
                    <w:szCs w:val="15"/>
                  </w:rPr>
                  <w:t>Coast</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4</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r w:rsidRPr="00053F7A">
              <w:rPr>
                <w:sz w:val="15"/>
                <w:szCs w:val="15"/>
              </w:rPr>
              <w:t>St. Lucie–Loxahatchee—Surficial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7</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Suwannee</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15</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Name">
              <w:smartTag w:uri="urn:schemas-microsoft-com:office:smarttags" w:element="place">
                <w:r w:rsidRPr="00053F7A">
                  <w:rPr>
                    <w:sz w:val="15"/>
                    <w:szCs w:val="15"/>
                  </w:rPr>
                  <w:t>Tampa</w:t>
                </w:r>
              </w:smartTag>
              <w:r w:rsidRPr="00053F7A">
                <w:rPr>
                  <w:sz w:val="15"/>
                  <w:szCs w:val="15"/>
                </w:rPr>
                <w:t xml:space="preserve"> </w:t>
              </w:r>
              <w:smartTag w:uri="urn:schemas-microsoft-com:office:smarttags" w:element="PlaceType">
                <w:r w:rsidRPr="00053F7A">
                  <w:rPr>
                    <w:sz w:val="15"/>
                    <w:szCs w:val="15"/>
                  </w:rPr>
                  <w:t>Bay</w:t>
                </w:r>
              </w:smartTag>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8</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5</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lang w:val="pt-BR"/>
              </w:rPr>
            </w:pPr>
            <w:r w:rsidRPr="00053F7A">
              <w:rPr>
                <w:sz w:val="15"/>
                <w:szCs w:val="15"/>
                <w:lang w:val="pt-BR"/>
              </w:rPr>
              <w:t>Tampa Bay Tributaries—Floridan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2</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9</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16</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Upper East Coast</w:t>
              </w:r>
            </w:smartTag>
            <w:r w:rsidRPr="00053F7A">
              <w:rPr>
                <w:sz w:val="15"/>
                <w:szCs w:val="15"/>
              </w:rPr>
              <w:t>—Floridan Aquifer and 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Upper St. Johns</w:t>
              </w:r>
            </w:smartTag>
            <w:r w:rsidRPr="00053F7A">
              <w:rPr>
                <w:sz w:val="15"/>
                <w:szCs w:val="15"/>
              </w:rPr>
              <w:t>—Floridan Aquifer and Surficial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r>
      <w:tr w:rsidR="00485094" w:rsidRPr="00053F7A" w:rsidTr="000F2909">
        <w:trPr>
          <w:trHeight w:val="220"/>
          <w:jc w:val="center"/>
        </w:trPr>
        <w:tc>
          <w:tcPr>
            <w:tcW w:w="4374" w:type="dxa"/>
            <w:shd w:val="clear" w:color="auto" w:fill="FFFFCC"/>
            <w:vAlign w:val="center"/>
          </w:tcPr>
          <w:p w:rsidR="00485094" w:rsidRPr="00053F7A" w:rsidRDefault="00485094" w:rsidP="005D2035">
            <w:pPr>
              <w:pStyle w:val="TableText"/>
              <w:rPr>
                <w:sz w:val="15"/>
                <w:szCs w:val="15"/>
              </w:rPr>
            </w:pPr>
            <w:smartTag w:uri="urn:schemas-microsoft-com:office:smarttags" w:element="place">
              <w:r w:rsidRPr="00053F7A">
                <w:rPr>
                  <w:sz w:val="15"/>
                  <w:szCs w:val="15"/>
                </w:rPr>
                <w:t>Withlacoochee</w:t>
              </w:r>
            </w:smartTag>
            <w:r w:rsidRPr="00053F7A">
              <w:rPr>
                <w:sz w:val="15"/>
                <w:szCs w:val="15"/>
              </w:rPr>
              <w:t>—Floridan Aquifer</w:t>
            </w:r>
          </w:p>
        </w:tc>
        <w:tc>
          <w:tcPr>
            <w:tcW w:w="810"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1080" w:type="dxa"/>
            <w:tcBorders>
              <w:righ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810" w:type="dxa"/>
            <w:tcBorders>
              <w:lef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00" w:type="dxa"/>
            <w:tcBorders>
              <w:right w:val="double" w:sz="4" w:space="0" w:color="auto"/>
            </w:tcBorders>
            <w:shd w:val="clear" w:color="auto" w:fill="FFE5FF"/>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720" w:type="dxa"/>
            <w:tcBorders>
              <w:left w:val="double" w:sz="4" w:space="0" w:color="auto"/>
            </w:tcBorders>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0</w:t>
            </w:r>
          </w:p>
        </w:tc>
        <w:tc>
          <w:tcPr>
            <w:tcW w:w="954" w:type="dxa"/>
            <w:vAlign w:val="center"/>
          </w:tcPr>
          <w:p w:rsidR="00485094" w:rsidRPr="00053F7A" w:rsidRDefault="00485094" w:rsidP="005D2035">
            <w:pPr>
              <w:pStyle w:val="TableText"/>
              <w:jc w:val="center"/>
              <w:rPr>
                <w:rFonts w:cs="Arial"/>
                <w:sz w:val="15"/>
                <w:szCs w:val="15"/>
              </w:rPr>
            </w:pPr>
            <w:r w:rsidRPr="000268B0">
              <w:rPr>
                <w:rFonts w:ascii="Cambria" w:hAnsi="Cambria" w:cs="Cambria"/>
                <w:sz w:val="15"/>
                <w:szCs w:val="15"/>
              </w:rPr>
              <w:t>11</w:t>
            </w:r>
          </w:p>
        </w:tc>
      </w:tr>
      <w:tr w:rsidR="00485094" w:rsidRPr="00053F7A" w:rsidTr="000F2909">
        <w:trPr>
          <w:trHeight w:val="220"/>
          <w:jc w:val="center"/>
        </w:trPr>
        <w:tc>
          <w:tcPr>
            <w:tcW w:w="4374" w:type="dxa"/>
            <w:shd w:val="clear" w:color="auto" w:fill="FFD9FF"/>
            <w:vAlign w:val="center"/>
          </w:tcPr>
          <w:p w:rsidR="00485094" w:rsidRPr="00053F7A" w:rsidRDefault="00485094" w:rsidP="0092719C">
            <w:pPr>
              <w:pStyle w:val="TableText"/>
              <w:rPr>
                <w:b/>
                <w:sz w:val="15"/>
                <w:szCs w:val="15"/>
              </w:rPr>
            </w:pPr>
            <w:r w:rsidRPr="00053F7A">
              <w:rPr>
                <w:b/>
                <w:sz w:val="15"/>
                <w:szCs w:val="15"/>
              </w:rPr>
              <w:t xml:space="preserve">STATEWIDE SUMMARY—All </w:t>
            </w:r>
            <w:r>
              <w:rPr>
                <w:b/>
                <w:sz w:val="15"/>
                <w:szCs w:val="15"/>
              </w:rPr>
              <w:t>R</w:t>
            </w:r>
            <w:r w:rsidRPr="00053F7A">
              <w:rPr>
                <w:b/>
                <w:sz w:val="15"/>
                <w:szCs w:val="15"/>
              </w:rPr>
              <w:t>esults</w:t>
            </w:r>
          </w:p>
        </w:tc>
        <w:tc>
          <w:tcPr>
            <w:tcW w:w="810" w:type="dxa"/>
            <w:shd w:val="clear" w:color="auto" w:fill="FFD9FF"/>
            <w:vAlign w:val="center"/>
          </w:tcPr>
          <w:p w:rsidR="00485094" w:rsidRPr="00053F7A" w:rsidRDefault="00485094" w:rsidP="005D2035">
            <w:pPr>
              <w:pStyle w:val="TableText"/>
              <w:jc w:val="center"/>
              <w:rPr>
                <w:rFonts w:cs="Arial"/>
                <w:b/>
                <w:bCs/>
                <w:sz w:val="15"/>
                <w:szCs w:val="15"/>
              </w:rPr>
            </w:pPr>
            <w:r w:rsidRPr="00053F7A">
              <w:rPr>
                <w:rFonts w:cs="Arial"/>
                <w:b/>
                <w:bCs/>
                <w:sz w:val="15"/>
                <w:szCs w:val="15"/>
              </w:rPr>
              <w:t>1</w:t>
            </w:r>
            <w:r>
              <w:rPr>
                <w:rFonts w:cs="Arial"/>
                <w:b/>
                <w:bCs/>
                <w:sz w:val="15"/>
                <w:szCs w:val="15"/>
              </w:rPr>
              <w:t>3</w:t>
            </w:r>
          </w:p>
        </w:tc>
        <w:tc>
          <w:tcPr>
            <w:tcW w:w="1080" w:type="dxa"/>
            <w:tcBorders>
              <w:right w:val="double" w:sz="4" w:space="0" w:color="auto"/>
            </w:tcBorders>
            <w:shd w:val="clear" w:color="auto" w:fill="FFD9FF"/>
            <w:vAlign w:val="center"/>
          </w:tcPr>
          <w:p w:rsidR="00485094" w:rsidRPr="00053F7A" w:rsidRDefault="00485094" w:rsidP="005D2035">
            <w:pPr>
              <w:pStyle w:val="TableText"/>
              <w:jc w:val="center"/>
              <w:rPr>
                <w:rFonts w:cs="Arial"/>
                <w:b/>
                <w:sz w:val="15"/>
                <w:szCs w:val="15"/>
              </w:rPr>
            </w:pPr>
            <w:r>
              <w:rPr>
                <w:rFonts w:cs="Arial"/>
                <w:b/>
                <w:sz w:val="15"/>
                <w:szCs w:val="15"/>
              </w:rPr>
              <w:t>89</w:t>
            </w:r>
          </w:p>
        </w:tc>
        <w:tc>
          <w:tcPr>
            <w:tcW w:w="810" w:type="dxa"/>
            <w:tcBorders>
              <w:left w:val="double" w:sz="4" w:space="0" w:color="auto"/>
            </w:tcBorders>
            <w:shd w:val="clear" w:color="auto" w:fill="FFD9FF"/>
            <w:vAlign w:val="center"/>
          </w:tcPr>
          <w:p w:rsidR="00485094" w:rsidRPr="00053F7A" w:rsidRDefault="00485094" w:rsidP="005D2035">
            <w:pPr>
              <w:pStyle w:val="TableText"/>
              <w:jc w:val="center"/>
              <w:rPr>
                <w:rFonts w:cs="Arial"/>
                <w:b/>
                <w:bCs/>
                <w:sz w:val="15"/>
                <w:szCs w:val="15"/>
              </w:rPr>
            </w:pPr>
            <w:r>
              <w:rPr>
                <w:rFonts w:cs="Arial"/>
                <w:b/>
                <w:bCs/>
                <w:sz w:val="15"/>
                <w:szCs w:val="15"/>
              </w:rPr>
              <w:t>13</w:t>
            </w:r>
          </w:p>
        </w:tc>
        <w:tc>
          <w:tcPr>
            <w:tcW w:w="900" w:type="dxa"/>
            <w:tcBorders>
              <w:right w:val="double" w:sz="4" w:space="0" w:color="auto"/>
            </w:tcBorders>
            <w:shd w:val="clear" w:color="auto" w:fill="FFD9FF"/>
            <w:vAlign w:val="center"/>
          </w:tcPr>
          <w:p w:rsidR="00485094" w:rsidRPr="00053F7A" w:rsidRDefault="00485094" w:rsidP="005D2035">
            <w:pPr>
              <w:pStyle w:val="TableText"/>
              <w:jc w:val="center"/>
              <w:rPr>
                <w:rFonts w:cs="Arial"/>
                <w:b/>
                <w:sz w:val="15"/>
                <w:szCs w:val="15"/>
              </w:rPr>
            </w:pPr>
            <w:r w:rsidRPr="00053F7A">
              <w:rPr>
                <w:rFonts w:cs="Arial"/>
                <w:b/>
                <w:sz w:val="15"/>
                <w:szCs w:val="15"/>
              </w:rPr>
              <w:t>40</w:t>
            </w:r>
          </w:p>
        </w:tc>
        <w:tc>
          <w:tcPr>
            <w:tcW w:w="720" w:type="dxa"/>
            <w:tcBorders>
              <w:left w:val="double" w:sz="4" w:space="0" w:color="auto"/>
            </w:tcBorders>
            <w:shd w:val="clear" w:color="auto" w:fill="FFD9FF"/>
            <w:vAlign w:val="center"/>
          </w:tcPr>
          <w:p w:rsidR="00485094" w:rsidRPr="00053F7A" w:rsidRDefault="00485094" w:rsidP="005D2035">
            <w:pPr>
              <w:pStyle w:val="TableText"/>
              <w:jc w:val="center"/>
              <w:rPr>
                <w:rFonts w:cs="Arial"/>
                <w:b/>
                <w:bCs/>
                <w:sz w:val="15"/>
                <w:szCs w:val="15"/>
              </w:rPr>
            </w:pPr>
            <w:r>
              <w:rPr>
                <w:rFonts w:cs="Arial"/>
                <w:b/>
                <w:bCs/>
                <w:sz w:val="15"/>
                <w:szCs w:val="15"/>
              </w:rPr>
              <w:t>29</w:t>
            </w:r>
          </w:p>
        </w:tc>
        <w:tc>
          <w:tcPr>
            <w:tcW w:w="954" w:type="dxa"/>
            <w:shd w:val="clear" w:color="auto" w:fill="FFD9FF"/>
            <w:vAlign w:val="center"/>
          </w:tcPr>
          <w:p w:rsidR="00485094" w:rsidRPr="00053F7A" w:rsidRDefault="00485094" w:rsidP="005D2035">
            <w:pPr>
              <w:pStyle w:val="TableText"/>
              <w:jc w:val="center"/>
              <w:rPr>
                <w:rFonts w:cs="Arial"/>
                <w:b/>
                <w:sz w:val="15"/>
                <w:szCs w:val="15"/>
              </w:rPr>
            </w:pPr>
            <w:r w:rsidRPr="00053F7A">
              <w:rPr>
                <w:rFonts w:cs="Arial"/>
                <w:b/>
                <w:sz w:val="15"/>
                <w:szCs w:val="15"/>
              </w:rPr>
              <w:t>322</w:t>
            </w:r>
          </w:p>
        </w:tc>
      </w:tr>
    </w:tbl>
    <w:p w:rsidR="00485094" w:rsidRPr="00A94430" w:rsidRDefault="00485094" w:rsidP="005D2035">
      <w:pPr>
        <w:pStyle w:val="Bodytextreduced"/>
      </w:pPr>
      <w:r>
        <w:br w:type="page"/>
      </w:r>
    </w:p>
    <w:p w:rsidR="00485094" w:rsidRDefault="00485094" w:rsidP="005D2035">
      <w:pPr>
        <w:pStyle w:val="Tableheading"/>
      </w:pPr>
      <w:bookmarkStart w:id="676" w:name="_Toc271889877"/>
      <w:bookmarkStart w:id="677" w:name="_Toc257365166"/>
      <w:r w:rsidRPr="00521A40">
        <w:lastRenderedPageBreak/>
        <w:t xml:space="preserve">Table </w:t>
      </w:r>
      <w:r>
        <w:t>10.2b</w:t>
      </w:r>
      <w:r w:rsidRPr="00521A40">
        <w:t>.</w:t>
      </w:r>
      <w:r>
        <w:tab/>
      </w:r>
      <w:r w:rsidRPr="006D2864">
        <w:t xml:space="preserve">Summary of </w:t>
      </w:r>
      <w:r>
        <w:t>Recent Exceedances of Primary Ground Water Standards in Samples from Private Wells and Ground Water–Based Public Water Systems</w:t>
      </w:r>
      <w:bookmarkEnd w:id="676"/>
      <w:r>
        <w:t xml:space="preserve"> </w:t>
      </w:r>
      <w:bookmarkEnd w:id="677"/>
    </w:p>
    <w:p w:rsidR="00485094" w:rsidRPr="00B74802" w:rsidRDefault="00485094" w:rsidP="005D2035">
      <w:pPr>
        <w:pStyle w:val="TabledescriptionBF"/>
      </w:pPr>
      <w:r w:rsidRPr="00B74802">
        <w:t xml:space="preserve">This is a seven-column table.  Column 1 lists the basin/aquifer.  Columns 2 and 3 list the number of </w:t>
      </w:r>
      <w:r>
        <w:t xml:space="preserve">public water </w:t>
      </w:r>
      <w:r w:rsidRPr="00B74802">
        <w:t xml:space="preserve">systems </w:t>
      </w:r>
      <w:r>
        <w:t xml:space="preserve">and private wells, respectively, </w:t>
      </w:r>
      <w:r w:rsidRPr="00B74802">
        <w:t xml:space="preserve">exceeding primary standards for </w:t>
      </w:r>
      <w:r>
        <w:t>primary metals</w:t>
      </w:r>
      <w:r w:rsidRPr="00B74802">
        <w:t xml:space="preserve"> since the 2008 report.  Columns 4 and 5 list the number of public/private exceedances, respectively, for </w:t>
      </w:r>
      <w:r>
        <w:t>saline water</w:t>
      </w:r>
      <w:r w:rsidRPr="00B74802">
        <w:t xml:space="preserve"> over the same period; and Columns 6 and 7 list the number of public/private exceedances, respectively, for </w:t>
      </w:r>
      <w:r>
        <w:t>radionuclides</w:t>
      </w:r>
      <w:r w:rsidRPr="00B74802">
        <w:t>.</w:t>
      </w:r>
    </w:p>
    <w:p w:rsidR="00485094" w:rsidRDefault="00485094" w:rsidP="005D2035">
      <w:pPr>
        <w:pStyle w:val="Bodytextreduced"/>
      </w:pPr>
    </w:p>
    <w:p w:rsidR="00485094" w:rsidRPr="00B74802" w:rsidRDefault="00485094" w:rsidP="005D2035">
      <w:pPr>
        <w:pStyle w:val="Bodytextreduced"/>
        <w:rPr>
          <w:szCs w:val="15"/>
        </w:rPr>
      </w:pPr>
      <w:r>
        <w:rPr>
          <w:szCs w:val="15"/>
          <w:vertAlign w:val="superscript"/>
        </w:rPr>
        <w:t>1</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MCLs for primary metals.</w:t>
      </w:r>
    </w:p>
    <w:p w:rsidR="00485094" w:rsidRPr="00B74802" w:rsidRDefault="00485094" w:rsidP="005D2035">
      <w:pPr>
        <w:pStyle w:val="Bodytextreduced"/>
        <w:rPr>
          <w:szCs w:val="15"/>
        </w:rPr>
      </w:pPr>
      <w:r>
        <w:rPr>
          <w:szCs w:val="15"/>
          <w:vertAlign w:val="superscript"/>
        </w:rPr>
        <w:t>2</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wells with samples that exceeded MCL for sodium, an indicator of salinity.</w:t>
      </w:r>
    </w:p>
    <w:p w:rsidR="00485094" w:rsidRPr="00B74802" w:rsidRDefault="00485094" w:rsidP="005D2035">
      <w:pPr>
        <w:pStyle w:val="Bodytextreduced"/>
        <w:rPr>
          <w:szCs w:val="15"/>
        </w:rPr>
      </w:pPr>
      <w:r>
        <w:rPr>
          <w:szCs w:val="15"/>
          <w:vertAlign w:val="superscript"/>
        </w:rPr>
        <w:t>3</w:t>
      </w:r>
      <w:r w:rsidRPr="00B74802">
        <w:rPr>
          <w:szCs w:val="15"/>
        </w:rPr>
        <w:t xml:space="preserve"> </w:t>
      </w:r>
      <w:r>
        <w:rPr>
          <w:szCs w:val="15"/>
        </w:rPr>
        <w:t>Public water s</w:t>
      </w:r>
      <w:r w:rsidRPr="00B74802">
        <w:rPr>
          <w:szCs w:val="15"/>
        </w:rPr>
        <w:t xml:space="preserve">ystems or </w:t>
      </w:r>
      <w:r>
        <w:rPr>
          <w:szCs w:val="15"/>
        </w:rPr>
        <w:t xml:space="preserve">private </w:t>
      </w:r>
      <w:r w:rsidRPr="00B74802">
        <w:rPr>
          <w:szCs w:val="15"/>
        </w:rPr>
        <w:t xml:space="preserve">wells with samples that exceeded MCL for radionuclides, measured as </w:t>
      </w:r>
      <w:r>
        <w:rPr>
          <w:szCs w:val="15"/>
        </w:rPr>
        <w:t>Radium-</w:t>
      </w:r>
      <w:r w:rsidRPr="00B74802">
        <w:rPr>
          <w:szCs w:val="15"/>
        </w:rPr>
        <w:t xml:space="preserve">226, </w:t>
      </w:r>
      <w:r>
        <w:rPr>
          <w:szCs w:val="15"/>
        </w:rPr>
        <w:t>Radium-</w:t>
      </w:r>
      <w:r w:rsidRPr="00B74802">
        <w:rPr>
          <w:szCs w:val="15"/>
        </w:rPr>
        <w:t>228, gross Alpha, and/or gross Beta.</w:t>
      </w:r>
    </w:p>
    <w:p w:rsidR="00485094" w:rsidRPr="00B74802" w:rsidRDefault="00485094" w:rsidP="005D2035">
      <w:pPr>
        <w:pStyle w:val="Bodytextreduced"/>
        <w:rPr>
          <w:szCs w:val="15"/>
        </w:rPr>
      </w:pPr>
      <w:r>
        <w:rPr>
          <w:szCs w:val="15"/>
          <w:vertAlign w:val="superscript"/>
        </w:rPr>
        <w:t>4</w:t>
      </w:r>
      <w:r w:rsidRPr="00B74802">
        <w:rPr>
          <w:szCs w:val="15"/>
        </w:rPr>
        <w:t xml:space="preserve"> PWS data not restricted to wells only.  Some parameter results </w:t>
      </w:r>
      <w:r>
        <w:rPr>
          <w:szCs w:val="15"/>
        </w:rPr>
        <w:t>are</w:t>
      </w:r>
      <w:r w:rsidRPr="00B74802">
        <w:rPr>
          <w:szCs w:val="15"/>
        </w:rPr>
        <w:t xml:space="preserve"> for other entry points into a system</w:t>
      </w:r>
      <w:r>
        <w:rPr>
          <w:szCs w:val="15"/>
        </w:rPr>
        <w:t xml:space="preserve"> or</w:t>
      </w:r>
      <w:r w:rsidRPr="00B74802">
        <w:rPr>
          <w:szCs w:val="15"/>
        </w:rPr>
        <w:t xml:space="preserve"> composite samples.  Data are from systems that operate their own wells.  While individual sample results collected for this report may exceed an action level or MCL, that exceedance does not necessarily translate directly into a violation of water delivered to the consumer (1) because of the compositing or blending of water mentioned above, or (2) because averaging with subsequent samples was below the action level or MCL.</w:t>
      </w:r>
    </w:p>
    <w:p w:rsidR="00485094" w:rsidRDefault="00485094" w:rsidP="005D2035">
      <w:pPr>
        <w:pStyle w:val="Bodytextreduced"/>
        <w:rPr>
          <w:szCs w:val="15"/>
        </w:rPr>
      </w:pPr>
      <w:r>
        <w:rPr>
          <w:szCs w:val="15"/>
          <w:vertAlign w:val="superscript"/>
        </w:rPr>
        <w:t>5</w:t>
      </w:r>
      <w:r w:rsidRPr="00B74802">
        <w:rPr>
          <w:szCs w:val="15"/>
        </w:rPr>
        <w:t xml:space="preserve"> Private well sampling under the WSRP is targeted sampling conducted in areas of suspected contamination, and the parameters analyzed are specific to contaminants of concern.</w:t>
      </w:r>
    </w:p>
    <w:p w:rsidR="00485094" w:rsidRPr="00B74802" w:rsidRDefault="00485094" w:rsidP="005D2035">
      <w:pPr>
        <w:pStyle w:val="Bodytextreduced"/>
      </w:pPr>
      <w:r w:rsidRPr="00B74802">
        <w:t>- = Empty cell/no data</w:t>
      </w:r>
    </w:p>
    <w:tbl>
      <w:tblPr>
        <w:tblW w:w="97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93"/>
        <w:gridCol w:w="990"/>
        <w:gridCol w:w="990"/>
        <w:gridCol w:w="720"/>
        <w:gridCol w:w="877"/>
        <w:gridCol w:w="720"/>
        <w:gridCol w:w="676"/>
      </w:tblGrid>
      <w:tr w:rsidR="00485094" w:rsidRPr="00FB0820" w:rsidTr="000F2909">
        <w:trPr>
          <w:trHeight w:val="450"/>
          <w:jc w:val="center"/>
        </w:trPr>
        <w:tc>
          <w:tcPr>
            <w:tcW w:w="4793" w:type="dxa"/>
            <w:shd w:val="clear" w:color="auto" w:fill="BDFFFF"/>
            <w:vAlign w:val="center"/>
          </w:tcPr>
          <w:p w:rsidR="00485094" w:rsidRPr="00FB0820" w:rsidRDefault="00485094" w:rsidP="005D2035">
            <w:pPr>
              <w:autoSpaceDE w:val="0"/>
              <w:autoSpaceDN w:val="0"/>
              <w:adjustRightInd w:val="0"/>
              <w:jc w:val="center"/>
              <w:rPr>
                <w:rFonts w:ascii="Arial" w:hAnsi="Arial"/>
                <w:i/>
                <w:color w:val="000000"/>
                <w:sz w:val="15"/>
                <w:szCs w:val="15"/>
              </w:rPr>
            </w:pPr>
            <w:r>
              <w:rPr>
                <w:rFonts w:ascii="Arial" w:hAnsi="Arial"/>
                <w:b/>
                <w:i/>
                <w:color w:val="000000"/>
                <w:sz w:val="15"/>
                <w:szCs w:val="15"/>
              </w:rPr>
              <w:t>-</w:t>
            </w:r>
          </w:p>
        </w:tc>
        <w:tc>
          <w:tcPr>
            <w:tcW w:w="4973" w:type="dxa"/>
            <w:gridSpan w:val="6"/>
            <w:shd w:val="clear" w:color="auto" w:fill="BDFFFF"/>
            <w:vAlign w:val="center"/>
          </w:tcPr>
          <w:p w:rsidR="00485094" w:rsidRDefault="00485094" w:rsidP="005D2035">
            <w:pPr>
              <w:autoSpaceDE w:val="0"/>
              <w:autoSpaceDN w:val="0"/>
              <w:adjustRightInd w:val="0"/>
              <w:jc w:val="center"/>
              <w:rPr>
                <w:rFonts w:ascii="Arial" w:hAnsi="Arial"/>
                <w:b/>
                <w:i/>
                <w:color w:val="000000"/>
                <w:sz w:val="15"/>
                <w:szCs w:val="15"/>
              </w:rPr>
            </w:pPr>
            <w:r w:rsidRPr="00FB0820">
              <w:rPr>
                <w:rFonts w:ascii="Arial" w:hAnsi="Arial"/>
                <w:b/>
                <w:i/>
                <w:color w:val="000000"/>
                <w:sz w:val="15"/>
                <w:szCs w:val="15"/>
              </w:rPr>
              <w:t>Contaminant Categories and Number of Wells or Water Systems with Samples that Have Exceeded Primary Standards</w:t>
            </w:r>
          </w:p>
          <w:p w:rsidR="00485094" w:rsidRPr="00FB0820" w:rsidRDefault="00485094" w:rsidP="0092719C">
            <w:pPr>
              <w:autoSpaceDE w:val="0"/>
              <w:autoSpaceDN w:val="0"/>
              <w:adjustRightInd w:val="0"/>
              <w:jc w:val="center"/>
              <w:rPr>
                <w:rFonts w:ascii="Arial" w:hAnsi="Arial"/>
                <w:i/>
                <w:color w:val="000000"/>
                <w:sz w:val="15"/>
                <w:szCs w:val="15"/>
              </w:rPr>
            </w:pPr>
            <w:r>
              <w:rPr>
                <w:rFonts w:ascii="Arial" w:hAnsi="Arial"/>
                <w:b/>
                <w:i/>
                <w:color w:val="000000"/>
                <w:sz w:val="15"/>
                <w:szCs w:val="15"/>
              </w:rPr>
              <w:t>(period of record November 2007–November 2009)</w:t>
            </w:r>
          </w:p>
        </w:tc>
      </w:tr>
      <w:tr w:rsidR="00485094" w:rsidRPr="00FB0820" w:rsidTr="000F2909">
        <w:trPr>
          <w:cantSplit/>
          <w:trHeight w:val="1367"/>
          <w:jc w:val="center"/>
        </w:trPr>
        <w:tc>
          <w:tcPr>
            <w:tcW w:w="4793" w:type="dxa"/>
            <w:tcBorders>
              <w:bottom w:val="double" w:sz="4" w:space="0" w:color="auto"/>
            </w:tcBorders>
            <w:shd w:val="clear" w:color="auto" w:fill="BDFFFF"/>
            <w:vAlign w:val="bottom"/>
          </w:tcPr>
          <w:p w:rsidR="00485094" w:rsidRPr="00FB0820" w:rsidRDefault="00485094" w:rsidP="005D2035">
            <w:pPr>
              <w:autoSpaceDE w:val="0"/>
              <w:autoSpaceDN w:val="0"/>
              <w:adjustRightInd w:val="0"/>
              <w:jc w:val="center"/>
              <w:rPr>
                <w:rFonts w:ascii="Arial" w:hAnsi="Arial"/>
                <w:i/>
                <w:color w:val="000000"/>
                <w:sz w:val="15"/>
                <w:szCs w:val="15"/>
              </w:rPr>
            </w:pPr>
            <w:r w:rsidRPr="00FB0820">
              <w:rPr>
                <w:rFonts w:ascii="Arial" w:hAnsi="Arial"/>
                <w:b/>
                <w:i/>
                <w:color w:val="000000"/>
                <w:sz w:val="15"/>
                <w:szCs w:val="15"/>
              </w:rPr>
              <w:t>Basin—Aquifer</w:t>
            </w:r>
          </w:p>
        </w:tc>
        <w:tc>
          <w:tcPr>
            <w:tcW w:w="990" w:type="dxa"/>
            <w:tcBorders>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990" w:type="dxa"/>
            <w:tcBorders>
              <w:bottom w:val="double" w:sz="4" w:space="0" w:color="auto"/>
              <w:right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Primary Metals</w:t>
            </w:r>
            <w:r w:rsidRPr="006D74A8">
              <w:rPr>
                <w:rFonts w:ascii="Arial" w:hAnsi="Arial"/>
                <w:b/>
                <w:i/>
                <w:color w:val="000000"/>
                <w:sz w:val="15"/>
                <w:szCs w:val="15"/>
                <w:vertAlign w:val="superscript"/>
              </w:rPr>
              <w:t>1</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4</w:t>
            </w:r>
          </w:p>
        </w:tc>
        <w:tc>
          <w:tcPr>
            <w:tcW w:w="877" w:type="dxa"/>
            <w:tcBorders>
              <w:bottom w:val="double" w:sz="4" w:space="0" w:color="auto"/>
              <w:right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Saline Water</w:t>
            </w:r>
            <w:r w:rsidRPr="006D74A8">
              <w:rPr>
                <w:rFonts w:ascii="Arial" w:hAnsi="Arial"/>
                <w:b/>
                <w:i/>
                <w:color w:val="000000"/>
                <w:sz w:val="15"/>
                <w:szCs w:val="15"/>
                <w:vertAlign w:val="superscript"/>
              </w:rPr>
              <w:t>2</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c>
          <w:tcPr>
            <w:tcW w:w="720" w:type="dxa"/>
            <w:tcBorders>
              <w:left w:val="double" w:sz="4" w:space="0" w:color="auto"/>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Public Water Systems</w:t>
            </w:r>
            <w:r>
              <w:rPr>
                <w:rFonts w:ascii="Arial" w:hAnsi="Arial"/>
                <w:b/>
                <w:i/>
                <w:color w:val="000000"/>
                <w:sz w:val="15"/>
                <w:szCs w:val="15"/>
                <w:vertAlign w:val="superscript"/>
              </w:rPr>
              <w:t xml:space="preserve"> 4</w:t>
            </w:r>
          </w:p>
        </w:tc>
        <w:tc>
          <w:tcPr>
            <w:tcW w:w="676" w:type="dxa"/>
            <w:tcBorders>
              <w:bottom w:val="double" w:sz="4" w:space="0" w:color="auto"/>
            </w:tcBorders>
            <w:shd w:val="clear" w:color="auto" w:fill="BDFFFF"/>
            <w:textDirection w:val="btLr"/>
            <w:vAlign w:val="center"/>
          </w:tcPr>
          <w:p w:rsidR="00485094" w:rsidRPr="00FB0820" w:rsidRDefault="00485094" w:rsidP="005D2035">
            <w:pPr>
              <w:autoSpaceDE w:val="0"/>
              <w:autoSpaceDN w:val="0"/>
              <w:adjustRightInd w:val="0"/>
              <w:ind w:left="113" w:right="113"/>
              <w:rPr>
                <w:rFonts w:ascii="Arial" w:hAnsi="Arial"/>
                <w:b/>
                <w:i/>
                <w:color w:val="000000"/>
                <w:sz w:val="15"/>
                <w:szCs w:val="15"/>
              </w:rPr>
            </w:pPr>
            <w:r>
              <w:rPr>
                <w:rFonts w:ascii="Arial" w:hAnsi="Arial"/>
                <w:b/>
                <w:i/>
                <w:color w:val="000000"/>
                <w:sz w:val="15"/>
                <w:szCs w:val="15"/>
              </w:rPr>
              <w:t>Radionuclides</w:t>
            </w:r>
            <w:r w:rsidRPr="006D74A8">
              <w:rPr>
                <w:rFonts w:ascii="Arial" w:hAnsi="Arial"/>
                <w:b/>
                <w:i/>
                <w:color w:val="000000"/>
                <w:sz w:val="15"/>
                <w:szCs w:val="15"/>
                <w:vertAlign w:val="superscript"/>
              </w:rPr>
              <w:t>3</w:t>
            </w:r>
            <w:r>
              <w:rPr>
                <w:rFonts w:ascii="Arial" w:hAnsi="Arial"/>
                <w:b/>
                <w:i/>
                <w:color w:val="000000"/>
                <w:sz w:val="15"/>
                <w:szCs w:val="15"/>
              </w:rPr>
              <w:t xml:space="preserve"> in </w:t>
            </w:r>
            <w:r w:rsidRPr="00FB0820">
              <w:rPr>
                <w:rFonts w:ascii="Arial" w:hAnsi="Arial"/>
                <w:b/>
                <w:i/>
                <w:color w:val="000000"/>
                <w:sz w:val="15"/>
                <w:szCs w:val="15"/>
              </w:rPr>
              <w:t>Private Wells (WSRP)</w:t>
            </w:r>
            <w:r w:rsidRPr="00FB0820">
              <w:rPr>
                <w:rFonts w:ascii="Arial" w:hAnsi="Arial"/>
                <w:b/>
                <w:i/>
                <w:color w:val="000000"/>
                <w:sz w:val="15"/>
                <w:szCs w:val="15"/>
                <w:vertAlign w:val="superscript"/>
              </w:rPr>
              <w:t xml:space="preserve"> </w:t>
            </w:r>
            <w:r>
              <w:rPr>
                <w:rFonts w:ascii="Arial" w:hAnsi="Arial"/>
                <w:b/>
                <w:i/>
                <w:color w:val="000000"/>
                <w:sz w:val="15"/>
                <w:szCs w:val="15"/>
                <w:vertAlign w:val="superscript"/>
              </w:rPr>
              <w:t>5</w:t>
            </w:r>
          </w:p>
        </w:tc>
      </w:tr>
      <w:tr w:rsidR="00485094" w:rsidRPr="00FB0820" w:rsidTr="000F2909">
        <w:trPr>
          <w:trHeight w:val="220"/>
          <w:jc w:val="center"/>
        </w:trPr>
        <w:tc>
          <w:tcPr>
            <w:tcW w:w="4793" w:type="dxa"/>
            <w:tcBorders>
              <w:top w:val="double" w:sz="4" w:space="0" w:color="auto"/>
            </w:tcBorders>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Apalachicola–Chipola—Floridan Aquifer</w:t>
            </w:r>
          </w:p>
        </w:tc>
        <w:tc>
          <w:tcPr>
            <w:tcW w:w="990" w:type="dxa"/>
            <w:tcBorders>
              <w:top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top w:val="double" w:sz="4" w:space="0" w:color="auto"/>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top w:val="double" w:sz="4" w:space="0" w:color="auto"/>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top w:val="double" w:sz="4" w:space="0" w:color="auto"/>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top w:val="double" w:sz="4" w:space="0" w:color="auto"/>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tcBorders>
              <w:top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 xml:space="preserve">Caloosahatchee—Surficial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Charlotte</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Harbor</w:t>
                </w:r>
              </w:smartTag>
            </w:smartTag>
            <w:r w:rsidRPr="00FB0820">
              <w:rPr>
                <w:rFonts w:ascii="Arial" w:hAnsi="Arial"/>
                <w:color w:val="000000"/>
                <w:sz w:val="15"/>
                <w:szCs w:val="15"/>
              </w:rPr>
              <w:t xml:space="preserve">—Floridan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6</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Choctawhatchee–St. Andrew—Floridan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—Surficial Aquifer  </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Everglades</w:t>
              </w:r>
            </w:smartTag>
            <w:r w:rsidRPr="00FB0820">
              <w:rPr>
                <w:rFonts w:ascii="Arial" w:hAnsi="Arial"/>
                <w:color w:val="000000"/>
                <w:sz w:val="15"/>
                <w:szCs w:val="15"/>
              </w:rPr>
              <w:t xml:space="preserve"> West Coast—Surficial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highlight w:val="yellow"/>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Fisheating Creek—Surficial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Florida Keys</w:t>
              </w:r>
            </w:smartTag>
            <w:r w:rsidRPr="00FB0820">
              <w:rPr>
                <w:rFonts w:ascii="Arial" w:hAnsi="Arial"/>
                <w:color w:val="000000"/>
                <w:sz w:val="15"/>
                <w:szCs w:val="15"/>
              </w:rPr>
              <w:t>—None</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Indian River</w:t>
              </w:r>
            </w:smartTag>
            <w:r w:rsidRPr="00FB0820">
              <w:rPr>
                <w:rFonts w:ascii="Arial" w:hAnsi="Arial"/>
                <w:color w:val="000000"/>
                <w:sz w:val="15"/>
                <w:szCs w:val="15"/>
              </w:rPr>
              <w:t xml:space="preserve"> Lagoon—Floridan and Surficial Aquifers</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Kissimmee River</w:t>
              </w:r>
            </w:smartTag>
            <w:r w:rsidRPr="00FB0820">
              <w:rPr>
                <w:rFonts w:ascii="Arial" w:hAnsi="Arial"/>
                <w:color w:val="000000"/>
                <w:sz w:val="15"/>
                <w:szCs w:val="15"/>
              </w:rPr>
              <w:t>—Floridan, Intermediate, and Surficial Aquifers</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4</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Lake Okeechobee</w:t>
              </w:r>
            </w:smartTag>
            <w:r w:rsidRPr="00FB0820">
              <w:rPr>
                <w:rFonts w:ascii="Arial" w:hAnsi="Arial"/>
                <w:color w:val="000000"/>
                <w:sz w:val="15"/>
                <w:szCs w:val="15"/>
              </w:rPr>
              <w:t xml:space="preserve">—Surficial Aquifer  </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Lake Worth</w:t>
                </w:r>
              </w:smartTag>
              <w:r w:rsidRPr="00FB0820">
                <w:rPr>
                  <w:rFonts w:ascii="Arial" w:hAnsi="Arial"/>
                  <w:color w:val="000000"/>
                  <w:sz w:val="15"/>
                  <w:szCs w:val="15"/>
                </w:rPr>
                <w:t xml:space="preserve"> </w:t>
              </w:r>
              <w:smartTag w:uri="urn:schemas-microsoft-com:office:smarttags" w:element="PlaceName">
                <w:r w:rsidRPr="00FB0820">
                  <w:rPr>
                    <w:rFonts w:ascii="Arial" w:hAnsi="Arial"/>
                    <w:color w:val="000000"/>
                    <w:sz w:val="15"/>
                    <w:szCs w:val="15"/>
                  </w:rPr>
                  <w:t>Lagoon–Palm</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Beach</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—Surficial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Lower St. Johns</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12</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 xml:space="preserve">Middle </w:t>
            </w:r>
            <w:smartTag w:uri="urn:schemas-microsoft-com:office:smarttags" w:element="City">
              <w:smartTag w:uri="urn:schemas-microsoft-com:office:smarttags" w:element="place">
                <w:r w:rsidRPr="00FB0820">
                  <w:rPr>
                    <w:rFonts w:ascii="Arial" w:hAnsi="Arial"/>
                    <w:color w:val="000000"/>
                    <w:sz w:val="15"/>
                    <w:szCs w:val="15"/>
                  </w:rPr>
                  <w:t>St. Johns</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6</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Nassau–St. Marys—Floridan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Ochlockonee–St. Marks—Floridan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Ocklawaha—Floridan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27</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Pensacola—Sand-and-Gravel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5</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Perdido—Sand-and-Gravel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Sarasota Bay–Peace–Myakka—Floridan and Surficial Aquifers</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7</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8</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Southeast Coast–Biscayne Bay–Biscayne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5</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Type">
              <w:smartTag w:uri="urn:schemas-microsoft-com:office:smarttags" w:element="place">
                <w:r w:rsidRPr="00FB0820">
                  <w:rPr>
                    <w:rFonts w:ascii="Arial" w:hAnsi="Arial"/>
                    <w:color w:val="000000"/>
                    <w:sz w:val="15"/>
                    <w:szCs w:val="15"/>
                  </w:rPr>
                  <w:t>Springs</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Coast</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5</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125</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r w:rsidRPr="00FB0820">
              <w:rPr>
                <w:rFonts w:ascii="Arial" w:hAnsi="Arial"/>
                <w:color w:val="000000"/>
                <w:sz w:val="15"/>
                <w:szCs w:val="15"/>
              </w:rPr>
              <w:t>St. Lucie–Loxahatchee—Surficial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Suwannee</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153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Name">
              <w:smartTag w:uri="urn:schemas-microsoft-com:office:smarttags" w:element="place">
                <w:r w:rsidRPr="00FB0820">
                  <w:rPr>
                    <w:rFonts w:ascii="Arial" w:hAnsi="Arial"/>
                    <w:color w:val="000000"/>
                    <w:sz w:val="15"/>
                    <w:szCs w:val="15"/>
                  </w:rPr>
                  <w:t>Tampa</w:t>
                </w:r>
              </w:smartTag>
              <w:r w:rsidRPr="00FB0820">
                <w:rPr>
                  <w:rFonts w:ascii="Arial" w:hAnsi="Arial"/>
                  <w:color w:val="000000"/>
                  <w:sz w:val="15"/>
                  <w:szCs w:val="15"/>
                </w:rPr>
                <w:t xml:space="preserve"> </w:t>
              </w:r>
              <w:smartTag w:uri="urn:schemas-microsoft-com:office:smarttags" w:element="PlaceType">
                <w:r w:rsidRPr="00FB0820">
                  <w:rPr>
                    <w:rFonts w:ascii="Arial" w:hAnsi="Arial"/>
                    <w:color w:val="000000"/>
                    <w:sz w:val="15"/>
                    <w:szCs w:val="15"/>
                  </w:rPr>
                  <w:t>Bay</w:t>
                </w:r>
              </w:smartTag>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5</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4</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lang w:val="pt-BR"/>
              </w:rPr>
            </w:pPr>
            <w:r w:rsidRPr="00FB0820">
              <w:rPr>
                <w:rFonts w:ascii="Arial" w:hAnsi="Arial"/>
                <w:color w:val="000000"/>
                <w:sz w:val="15"/>
                <w:szCs w:val="15"/>
                <w:lang w:val="pt-BR"/>
              </w:rPr>
              <w:t>Tampa Bay Tributaries—Floridan Aquifer</w:t>
            </w:r>
          </w:p>
        </w:tc>
        <w:tc>
          <w:tcPr>
            <w:tcW w:w="990"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13</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101</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2</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9</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East Coast</w:t>
              </w:r>
            </w:smartTag>
            <w:r w:rsidRPr="00FB0820">
              <w:rPr>
                <w:rFonts w:ascii="Arial" w:hAnsi="Arial"/>
                <w:color w:val="000000"/>
                <w:sz w:val="15"/>
                <w:szCs w:val="15"/>
              </w:rPr>
              <w:t>—Floridan Aquifer and 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Upper St. Johns</w:t>
              </w:r>
            </w:smartTag>
            <w:r w:rsidRPr="00FB0820">
              <w:rPr>
                <w:rFonts w:ascii="Arial" w:hAnsi="Arial"/>
                <w:color w:val="000000"/>
                <w:sz w:val="15"/>
                <w:szCs w:val="15"/>
              </w:rPr>
              <w:t>—Floridan Aquifer and Surficial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4</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3</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FFCC"/>
            <w:vAlign w:val="center"/>
          </w:tcPr>
          <w:p w:rsidR="00485094" w:rsidRPr="00FB0820" w:rsidRDefault="00485094" w:rsidP="005D2035">
            <w:pPr>
              <w:autoSpaceDE w:val="0"/>
              <w:autoSpaceDN w:val="0"/>
              <w:adjustRightInd w:val="0"/>
              <w:rPr>
                <w:rFonts w:ascii="Arial" w:hAnsi="Arial"/>
                <w:color w:val="000000"/>
                <w:sz w:val="15"/>
                <w:szCs w:val="15"/>
              </w:rPr>
            </w:pPr>
            <w:smartTag w:uri="urn:schemas-microsoft-com:office:smarttags" w:element="place">
              <w:r w:rsidRPr="00FB0820">
                <w:rPr>
                  <w:rFonts w:ascii="Arial" w:hAnsi="Arial"/>
                  <w:color w:val="000000"/>
                  <w:sz w:val="15"/>
                  <w:szCs w:val="15"/>
                </w:rPr>
                <w:t>Withlacoochee</w:t>
              </w:r>
            </w:smartTag>
            <w:r w:rsidRPr="00FB0820">
              <w:rPr>
                <w:rFonts w:ascii="Arial" w:hAnsi="Arial"/>
                <w:color w:val="000000"/>
                <w:sz w:val="15"/>
                <w:szCs w:val="15"/>
              </w:rPr>
              <w:t>—Floridan Aquifer</w:t>
            </w:r>
          </w:p>
        </w:tc>
        <w:tc>
          <w:tcPr>
            <w:tcW w:w="990" w:type="dxa"/>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990" w:type="dxa"/>
            <w:tcBorders>
              <w:right w:val="double" w:sz="4" w:space="0" w:color="auto"/>
            </w:tcBorders>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253</w:t>
            </w:r>
          </w:p>
        </w:tc>
        <w:tc>
          <w:tcPr>
            <w:tcW w:w="720" w:type="dxa"/>
            <w:tcBorders>
              <w:lef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877" w:type="dxa"/>
            <w:tcBorders>
              <w:right w:val="double" w:sz="4" w:space="0" w:color="auto"/>
            </w:tcBorders>
            <w:shd w:val="clear" w:color="auto" w:fill="FFE5FF"/>
            <w:vAlign w:val="center"/>
          </w:tcPr>
          <w:p w:rsidR="00485094" w:rsidRPr="00FB0820" w:rsidRDefault="00485094" w:rsidP="005D2035">
            <w:pPr>
              <w:jc w:val="center"/>
              <w:rPr>
                <w:rFonts w:ascii="Arial" w:hAnsi="Arial" w:cs="Arial"/>
                <w:sz w:val="15"/>
                <w:szCs w:val="15"/>
              </w:rPr>
            </w:pPr>
            <w:r w:rsidRPr="00FB0820">
              <w:rPr>
                <w:rFonts w:ascii="Arial" w:hAnsi="Arial" w:cs="Arial"/>
                <w:sz w:val="15"/>
                <w:szCs w:val="15"/>
              </w:rPr>
              <w:t>0</w:t>
            </w:r>
          </w:p>
        </w:tc>
        <w:tc>
          <w:tcPr>
            <w:tcW w:w="720" w:type="dxa"/>
            <w:tcBorders>
              <w:left w:val="double" w:sz="4" w:space="0" w:color="auto"/>
            </w:tcBorders>
            <w:vAlign w:val="center"/>
          </w:tcPr>
          <w:p w:rsidR="00485094" w:rsidRPr="00FB0820" w:rsidRDefault="00485094" w:rsidP="005D2035">
            <w:pPr>
              <w:jc w:val="center"/>
              <w:rPr>
                <w:rFonts w:ascii="Arial" w:hAnsi="Arial" w:cs="Arial"/>
                <w:sz w:val="15"/>
                <w:szCs w:val="15"/>
              </w:rPr>
            </w:pPr>
            <w:r>
              <w:rPr>
                <w:rFonts w:ascii="Arial" w:hAnsi="Arial" w:cs="Arial"/>
                <w:sz w:val="15"/>
                <w:szCs w:val="15"/>
              </w:rPr>
              <w:t>1</w:t>
            </w:r>
          </w:p>
        </w:tc>
        <w:tc>
          <w:tcPr>
            <w:tcW w:w="676" w:type="dxa"/>
            <w:vAlign w:val="center"/>
          </w:tcPr>
          <w:p w:rsidR="00485094" w:rsidRPr="00FB0820" w:rsidRDefault="00485094" w:rsidP="005D2035">
            <w:pPr>
              <w:jc w:val="center"/>
              <w:rPr>
                <w:rFonts w:ascii="Arial" w:hAnsi="Arial" w:cs="Arial"/>
                <w:sz w:val="15"/>
                <w:szCs w:val="15"/>
              </w:rPr>
            </w:pPr>
            <w:r>
              <w:rPr>
                <w:rFonts w:ascii="Arial" w:hAnsi="Arial" w:cs="Arial"/>
                <w:sz w:val="15"/>
                <w:szCs w:val="15"/>
              </w:rPr>
              <w:t>-</w:t>
            </w:r>
          </w:p>
        </w:tc>
      </w:tr>
      <w:tr w:rsidR="00485094" w:rsidRPr="00FB0820" w:rsidTr="000F2909">
        <w:trPr>
          <w:trHeight w:val="220"/>
          <w:jc w:val="center"/>
        </w:trPr>
        <w:tc>
          <w:tcPr>
            <w:tcW w:w="4793" w:type="dxa"/>
            <w:shd w:val="clear" w:color="auto" w:fill="FFD9FF"/>
            <w:vAlign w:val="center"/>
          </w:tcPr>
          <w:p w:rsidR="00485094" w:rsidRPr="00FB0820" w:rsidRDefault="00485094" w:rsidP="0092719C">
            <w:pPr>
              <w:autoSpaceDE w:val="0"/>
              <w:autoSpaceDN w:val="0"/>
              <w:adjustRightInd w:val="0"/>
              <w:rPr>
                <w:rFonts w:ascii="Arial" w:hAnsi="Arial"/>
                <w:b/>
                <w:color w:val="000000"/>
                <w:sz w:val="15"/>
                <w:szCs w:val="15"/>
              </w:rPr>
            </w:pPr>
            <w:r w:rsidRPr="00FB0820">
              <w:rPr>
                <w:rFonts w:ascii="Arial" w:hAnsi="Arial"/>
                <w:b/>
                <w:color w:val="000000"/>
                <w:sz w:val="15"/>
                <w:szCs w:val="15"/>
              </w:rPr>
              <w:t xml:space="preserve">STATEWIDE SUMMARY—All </w:t>
            </w:r>
            <w:r>
              <w:rPr>
                <w:rFonts w:ascii="Arial" w:hAnsi="Arial"/>
                <w:b/>
                <w:color w:val="000000"/>
                <w:sz w:val="15"/>
                <w:szCs w:val="15"/>
              </w:rPr>
              <w:t>R</w:t>
            </w:r>
            <w:r w:rsidRPr="00FB0820">
              <w:rPr>
                <w:rFonts w:ascii="Arial" w:hAnsi="Arial"/>
                <w:b/>
                <w:color w:val="000000"/>
                <w:sz w:val="15"/>
                <w:szCs w:val="15"/>
              </w:rPr>
              <w:t>esults</w:t>
            </w:r>
          </w:p>
        </w:tc>
        <w:tc>
          <w:tcPr>
            <w:tcW w:w="990" w:type="dxa"/>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42</w:t>
            </w:r>
          </w:p>
        </w:tc>
        <w:tc>
          <w:tcPr>
            <w:tcW w:w="990" w:type="dxa"/>
            <w:tcBorders>
              <w:right w:val="double" w:sz="4" w:space="0" w:color="auto"/>
            </w:tcBorders>
            <w:shd w:val="clear" w:color="auto" w:fill="FFD9FF"/>
            <w:vAlign w:val="center"/>
          </w:tcPr>
          <w:p w:rsidR="00485094" w:rsidRPr="00FB0820" w:rsidRDefault="00485094" w:rsidP="005D2035">
            <w:pPr>
              <w:jc w:val="center"/>
              <w:rPr>
                <w:rFonts w:ascii="Arial" w:hAnsi="Arial" w:cs="Arial"/>
                <w:b/>
                <w:sz w:val="15"/>
                <w:szCs w:val="15"/>
              </w:rPr>
            </w:pPr>
            <w:r>
              <w:rPr>
                <w:rFonts w:ascii="Arial" w:hAnsi="Arial" w:cs="Arial"/>
                <w:b/>
                <w:sz w:val="15"/>
                <w:szCs w:val="15"/>
              </w:rPr>
              <w:t>7</w:t>
            </w:r>
            <w:r w:rsidRPr="00FB0820">
              <w:rPr>
                <w:rFonts w:ascii="Arial" w:hAnsi="Arial" w:cs="Arial"/>
                <w:b/>
                <w:sz w:val="15"/>
                <w:szCs w:val="15"/>
              </w:rPr>
              <w:t>92</w:t>
            </w:r>
          </w:p>
        </w:tc>
        <w:tc>
          <w:tcPr>
            <w:tcW w:w="720" w:type="dxa"/>
            <w:tcBorders>
              <w:left w:val="double" w:sz="4" w:space="0" w:color="auto"/>
            </w:tcBorders>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38</w:t>
            </w:r>
          </w:p>
        </w:tc>
        <w:tc>
          <w:tcPr>
            <w:tcW w:w="877" w:type="dxa"/>
            <w:tcBorders>
              <w:right w:val="double" w:sz="4" w:space="0" w:color="auto"/>
            </w:tcBorders>
            <w:shd w:val="clear" w:color="auto" w:fill="FFD9FF"/>
            <w:vAlign w:val="center"/>
          </w:tcPr>
          <w:p w:rsidR="00485094" w:rsidRPr="00FB0820" w:rsidRDefault="00485094" w:rsidP="005D2035">
            <w:pPr>
              <w:jc w:val="center"/>
              <w:rPr>
                <w:rFonts w:ascii="Arial" w:hAnsi="Arial" w:cs="Arial"/>
                <w:b/>
                <w:sz w:val="15"/>
                <w:szCs w:val="15"/>
              </w:rPr>
            </w:pPr>
            <w:r w:rsidRPr="00FB0820">
              <w:rPr>
                <w:rFonts w:ascii="Arial" w:hAnsi="Arial" w:cs="Arial"/>
                <w:b/>
                <w:sz w:val="15"/>
                <w:szCs w:val="15"/>
              </w:rPr>
              <w:t>4</w:t>
            </w:r>
          </w:p>
        </w:tc>
        <w:tc>
          <w:tcPr>
            <w:tcW w:w="720" w:type="dxa"/>
            <w:tcBorders>
              <w:left w:val="double" w:sz="4" w:space="0" w:color="auto"/>
            </w:tcBorders>
            <w:shd w:val="clear" w:color="auto" w:fill="FFD9FF"/>
            <w:vAlign w:val="center"/>
          </w:tcPr>
          <w:p w:rsidR="00485094" w:rsidRPr="00FB0820" w:rsidRDefault="00485094" w:rsidP="005D2035">
            <w:pPr>
              <w:jc w:val="center"/>
              <w:rPr>
                <w:rFonts w:ascii="Arial" w:hAnsi="Arial" w:cs="Arial"/>
                <w:b/>
                <w:bCs/>
                <w:sz w:val="15"/>
                <w:szCs w:val="15"/>
              </w:rPr>
            </w:pPr>
            <w:r>
              <w:rPr>
                <w:rFonts w:ascii="Arial" w:hAnsi="Arial" w:cs="Arial"/>
                <w:b/>
                <w:bCs/>
                <w:sz w:val="15"/>
                <w:szCs w:val="15"/>
              </w:rPr>
              <w:t>49</w:t>
            </w:r>
          </w:p>
        </w:tc>
        <w:tc>
          <w:tcPr>
            <w:tcW w:w="676" w:type="dxa"/>
            <w:shd w:val="clear" w:color="auto" w:fill="FFD9FF"/>
            <w:vAlign w:val="center"/>
          </w:tcPr>
          <w:p w:rsidR="00485094" w:rsidRPr="00FB0820" w:rsidRDefault="00485094" w:rsidP="005D2035">
            <w:pPr>
              <w:jc w:val="center"/>
              <w:rPr>
                <w:rFonts w:ascii="Arial" w:hAnsi="Arial" w:cs="Arial"/>
                <w:b/>
                <w:sz w:val="15"/>
                <w:szCs w:val="15"/>
              </w:rPr>
            </w:pPr>
            <w:r>
              <w:rPr>
                <w:rFonts w:ascii="Arial" w:hAnsi="Arial" w:cs="Arial"/>
                <w:b/>
                <w:sz w:val="15"/>
                <w:szCs w:val="15"/>
              </w:rPr>
              <w:t>-</w:t>
            </w:r>
          </w:p>
        </w:tc>
      </w:tr>
    </w:tbl>
    <w:p w:rsidR="00485094" w:rsidRPr="00FB0820" w:rsidRDefault="00485094" w:rsidP="005D2035">
      <w:pPr>
        <w:ind w:left="-374"/>
        <w:rPr>
          <w:rFonts w:ascii="Arial" w:hAnsi="Arial" w:cs="Arial"/>
          <w:b/>
          <w:sz w:val="15"/>
          <w:szCs w:val="15"/>
        </w:rPr>
      </w:pPr>
    </w:p>
    <w:p w:rsidR="00485094" w:rsidRPr="007B6A0A" w:rsidRDefault="00485094" w:rsidP="005D2035">
      <w:pPr>
        <w:pStyle w:val="Bodytextreduced"/>
      </w:pPr>
      <w:r>
        <w:br w:type="page"/>
      </w:r>
    </w:p>
    <w:p w:rsidR="00485094" w:rsidRPr="009D0424" w:rsidRDefault="00485094" w:rsidP="005D2035">
      <w:pPr>
        <w:pStyle w:val="Heading3"/>
      </w:pPr>
      <w:bookmarkStart w:id="678" w:name="_Toc257365072"/>
      <w:bookmarkStart w:id="679" w:name="_Toc271794387"/>
      <w:r w:rsidRPr="009D0424">
        <w:lastRenderedPageBreak/>
        <w:t>Synthetic Organic Chemicals/Pesticides</w:t>
      </w:r>
      <w:bookmarkEnd w:id="678"/>
      <w:bookmarkEnd w:id="679"/>
    </w:p>
    <w:p w:rsidR="00485094" w:rsidRPr="0092719C" w:rsidRDefault="00485094" w:rsidP="0092719C">
      <w:pPr>
        <w:pStyle w:val="Bodytext"/>
      </w:pPr>
      <w:r w:rsidRPr="0092719C">
        <w:t xml:space="preserve">For SOCs used as pesticides, the highest number of historical MCL exceedances in samples from public water systems occurred in the Ocklawaha, Sarasota Bay–Peace–Myakka, and Withlacoochee Basins.  However, over the past 2 years, there were very few exceedances of pesticide MCLs in public water systems, with the highest number (3) occurring in the Kissimmee Basin.  In private wells, the highest number historically occurred in the Kissimmee, Apalachicola, and Ocklawaha Basins, with the highest numbers over the past 2 years occurring in the Kissimmee (13) and Ocklawaha (11) Basins.  </w:t>
      </w:r>
    </w:p>
    <w:p w:rsidR="00485094" w:rsidRPr="0092719C" w:rsidRDefault="00485094" w:rsidP="0092719C">
      <w:pPr>
        <w:pStyle w:val="Bodytext"/>
      </w:pPr>
    </w:p>
    <w:p w:rsidR="00485094" w:rsidRPr="0092719C" w:rsidRDefault="00485094" w:rsidP="0092719C">
      <w:pPr>
        <w:pStyle w:val="Bodytext"/>
      </w:pPr>
      <w:r w:rsidRPr="0092719C">
        <w:t xml:space="preserve">The detections of agrichemicals in private wells can provide meaningful information on the presence/absence of these substances and give an indication of an aquifer’s vulnerability to pesticide use.  The number of private well exceedances can sometimes be related to the density of homesteads (unregulated rural growth versus dense rural residential developments) and their proximity to agricultural land uses or lawn/turf care practices.  </w:t>
      </w:r>
      <w:r w:rsidRPr="0092719C">
        <w:rPr>
          <w:b/>
          <w:i/>
        </w:rPr>
        <w:t>Table 10.2a</w:t>
      </w:r>
      <w:r w:rsidRPr="0092719C">
        <w:t xml:space="preserve"> shows the distribution of MCL exceedances in samples reported for the recent </w:t>
      </w:r>
      <w:r>
        <w:t>two</w:t>
      </w:r>
      <w:r w:rsidRPr="0092719C">
        <w:t>-year period.</w:t>
      </w:r>
    </w:p>
    <w:p w:rsidR="00485094" w:rsidRPr="0092719C" w:rsidRDefault="00485094" w:rsidP="0092719C">
      <w:pPr>
        <w:pStyle w:val="Bodytext"/>
      </w:pPr>
    </w:p>
    <w:p w:rsidR="00485094" w:rsidRPr="009D0424" w:rsidRDefault="00485094" w:rsidP="005D2035">
      <w:pPr>
        <w:pStyle w:val="Bodytext"/>
      </w:pPr>
      <w:r>
        <w:t xml:space="preserve">The pesticides that historically occurred in public water systems at above-MCL concentrations were mainly found in the mid- to late-1980s and have since been banned from use.  </w:t>
      </w:r>
      <w:r w:rsidRPr="009D0424">
        <w:t>Lindane, toxaphene</w:t>
      </w:r>
      <w:r>
        <w:t>,</w:t>
      </w:r>
      <w:r w:rsidRPr="009D0424">
        <w:t xml:space="preserve"> and methoxychlor were the pesticides most commonly </w:t>
      </w:r>
      <w:r>
        <w:t>found</w:t>
      </w:r>
      <w:r w:rsidRPr="009D0424">
        <w:t xml:space="preserve"> at above-MCL concentrations in the 1980s but </w:t>
      </w:r>
      <w:r>
        <w:t>have</w:t>
      </w:r>
      <w:r w:rsidRPr="009D0424">
        <w:t xml:space="preserve"> not appear</w:t>
      </w:r>
      <w:r>
        <w:t>ed</w:t>
      </w:r>
      <w:r w:rsidRPr="009D0424">
        <w:t xml:space="preserve"> in the PWS database at above-MCL levels since the early 1990s.</w:t>
      </w:r>
      <w:r>
        <w:t xml:space="preserve">  </w:t>
      </w:r>
      <w:r w:rsidRPr="009D0424">
        <w:t>These</w:t>
      </w:r>
      <w:r>
        <w:t xml:space="preserve"> compounds</w:t>
      </w:r>
      <w:r w:rsidRPr="009D0424">
        <w:t>, plus heptachlor, endothal</w:t>
      </w:r>
      <w:r>
        <w:t>l,</w:t>
      </w:r>
      <w:r w:rsidRPr="009D0424">
        <w:t xml:space="preserve"> and mal</w:t>
      </w:r>
      <w:r>
        <w:t>a</w:t>
      </w:r>
      <w:r w:rsidRPr="009D0424">
        <w:t xml:space="preserve">thion, were mainly </w:t>
      </w:r>
      <w:r>
        <w:t>found</w:t>
      </w:r>
      <w:r w:rsidRPr="009D0424">
        <w:t xml:space="preserve"> in the basins </w:t>
      </w:r>
      <w:r>
        <w:t>where agricultural land uses are or were prevalent</w:t>
      </w:r>
      <w:r w:rsidRPr="009D0424">
        <w:t xml:space="preserve">. </w:t>
      </w:r>
      <w:r>
        <w:t xml:space="preserve"> Dieldrin, another older compound, was also found in private drinking water wells.  Dieldrin and metolachlor were the pesticides responsible for the few recent  exceedances of pesticide MCLs in public water systems. </w:t>
      </w:r>
    </w:p>
    <w:p w:rsidR="00485094" w:rsidRDefault="00485094" w:rsidP="005D2035">
      <w:pPr>
        <w:pStyle w:val="Bodytext"/>
      </w:pPr>
    </w:p>
    <w:p w:rsidR="00485094" w:rsidRDefault="00485094" w:rsidP="005D2035">
      <w:pPr>
        <w:pStyle w:val="Bodytext"/>
      </w:pPr>
      <w:r>
        <w:t>Ethylene dibromide (</w:t>
      </w:r>
      <w:r w:rsidRPr="009D0424">
        <w:t>EDB</w:t>
      </w:r>
      <w:r>
        <w:t>), a nematocide used heavily in the 1980s on citrus and other croplands,</w:t>
      </w:r>
      <w:r w:rsidRPr="009D0424">
        <w:t xml:space="preserve"> was</w:t>
      </w:r>
      <w:r>
        <w:t xml:space="preserve"> found to be highly mobile and a threat to potable ground water supplies.  In response to FDEP’s identification of this as an issue, FDOH conducted a comprehensive EDB sampling program in areas where it was suspected to have been applied.  In 16 basins, this revealed numerous private drinking water wells that were contaminated by the compound, prompting the formal delineation of ground water contamination areas.  EDB was also found in public water systems throughout the state.  </w:t>
      </w:r>
    </w:p>
    <w:p w:rsidR="00485094" w:rsidRDefault="00485094" w:rsidP="005D2035">
      <w:pPr>
        <w:pStyle w:val="Bodytext"/>
      </w:pPr>
    </w:p>
    <w:p w:rsidR="00485094" w:rsidRDefault="00485094" w:rsidP="005D2035">
      <w:pPr>
        <w:pStyle w:val="Bodytext"/>
      </w:pPr>
      <w:r>
        <w:t xml:space="preserve">In the late 1980s, the use of EDB was banned.  </w:t>
      </w:r>
      <w:r w:rsidRPr="00F1284D">
        <w:t xml:space="preserve">New </w:t>
      </w:r>
      <w:r>
        <w:t>MCL exceedances</w:t>
      </w:r>
      <w:r w:rsidRPr="00F1284D">
        <w:t xml:space="preserve"> </w:t>
      </w:r>
      <w:r>
        <w:t>for</w:t>
      </w:r>
      <w:r w:rsidRPr="00F1284D">
        <w:t xml:space="preserve"> EDB seldom occur</w:t>
      </w:r>
      <w:r>
        <w:t>; however,</w:t>
      </w:r>
      <w:r w:rsidRPr="00F1284D">
        <w:t xml:space="preserve"> some private drinking water wells </w:t>
      </w:r>
      <w:r>
        <w:t xml:space="preserve">have </w:t>
      </w:r>
      <w:r w:rsidRPr="00F1284D">
        <w:t>continue</w:t>
      </w:r>
      <w:r>
        <w:t>d</w:t>
      </w:r>
      <w:r w:rsidRPr="00F1284D">
        <w:t xml:space="preserve"> to yield samples with d</w:t>
      </w:r>
      <w:r>
        <w:t>etectable concentrations of EDB</w:t>
      </w:r>
      <w:r w:rsidRPr="00F1284D">
        <w:t xml:space="preserve"> decades after </w:t>
      </w:r>
      <w:r>
        <w:t xml:space="preserve">its </w:t>
      </w:r>
      <w:r w:rsidRPr="00F1284D">
        <w:t>use was discontinued.</w:t>
      </w:r>
      <w:r>
        <w:t xml:space="preserve">  </w:t>
      </w:r>
      <w:r w:rsidRPr="009D0424">
        <w:t>The most recent PWS system</w:t>
      </w:r>
      <w:r>
        <w:t>s</w:t>
      </w:r>
      <w:r w:rsidRPr="009D0424">
        <w:t xml:space="preserve"> </w:t>
      </w:r>
      <w:r>
        <w:t xml:space="preserve">with levels of </w:t>
      </w:r>
      <w:r w:rsidRPr="009D0424">
        <w:t xml:space="preserve">EDB above its MCL (in the late 1990s) were reported in </w:t>
      </w:r>
      <w:r>
        <w:t xml:space="preserve">the Tampa Bay Tributaries Basin of </w:t>
      </w:r>
      <w:r w:rsidRPr="009D0424">
        <w:t xml:space="preserve">southwest Florida, </w:t>
      </w:r>
      <w:r>
        <w:t>which includes a significant</w:t>
      </w:r>
      <w:r w:rsidRPr="009D0424">
        <w:t xml:space="preserve"> </w:t>
      </w:r>
      <w:r>
        <w:t>agricultural area</w:t>
      </w:r>
      <w:r w:rsidRPr="009D0424">
        <w:t>.</w:t>
      </w:r>
      <w:r>
        <w:t xml:space="preserve">  Over the past 2 years, EDB has remained the most common pesticide with above-MCL concentrations in private wells. </w:t>
      </w:r>
    </w:p>
    <w:p w:rsidR="00485094" w:rsidRDefault="00485094" w:rsidP="005D2035">
      <w:pPr>
        <w:pStyle w:val="Bodytext"/>
      </w:pPr>
    </w:p>
    <w:p w:rsidR="00485094" w:rsidRDefault="00485094" w:rsidP="005D2035">
      <w:pPr>
        <w:pStyle w:val="Bodytext"/>
      </w:pPr>
      <w:r>
        <w:t xml:space="preserve">More recently, applied pesticides such as bromacil and alachlor were detected at levels exceeding their health advisory limits in private drinking water wells.  Bromacil has a ground water guidance concentration, and alachlor has a primary MCL.  Elevated detections of bromacil were found (mainly in the 1990s) in the citrus-growing area of central </w:t>
      </w:r>
      <w:smartTag w:uri="urn:schemas-microsoft-com:office:smarttags" w:element="State">
        <w:r>
          <w:t>Florida</w:t>
        </w:r>
      </w:smartTag>
      <w:r>
        <w:t xml:space="preserve">, which includes parts of the </w:t>
      </w:r>
      <w:smartTag w:uri="urn:schemas-microsoft-com:office:smarttags" w:element="City">
        <w:r>
          <w:t>Kissimmee</w:t>
        </w:r>
      </w:smartTag>
      <w:r>
        <w:t xml:space="preserve">, Tampa Bay Tributaries, Middle St. Johns,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In the 1990s, both compounds were found (along with dieldrin) at elevated levels in numerous wells in an agricultural area of </w:t>
      </w:r>
      <w:smartTag w:uri="urn:schemas-microsoft-com:office:smarttags" w:element="PlaceName">
        <w:r>
          <w:t>Jackson</w:t>
        </w:r>
      </w:smartTag>
      <w:r>
        <w:t xml:space="preserve"> </w:t>
      </w:r>
      <w:smartTag w:uri="urn:schemas-microsoft-com:office:smarttags" w:element="PlaceName">
        <w:r>
          <w:t>County</w:t>
        </w:r>
      </w:smartTag>
      <w:r>
        <w:t xml:space="preserve"> in the </w:t>
      </w:r>
      <w:smartTag w:uri="urn:schemas-microsoft-com:office:smarttags" w:element="PlaceName">
        <w:smartTag w:uri="urn:schemas-microsoft-com:office:smarttags" w:element="place">
          <w:r>
            <w:t>Apalachicola–Chipola</w:t>
          </w:r>
        </w:smartTag>
        <w:r>
          <w:t xml:space="preserve"> </w:t>
        </w:r>
        <w:smartTag w:uri="urn:schemas-microsoft-com:office:smarttags" w:element="PlaceType">
          <w:r>
            <w:t>Basin</w:t>
          </w:r>
        </w:smartTag>
      </w:smartTag>
      <w:r>
        <w:t xml:space="preserve">.  FDACS has since required modifications to the application of bromacil to prohibit its application from citrus </w:t>
      </w:r>
      <w:r>
        <w:lastRenderedPageBreak/>
        <w:t>areas with vulnerable soils and high leaching potential.  Alachlor is now listed as a restricted use pesticide.</w:t>
      </w:r>
    </w:p>
    <w:p w:rsidR="00485094" w:rsidRPr="00C33E69" w:rsidRDefault="00485094" w:rsidP="005D2035">
      <w:pPr>
        <w:pStyle w:val="Bodytext"/>
        <w:rPr>
          <w:b/>
        </w:rPr>
      </w:pPr>
    </w:p>
    <w:p w:rsidR="00485094" w:rsidRPr="001302A3" w:rsidRDefault="00485094" w:rsidP="005D2035">
      <w:pPr>
        <w:pStyle w:val="Heading3"/>
      </w:pPr>
      <w:bookmarkStart w:id="680" w:name="_Toc257365073"/>
      <w:bookmarkStart w:id="681" w:name="_Toc271794388"/>
      <w:r w:rsidRPr="001302A3">
        <w:t>Nitrate</w:t>
      </w:r>
      <w:bookmarkEnd w:id="680"/>
      <w:bookmarkEnd w:id="681"/>
    </w:p>
    <w:p w:rsidR="00485094" w:rsidRDefault="00485094" w:rsidP="005D2035">
      <w:pPr>
        <w:pStyle w:val="Bodytext"/>
      </w:pPr>
      <w:r>
        <w:t xml:space="preserve">Elevated nitrate concentrations in ground water have been associated with inorganic fertilizers, animal waste and domestic wastewater and residuals.  Nitrate (also reported as nitrate + nitrite) above the MCL of 10 mg/L has historically been found at concentrations above the MCL in over 150 public water systems, with the Tampa Bay Tributaries Basin having by far the highest number.  Over the past 2 years, samples from 29 systems using ground water have had MCL exceedances for nitrate.  Historically, most of the private wells with nitrate above the MCL were found in the </w:t>
      </w:r>
      <w:smartTag w:uri="urn:schemas-microsoft-com:office:smarttags" w:element="PlaceName">
        <w:r>
          <w:t>Kissimmee</w:t>
        </w:r>
      </w:smartTag>
      <w:r>
        <w:t xml:space="preserve"> Basin, followed by the Ocklawaha and Sarasota Bay–Peace–Myakka Basins.  Elevated concentrations of nitrate remain a problem with private wells, with 322 wells having exceedances over the recent 2-year period.  These are all summarized in </w:t>
      </w:r>
      <w:r w:rsidRPr="00252669">
        <w:rPr>
          <w:b/>
          <w:i/>
        </w:rPr>
        <w:t xml:space="preserve">Table </w:t>
      </w:r>
      <w:r>
        <w:rPr>
          <w:b/>
          <w:i/>
        </w:rPr>
        <w:t>10.2a</w:t>
      </w:r>
      <w:r w:rsidRPr="00252669">
        <w:rPr>
          <w:i/>
        </w:rPr>
        <w:t>.</w:t>
      </w:r>
    </w:p>
    <w:p w:rsidR="00485094" w:rsidRDefault="00485094" w:rsidP="005D2035">
      <w:pPr>
        <w:pStyle w:val="Bodytext"/>
      </w:pPr>
    </w:p>
    <w:p w:rsidR="00485094" w:rsidRPr="001302A3" w:rsidRDefault="00485094" w:rsidP="005D2035">
      <w:pPr>
        <w:pStyle w:val="Bodytext"/>
      </w:pPr>
      <w:r>
        <w:t xml:space="preserve">Nitrate contamination of potable ground water remains a significant issue in some areas of </w:t>
      </w:r>
      <w:smartTag w:uri="urn:schemas-microsoft-com:office:smarttags" w:element="State">
        <w:smartTag w:uri="urn:schemas-microsoft-com:office:smarttags" w:element="place">
          <w:r>
            <w:t>Florida</w:t>
          </w:r>
        </w:smartTag>
      </w:smartTag>
      <w:r>
        <w:t xml:space="preserve">.  The basins with the highest number of MCL exceedances in water systems and wells include large citrus-growing areas or areas where citrus was previously grown on top of vulnerable aquifers.  The area of the Kissimmee Basin with the highest number of above-MCL concentrations of nitrate in private wells is the Ridge Citrus Area, located along the basin’s western edge.  In the early </w:t>
      </w:r>
      <w:r w:rsidRPr="00D55A88">
        <w:t>1990s, FDACS</w:t>
      </w:r>
      <w:r>
        <w:t xml:space="preserve"> began implementing a BMP program for growers in the Ridge Citrus Area to use fertilizers more efficiently and reduce nitrate concentrations in ground water.  It is hoped that this program will eventually help to reduce the number of nitrate exceedances in wells in this area.</w:t>
      </w:r>
    </w:p>
    <w:p w:rsidR="00485094" w:rsidRPr="00C33E69" w:rsidRDefault="00485094" w:rsidP="005D2035">
      <w:pPr>
        <w:pStyle w:val="Bodytext"/>
        <w:rPr>
          <w:b/>
        </w:rPr>
      </w:pPr>
    </w:p>
    <w:p w:rsidR="00485094" w:rsidRPr="001302A3" w:rsidRDefault="00485094" w:rsidP="005D2035">
      <w:pPr>
        <w:pStyle w:val="Heading3"/>
      </w:pPr>
      <w:bookmarkStart w:id="682" w:name="_Toc257365074"/>
      <w:bookmarkStart w:id="683" w:name="_Toc271794389"/>
      <w:r w:rsidRPr="001302A3">
        <w:t>Primary Metals</w:t>
      </w:r>
      <w:bookmarkEnd w:id="682"/>
      <w:bookmarkEnd w:id="683"/>
    </w:p>
    <w:p w:rsidR="00485094" w:rsidRDefault="00485094" w:rsidP="005D2035">
      <w:pPr>
        <w:pStyle w:val="Bodytext"/>
      </w:pPr>
      <w:r>
        <w:t xml:space="preserve">Metals with primary drinking water MCLs include arsenic, barium, beryllium, cadmium, chromium, lead, mercury, nickel, and selenium.  </w:t>
      </w:r>
      <w:r w:rsidRPr="001568C8">
        <w:rPr>
          <w:b/>
          <w:i/>
        </w:rPr>
        <w:t xml:space="preserve">Table </w:t>
      </w:r>
      <w:r>
        <w:rPr>
          <w:b/>
          <w:i/>
        </w:rPr>
        <w:t>10.2b</w:t>
      </w:r>
      <w:r>
        <w:t xml:space="preserve"> summarizes the exceedances of MCLs for primary metals during the recent 2-year period.</w:t>
      </w:r>
    </w:p>
    <w:p w:rsidR="00485094" w:rsidRDefault="00485094" w:rsidP="005D2035">
      <w:pPr>
        <w:pStyle w:val="Bodytext"/>
      </w:pPr>
    </w:p>
    <w:p w:rsidR="00485094" w:rsidRDefault="00485094" w:rsidP="005D2035">
      <w:pPr>
        <w:pStyle w:val="Bodytext"/>
      </w:pPr>
      <w:r>
        <w:t xml:space="preserve">Approximately 1,000 of the 5,600 currently active public water systems have reported samples containing one or more primary metals exceeding an MCL, which may be misleading since elevated metals in public water systems are often due to the materials containing and conveying the water, rather than actual concentrations in ground water.  Metal well casings, piping, storage tanks, and plumbing fixtures, in addition to sampling techniques, often cause bias in the analysis of ground water samples for metals.  Lead and cadmium have historically been found most frequently at above-MCL concentrations in samples from public water systems, and both metals are very frequently associated with impurities in water distribution and storage systems.  Galvanized coatings on metal surfaces, paint, and lead solder are documented sources of metals contamination in water systems.  </w:t>
      </w:r>
    </w:p>
    <w:p w:rsidR="00485094" w:rsidRDefault="00485094" w:rsidP="005D2035">
      <w:pPr>
        <w:pStyle w:val="Bodytext"/>
      </w:pPr>
    </w:p>
    <w:p w:rsidR="00485094" w:rsidRDefault="00485094" w:rsidP="005D2035">
      <w:pPr>
        <w:pStyle w:val="Bodytext"/>
      </w:pPr>
      <w:r>
        <w:t xml:space="preserve">However, arsenic has more recently arisen as an issue.  The Tampa Bay Tributaries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have historically had the highest number of water systems reporting samples with above-MCL levels, primarily for lead and cadmium.  In the past 2 years, there have been 42 exceedances for metals in samples from public water systems that withdraw ground water, mainly for lead and arsenic.</w:t>
      </w:r>
    </w:p>
    <w:p w:rsidR="00485094" w:rsidRDefault="00485094" w:rsidP="005D2035">
      <w:pPr>
        <w:pStyle w:val="Bodytext"/>
      </w:pPr>
    </w:p>
    <w:p w:rsidR="00485094" w:rsidRDefault="00485094" w:rsidP="005D2035">
      <w:pPr>
        <w:pStyle w:val="Bodytext"/>
      </w:pPr>
      <w:r>
        <w:t xml:space="preserve">In samples from private drinking water wells, the metals most frequently exceeding MCLs are arsenic and lead, and there has been a significant increase in the number of samples with arsenic exceedances over the past 2 years.  The basins with the highest total number of </w:t>
      </w:r>
      <w:r>
        <w:lastRenderedPageBreak/>
        <w:t xml:space="preserve">exceedances for the recent 2-year period are Withlacoochee (385 wells), Suwannee (229), Tampa Bay Tributaries (203), and Springs Coast (179).  Lead, again, may be an artifact of well materials, piping, or plumbing fixtures, but arsenic is not typically associated with any of these.  The resampling of private water wells usually reveals that there is no actual ground water problem with lead.  </w:t>
      </w:r>
    </w:p>
    <w:p w:rsidR="00485094" w:rsidRDefault="00485094" w:rsidP="005D2035">
      <w:pPr>
        <w:pStyle w:val="Bodytext"/>
      </w:pPr>
    </w:p>
    <w:p w:rsidR="00485094" w:rsidRDefault="00485094" w:rsidP="005D2035">
      <w:pPr>
        <w:pStyle w:val="Bodytext"/>
      </w:pPr>
      <w:r>
        <w:t xml:space="preserve">However, arsenic concentrations are more frequently reflective of the actual ground water concentration.  The high number of recent arsenic exceedances can be explained by a greater focus on sampling for arsenic as a contaminant since the MCL was lowered from 50 to 10 </w:t>
      </w:r>
      <w:r>
        <w:rPr>
          <w:rFonts w:ascii="Symbol" w:hAnsi="Symbol"/>
        </w:rPr>
        <w:t></w:t>
      </w:r>
      <w:r>
        <w:t xml:space="preserve">g/L in 2004.  The results suggest that there may be a regional pattern of elevated arsenic in private wells in the southwestern part of the state and in the </w:t>
      </w:r>
      <w:smartTag w:uri="urn:schemas-microsoft-com:office:smarttags" w:element="PlaceName">
        <w:smartTag w:uri="urn:schemas-microsoft-com:office:smarttags" w:element="place">
          <w:r>
            <w:t>Suwannee</w:t>
          </w:r>
        </w:smartTag>
        <w:r>
          <w:t xml:space="preserve"> </w:t>
        </w:r>
        <w:smartTag w:uri="urn:schemas-microsoft-com:office:smarttags" w:element="PlaceType">
          <w:r>
            <w:t>Basin</w:t>
          </w:r>
        </w:smartTag>
      </w:smartTag>
      <w:r>
        <w:t xml:space="preserve"> that may be related to a natural abundance of arsenic in the geologic material in those regions.  </w:t>
      </w:r>
    </w:p>
    <w:p w:rsidR="00485094" w:rsidRDefault="00485094" w:rsidP="005D2035">
      <w:pPr>
        <w:pStyle w:val="Bodytext"/>
      </w:pPr>
    </w:p>
    <w:p w:rsidR="00485094" w:rsidRDefault="00485094" w:rsidP="005D2035">
      <w:pPr>
        <w:pStyle w:val="Bodytext"/>
      </w:pPr>
      <w:r w:rsidRPr="005D66EB">
        <w:t>The arsenic in ground</w:t>
      </w:r>
      <w:r>
        <w:t xml:space="preserve"> </w:t>
      </w:r>
      <w:r w:rsidRPr="005D66EB">
        <w:t>water may be naturally</w:t>
      </w:r>
      <w:r>
        <w:t xml:space="preserve"> </w:t>
      </w:r>
      <w:r w:rsidRPr="005D66EB">
        <w:t xml:space="preserve">occurring, </w:t>
      </w:r>
      <w:r>
        <w:t xml:space="preserve">of </w:t>
      </w:r>
      <w:r w:rsidRPr="005D66EB">
        <w:t>anthropogenic</w:t>
      </w:r>
      <w:r>
        <w:t xml:space="preserve"> origin</w:t>
      </w:r>
      <w:r w:rsidRPr="005D66EB">
        <w:t>, or released in</w:t>
      </w:r>
      <w:r>
        <w:t>to</w:t>
      </w:r>
      <w:r w:rsidRPr="005D66EB">
        <w:t xml:space="preserve"> ground water</w:t>
      </w:r>
      <w:r>
        <w:t xml:space="preserve"> because of human activities</w:t>
      </w:r>
      <w:r w:rsidRPr="005D66EB">
        <w:t xml:space="preserve">.  Throughout </w:t>
      </w:r>
      <w:smartTag w:uri="urn:schemas-microsoft-com:office:smarttags" w:element="State">
        <w:smartTag w:uri="urn:schemas-microsoft-com:office:smarttags" w:element="place">
          <w:r w:rsidRPr="005D66EB">
            <w:t>Florida</w:t>
          </w:r>
        </w:smartTag>
      </w:smartTag>
      <w:r w:rsidRPr="005D66EB">
        <w:t>, arsenic is a naturally</w:t>
      </w:r>
      <w:r>
        <w:t xml:space="preserve"> </w:t>
      </w:r>
      <w:r w:rsidRPr="005D66EB">
        <w:t xml:space="preserve">occurring, stable element associated with pyrite compounds, as well as with powellite compounds in </w:t>
      </w:r>
      <w:r>
        <w:t>some limestone formations in which ground water occurs</w:t>
      </w:r>
      <w:r w:rsidRPr="005D66EB">
        <w:t xml:space="preserve">. </w:t>
      </w:r>
      <w:r>
        <w:t xml:space="preserve"> </w:t>
      </w:r>
      <w:r w:rsidRPr="005D66EB">
        <w:t xml:space="preserve">Potential anthropogenic sources include arsenic-based pesticides applied to </w:t>
      </w:r>
      <w:r>
        <w:t xml:space="preserve">cotton fields, </w:t>
      </w:r>
      <w:r w:rsidRPr="005D66EB">
        <w:t>citrus groves</w:t>
      </w:r>
      <w:r>
        <w:t>,</w:t>
      </w:r>
      <w:r w:rsidRPr="005D66EB">
        <w:t xml:space="preserve"> golf courses, and cattle-dipping vats </w:t>
      </w:r>
      <w:r>
        <w:t xml:space="preserve">(which were </w:t>
      </w:r>
      <w:r w:rsidRPr="005D66EB">
        <w:t>use</w:t>
      </w:r>
      <w:r>
        <w:t>d</w:t>
      </w:r>
      <w:r w:rsidRPr="005D66EB">
        <w:t xml:space="preserve"> until the 1960s</w:t>
      </w:r>
      <w:r>
        <w:t>)</w:t>
      </w:r>
      <w:r w:rsidRPr="005D66EB">
        <w:t xml:space="preserve">. </w:t>
      </w:r>
      <w:r>
        <w:t xml:space="preserve"> </w:t>
      </w:r>
    </w:p>
    <w:p w:rsidR="00485094" w:rsidRDefault="00485094" w:rsidP="005D2035">
      <w:pPr>
        <w:pStyle w:val="Bodytext"/>
      </w:pPr>
    </w:p>
    <w:p w:rsidR="00485094" w:rsidRDefault="00485094" w:rsidP="005D2035">
      <w:pPr>
        <w:pStyle w:val="Bodytext"/>
      </w:pPr>
      <w:r w:rsidRPr="005D66EB">
        <w:t xml:space="preserve">Recent studies indicate that human disturbance that introduces water or oxygen into arsenic-bearing </w:t>
      </w:r>
      <w:r>
        <w:t>limestone</w:t>
      </w:r>
      <w:r w:rsidRPr="005D66EB">
        <w:t xml:space="preserve"> can lead </w:t>
      </w:r>
      <w:r>
        <w:t>to the release of soluble arsenic from the rock matrix</w:t>
      </w:r>
      <w:r w:rsidRPr="005D66EB">
        <w:t xml:space="preserve">.  Activities such as mining, well drilling, </w:t>
      </w:r>
      <w:r>
        <w:t xml:space="preserve">Aquifer Storage and Recovery (ASR), </w:t>
      </w:r>
      <w:r w:rsidRPr="005D66EB">
        <w:t>or overpumping have all been shown to release previously</w:t>
      </w:r>
      <w:r>
        <w:t xml:space="preserve"> </w:t>
      </w:r>
      <w:r w:rsidRPr="005D66EB">
        <w:t>stable arsenic into ground</w:t>
      </w:r>
      <w:r>
        <w:t xml:space="preserve"> </w:t>
      </w:r>
      <w:r w:rsidRPr="005D66EB">
        <w:t>water.</w:t>
      </w:r>
      <w:r>
        <w:t xml:space="preserve"> </w:t>
      </w:r>
      <w:r w:rsidRPr="005D66EB">
        <w:t xml:space="preserve"> In addition, drought can lower the water table, allowing oxygen to permeate and leach arsenic compounds from sediments.</w:t>
      </w:r>
      <w:r>
        <w:t xml:space="preserve">  </w:t>
      </w:r>
    </w:p>
    <w:p w:rsidR="00485094" w:rsidRPr="005D66EB" w:rsidRDefault="00485094" w:rsidP="005D2035">
      <w:pPr>
        <w:pStyle w:val="Bodytext"/>
      </w:pPr>
    </w:p>
    <w:p w:rsidR="00485094" w:rsidRPr="005D66EB" w:rsidRDefault="00485094" w:rsidP="005D2035">
      <w:pPr>
        <w:pStyle w:val="Bodytext"/>
      </w:pPr>
      <w:r w:rsidRPr="005D66EB">
        <w:t xml:space="preserve">To address this critical issue, </w:t>
      </w:r>
      <w:r>
        <w:t>F</w:t>
      </w:r>
      <w:r w:rsidRPr="005D66EB">
        <w:t xml:space="preserve">DEP’s </w:t>
      </w:r>
      <w:hyperlink r:id="rId156" w:history="1">
        <w:r w:rsidRPr="0069149E">
          <w:rPr>
            <w:rStyle w:val="Hyperlink"/>
          </w:rPr>
          <w:t>Watershed Monitorin</w:t>
        </w:r>
        <w:r>
          <w:rPr>
            <w:rStyle w:val="Hyperlink"/>
          </w:rPr>
          <w:t>g Section</w:t>
        </w:r>
      </w:hyperlink>
      <w:r w:rsidRPr="005D66EB">
        <w:t xml:space="preserve">, the </w:t>
      </w:r>
      <w:hyperlink r:id="rId157" w:history="1">
        <w:r w:rsidRPr="0069149E">
          <w:rPr>
            <w:rStyle w:val="Hyperlink"/>
          </w:rPr>
          <w:t>Florida Geological Survey</w:t>
        </w:r>
      </w:hyperlink>
      <w:r w:rsidRPr="005D66EB">
        <w:t xml:space="preserve">, and the </w:t>
      </w:r>
      <w:hyperlink r:id="rId158" w:history="1">
        <w:r w:rsidRPr="0069149E">
          <w:rPr>
            <w:rStyle w:val="Hyperlink"/>
          </w:rPr>
          <w:t>Southwest Florida Water Management District</w:t>
        </w:r>
      </w:hyperlink>
      <w:r w:rsidRPr="005D66EB">
        <w:t xml:space="preserve"> </w:t>
      </w:r>
      <w:r>
        <w:t xml:space="preserve">began </w:t>
      </w:r>
      <w:r w:rsidRPr="005D66EB">
        <w:t>a focused fiv</w:t>
      </w:r>
      <w:r>
        <w:t>e-year arsenic study in 2008 in a four-</w:t>
      </w:r>
      <w:r w:rsidRPr="005D66EB">
        <w:t>county area of southwest Florida</w:t>
      </w:r>
      <w:r>
        <w:t xml:space="preserve"> when funding becomes available</w:t>
      </w:r>
      <w:r w:rsidRPr="005D66EB">
        <w:t xml:space="preserve">. </w:t>
      </w:r>
      <w:r>
        <w:t xml:space="preserve"> </w:t>
      </w:r>
      <w:r w:rsidRPr="005D66EB">
        <w:t>This initiative</w:t>
      </w:r>
      <w:r>
        <w:t xml:space="preserve">, designed to </w:t>
      </w:r>
      <w:r w:rsidRPr="005D66EB">
        <w:t xml:space="preserve"> evaluate the effect of land use, aquifer lithology</w:t>
      </w:r>
      <w:r>
        <w:t>,</w:t>
      </w:r>
      <w:r w:rsidRPr="005D66EB">
        <w:t xml:space="preserve"> and water levels, or the interaction of all three on arsenic levels in ground</w:t>
      </w:r>
      <w:r>
        <w:t xml:space="preserve"> </w:t>
      </w:r>
      <w:r w:rsidRPr="005D66EB">
        <w:t xml:space="preserve">water, </w:t>
      </w:r>
      <w:r>
        <w:t xml:space="preserve">has been partially completed, and is seeking funding for study completion.  The primary goal of this study is to </w:t>
      </w:r>
      <w:r w:rsidRPr="005D66EB">
        <w:t xml:space="preserve">develop a predictive model to preclude placing potable water wells in areas </w:t>
      </w:r>
      <w:r>
        <w:t>with</w:t>
      </w:r>
      <w:r w:rsidRPr="005D66EB">
        <w:t xml:space="preserve"> high arsenic-leaching potential.</w:t>
      </w:r>
    </w:p>
    <w:p w:rsidR="00485094" w:rsidRPr="006142CD" w:rsidRDefault="00485094" w:rsidP="00C33E69">
      <w:pPr>
        <w:pStyle w:val="Bodytextreduced"/>
      </w:pPr>
    </w:p>
    <w:p w:rsidR="00485094" w:rsidRDefault="00485094" w:rsidP="005D2035">
      <w:pPr>
        <w:pStyle w:val="Heading3"/>
      </w:pPr>
      <w:bookmarkStart w:id="684" w:name="_Toc257365075"/>
      <w:bookmarkStart w:id="685" w:name="_Toc271794390"/>
      <w:r>
        <w:t>Saline Water</w:t>
      </w:r>
      <w:bookmarkEnd w:id="684"/>
      <w:bookmarkEnd w:id="685"/>
      <w:r>
        <w:t xml:space="preserve"> </w:t>
      </w:r>
    </w:p>
    <w:p w:rsidR="00485094" w:rsidRDefault="00485094" w:rsidP="005D2035">
      <w:pPr>
        <w:pStyle w:val="Bodytext"/>
      </w:pPr>
      <w:r>
        <w:t xml:space="preserve">The intrusion of saline water has been a well-documented concern in some coastal areas of the state where a wedge of salt water migrates laterally inshore as pumping from supply wells increases.  However, recent data indicate that these are not currently the areas with the most issues for wells used for potable supply.  In other areas that lie farther inland, the upconing of brackish water from deeper zones seems to be more of an issue.  In this assessment, an exceedance of the MCL for sodium was used as an indicator of possible saline water intrusion or upconing.  </w:t>
      </w:r>
      <w:r w:rsidRPr="005B73FB">
        <w:rPr>
          <w:b/>
          <w:i/>
        </w:rPr>
        <w:t xml:space="preserve">Table </w:t>
      </w:r>
      <w:r>
        <w:rPr>
          <w:b/>
          <w:i/>
        </w:rPr>
        <w:t>10.2b</w:t>
      </w:r>
      <w:r>
        <w:t xml:space="preserve"> summarizes these results.</w:t>
      </w:r>
    </w:p>
    <w:p w:rsidR="00485094" w:rsidRDefault="00485094" w:rsidP="005D2035">
      <w:pPr>
        <w:pStyle w:val="Bodytext"/>
      </w:pPr>
    </w:p>
    <w:p w:rsidR="00485094" w:rsidRDefault="00485094" w:rsidP="005D2035">
      <w:pPr>
        <w:pStyle w:val="Bodytext"/>
      </w:pPr>
      <w:r>
        <w:t xml:space="preserve">Historically, elevated sodium concentrations were found in samples from public water systems in the Tampa Bay Tributaries, Middle St. Johns, and </w:t>
      </w:r>
      <w:smartTag w:uri="urn:schemas-microsoft-com:office:smarttags" w:element="PlaceName">
        <w:smartTag w:uri="urn:schemas-microsoft-com:office:smarttags" w:element="place">
          <w:r>
            <w:t>Ocklawaha</w:t>
          </w:r>
        </w:smartTag>
        <w:r>
          <w:t xml:space="preserve"> </w:t>
        </w:r>
        <w:smartTag w:uri="urn:schemas-microsoft-com:office:smarttags" w:element="PlaceType">
          <w:r>
            <w:t>Basins</w:t>
          </w:r>
        </w:smartTag>
      </w:smartTag>
      <w:r>
        <w:t xml:space="preserve">.  Public drinking water supplies in the three basins with the highest number of sodium exceedances are in high-growth areas of the state where consumptive use is beginning to exceed aquifer capacity.  In these basins, overpumping has resulted in upconing from deeper zones in the Floridan aquifer that </w:t>
      </w:r>
      <w:r>
        <w:lastRenderedPageBreak/>
        <w:t xml:space="preserve">are saline.  The increase in population in many of these areas is creating stress on potable ground water supplies, and water resource managers and public water utilities have begun to look for alternative supplies to continue providing potable water to their customers.  </w:t>
      </w:r>
    </w:p>
    <w:p w:rsidR="00485094" w:rsidRDefault="00485094" w:rsidP="005D2035">
      <w:pPr>
        <w:pStyle w:val="Bodytext"/>
      </w:pPr>
    </w:p>
    <w:p w:rsidR="00485094" w:rsidRDefault="00485094" w:rsidP="005D2035">
      <w:pPr>
        <w:pStyle w:val="Bodytext"/>
      </w:pPr>
      <w:r>
        <w:t>Although private wells are not frequently sampled for sodium, historical data show that private well samples in the Lower St. Johns, Middle St. Johns, and Sarasota Bay–Peace–Myakka (11 wells) Basins have exceeded the MCL for sodium.  Data from the recent 2-year period do not indicate any sharp increase in numbers of sodium MCL exceedances for either public water systems or private wells (although, with limited data).  Over the past 2 years, there have been 38 systems with samples from public water systems and 4 private wells with exceedances for sodium.</w:t>
      </w:r>
    </w:p>
    <w:p w:rsidR="00485094" w:rsidRDefault="00485094" w:rsidP="00C33E69">
      <w:pPr>
        <w:pStyle w:val="Bodytextreduced"/>
      </w:pPr>
    </w:p>
    <w:p w:rsidR="00485094" w:rsidRDefault="00485094" w:rsidP="005D2035">
      <w:pPr>
        <w:pStyle w:val="Heading3"/>
      </w:pPr>
      <w:bookmarkStart w:id="686" w:name="_Toc257365076"/>
      <w:bookmarkStart w:id="687" w:name="_Toc271794391"/>
      <w:r>
        <w:t>Radionuclides</w:t>
      </w:r>
      <w:bookmarkEnd w:id="686"/>
      <w:bookmarkEnd w:id="687"/>
    </w:p>
    <w:p w:rsidR="00485094" w:rsidRPr="00E635DD" w:rsidRDefault="00485094" w:rsidP="005D2035">
      <w:pPr>
        <w:pStyle w:val="Bodytext"/>
      </w:pPr>
      <w:r w:rsidRPr="00E635DD">
        <w:t xml:space="preserve">In </w:t>
      </w:r>
      <w:smartTag w:uri="urn:schemas-microsoft-com:office:smarttags" w:element="State">
        <w:smartTag w:uri="urn:schemas-microsoft-com:office:smarttags" w:element="place">
          <w:r w:rsidRPr="00E635DD">
            <w:t>Florida</w:t>
          </w:r>
        </w:smartTag>
      </w:smartTag>
      <w:r w:rsidRPr="00E635DD">
        <w:t xml:space="preserve">, </w:t>
      </w:r>
      <w:r>
        <w:t xml:space="preserve">most </w:t>
      </w:r>
      <w:r w:rsidRPr="00E635DD">
        <w:t xml:space="preserve">elevated radionuclide levels are </w:t>
      </w:r>
      <w:r>
        <w:t>due to natural conditions, but these conditions may</w:t>
      </w:r>
      <w:r w:rsidRPr="00E635DD">
        <w:t xml:space="preserve"> still </w:t>
      </w:r>
      <w:r>
        <w:t>result in MCL exceedances and a potential</w:t>
      </w:r>
      <w:r w:rsidRPr="00E635DD">
        <w:t xml:space="preserve"> health concern.  Radionuclides occur naturally as trace elements in rocks and soils as a consequence of the radioactive decay</w:t>
      </w:r>
      <w:r>
        <w:t xml:space="preserve"> </w:t>
      </w:r>
      <w:r w:rsidRPr="00E635DD">
        <w:t>of uranium-238 (U-238) and</w:t>
      </w:r>
      <w:r>
        <w:t xml:space="preserve"> </w:t>
      </w:r>
      <w:r w:rsidRPr="00E635DD">
        <w:t xml:space="preserve">thorium-232 (Th-232).  </w:t>
      </w:r>
      <w:r>
        <w:t>Elevated radionuclide levels</w:t>
      </w:r>
      <w:r w:rsidRPr="00E635DD">
        <w:t xml:space="preserve"> occur most commonly </w:t>
      </w:r>
      <w:r>
        <w:t>from</w:t>
      </w:r>
      <w:r w:rsidRPr="00E635DD">
        <w:t xml:space="preserve"> phosphate that </w:t>
      </w:r>
      <w:r>
        <w:t>is</w:t>
      </w:r>
      <w:r w:rsidRPr="00E635DD">
        <w:t xml:space="preserve"> prevalent in Miocene-age clay deposits </w:t>
      </w:r>
      <w:r>
        <w:t xml:space="preserve">present </w:t>
      </w:r>
      <w:r w:rsidRPr="00E635DD">
        <w:t>throughout much of the state.  Radionuclides measured in ground water include gross Alpha, gross Beta, radium 226, and radium 228.  Gross Alpha is the most commonly measured parameter.</w:t>
      </w:r>
      <w:r>
        <w:t xml:space="preserve">  </w:t>
      </w:r>
      <w:r w:rsidRPr="005B73FB">
        <w:rPr>
          <w:b/>
          <w:i/>
        </w:rPr>
        <w:t xml:space="preserve">Table </w:t>
      </w:r>
      <w:r>
        <w:rPr>
          <w:b/>
          <w:i/>
        </w:rPr>
        <w:t>10.2b</w:t>
      </w:r>
      <w:r>
        <w:t xml:space="preserve"> summarizes radionuclide MCL exceedances in water from public water systems.  There have been no samples collected from private wells for radionuclides in the past 2 years.</w:t>
      </w:r>
    </w:p>
    <w:p w:rsidR="00485094" w:rsidRDefault="00485094" w:rsidP="005D2035">
      <w:pPr>
        <w:pStyle w:val="Bodytext"/>
      </w:pPr>
    </w:p>
    <w:p w:rsidR="00485094" w:rsidRDefault="00485094" w:rsidP="005D2035">
      <w:pPr>
        <w:pStyle w:val="Bodytext"/>
      </w:pPr>
      <w:r>
        <w:t xml:space="preserve">Historically, public water systems in the west-central area of the state have most frequently had MCL exceedances for radionuclides.  The Sarasota Bay–Peace–Myakka, Tampa Bay Tributaries, and </w:t>
      </w:r>
      <w:smartTag w:uri="urn:schemas-microsoft-com:office:smarttags" w:element="PlaceName">
        <w:r>
          <w:t>Kissimmee</w:t>
        </w:r>
      </w:smartTag>
      <w:r>
        <w:t xml:space="preserve"> Basins have historically had the most radionuclide issues.  These basins include one of the three largest phosphate-mining areas in the world which encompasses large areas of Manatee, Sarasota, Polk, and Hillsborough Counties.  FDOH infrequently samples private wells for radionuclides, and there are no private well data from the recent two-year period.  Historically, based on limited data, the highest number of MCL exceedances in private wells was in the Tampa Bay Tributaries Basin.</w:t>
      </w:r>
    </w:p>
    <w:p w:rsidR="00485094" w:rsidRDefault="00485094" w:rsidP="00C33E69">
      <w:pPr>
        <w:pStyle w:val="Bodytextreduced"/>
      </w:pPr>
    </w:p>
    <w:p w:rsidR="00485094" w:rsidRDefault="00485094" w:rsidP="005D2035">
      <w:pPr>
        <w:pStyle w:val="Heading3"/>
      </w:pPr>
      <w:bookmarkStart w:id="688" w:name="_Toc257365077"/>
      <w:bookmarkStart w:id="689" w:name="_Toc271794392"/>
      <w:r>
        <w:t>Trihalomethanes</w:t>
      </w:r>
      <w:bookmarkEnd w:id="688"/>
      <w:bookmarkEnd w:id="689"/>
    </w:p>
    <w:p w:rsidR="00485094" w:rsidRPr="00644870" w:rsidRDefault="00485094" w:rsidP="005D2035">
      <w:pPr>
        <w:pStyle w:val="Bodytext"/>
      </w:pPr>
      <w:r>
        <w:t xml:space="preserve">Chlorination is a disinfection treatment practiced by public water systems to kill potentially harmful bacteria.  Unlike a number of states, Florida requires public water systems to provide disinfection.  Trihalomethanes (THMs) are an unfortunate byproduct of chlorinating source water that contains organic matter.  </w:t>
      </w:r>
      <w:r w:rsidRPr="00644870">
        <w:t>Chloroform, dibromochloromethane, bromodichloromethane, and bromoform</w:t>
      </w:r>
      <w:r>
        <w:t xml:space="preserve"> are the most common THMs found in treated water.  Basins with public water systems experiencing the most issues with THMs over the recent 2-year period (based on primary MCL exceedances for “total THMs”) include Middle St. Johns, Kissimmee River, Lower St. Johns and Sarasota–Peace–Myakka.  Some public water systems are using alternative disinfection methods (such as the use of chloramine) to reduce or eliminate the creation of THMs.</w:t>
      </w:r>
    </w:p>
    <w:p w:rsidR="00485094" w:rsidRPr="008A3478" w:rsidRDefault="00485094" w:rsidP="00C33E69">
      <w:pPr>
        <w:pStyle w:val="Bodytextreduced"/>
      </w:pPr>
    </w:p>
    <w:p w:rsidR="00485094" w:rsidRDefault="00485094" w:rsidP="005D2035">
      <w:pPr>
        <w:pStyle w:val="Heading3"/>
      </w:pPr>
      <w:bookmarkStart w:id="690" w:name="_Toc257365078"/>
      <w:bookmarkStart w:id="691" w:name="_Toc271794393"/>
      <w:r>
        <w:t>Bacteria (Coliform)</w:t>
      </w:r>
      <w:bookmarkEnd w:id="690"/>
      <w:bookmarkEnd w:id="691"/>
    </w:p>
    <w:p w:rsidR="00485094" w:rsidRDefault="00485094" w:rsidP="005D2035">
      <w:pPr>
        <w:pStyle w:val="Bodytext"/>
      </w:pPr>
      <w:r>
        <w:t xml:space="preserve">Bacteria are not typically a concern to public water systems, because the water is disinfected before distribution.  However, the bacterial contamination of private wells is an ongoing issue that is being addressed by FDOH.  Unfortunately, the number of bacterial exceedances in </w:t>
      </w:r>
      <w:r>
        <w:lastRenderedPageBreak/>
        <w:t>private drinking water wells is poorly documented and not maintained in a central database.  Of all water quality issues evaluated, bacterial contamination, as indicated by elevated total coliform counts, is one of the most prevalent issues in ground water samples collected from monitoring wells (</w:t>
      </w:r>
      <w:r w:rsidRPr="00D55A88">
        <w:rPr>
          <w:b/>
          <w:i/>
        </w:rPr>
        <w:t xml:space="preserve">Table </w:t>
      </w:r>
      <w:r>
        <w:rPr>
          <w:b/>
          <w:i/>
        </w:rPr>
        <w:t>10.1</w:t>
      </w:r>
      <w:r>
        <w:t xml:space="preserve">).  </w:t>
      </w:r>
    </w:p>
    <w:p w:rsidR="00485094" w:rsidRDefault="00485094" w:rsidP="005D2035">
      <w:pPr>
        <w:pStyle w:val="Bodytext"/>
      </w:pPr>
    </w:p>
    <w:p w:rsidR="00485094" w:rsidRDefault="00485094" w:rsidP="005D2035">
      <w:pPr>
        <w:pStyle w:val="Bodytext"/>
      </w:pPr>
      <w:r>
        <w:t xml:space="preserve">However, the significance of these findings must still be determined.  High </w:t>
      </w:r>
      <w:proofErr w:type="spellStart"/>
      <w:r>
        <w:t>bacterial</w:t>
      </w:r>
      <w:proofErr w:type="spellEnd"/>
      <w:r>
        <w:t xml:space="preserve"> counts may be caused by improper well construction, poor hygiene at the wellhead, animal waste or septic tank issues and/or flooding, and the surface water infiltration of a water system.  These considerations highlight the fact that individual well assessments are necessary, and that in many cases, bacterial contamination is localized and may not be an issue outside of the individual wells themselves.</w:t>
      </w:r>
    </w:p>
    <w:p w:rsidR="00485094" w:rsidRDefault="00485094" w:rsidP="00C33E69">
      <w:pPr>
        <w:pStyle w:val="Bodytextreduced"/>
      </w:pPr>
    </w:p>
    <w:p w:rsidR="00485094" w:rsidRPr="00635B59" w:rsidRDefault="00485094" w:rsidP="00EE77CC">
      <w:pPr>
        <w:pStyle w:val="Heading2"/>
      </w:pPr>
      <w:bookmarkStart w:id="692" w:name="_Toc209241288"/>
      <w:bookmarkStart w:id="693" w:name="_Toc255822577"/>
      <w:bookmarkStart w:id="694" w:name="_Toc262484193"/>
      <w:bookmarkStart w:id="695" w:name="_Toc271794394"/>
      <w:r w:rsidRPr="00635B59">
        <w:t>Summary of Ground Water Contaminant Sources</w:t>
      </w:r>
      <w:bookmarkEnd w:id="692"/>
      <w:bookmarkEnd w:id="693"/>
      <w:bookmarkEnd w:id="694"/>
      <w:bookmarkEnd w:id="695"/>
      <w:r w:rsidRPr="00635B59">
        <w:t xml:space="preserve"> </w:t>
      </w:r>
    </w:p>
    <w:p w:rsidR="00485094" w:rsidRDefault="00485094" w:rsidP="00EE77CC">
      <w:pPr>
        <w:pStyle w:val="Bodytext"/>
      </w:pPr>
      <w:r w:rsidRPr="00D11D8A">
        <w:t>The</w:t>
      </w:r>
      <w:r>
        <w:t xml:space="preserve"> EPA’s </w:t>
      </w:r>
      <w:r w:rsidRPr="009240A1">
        <w:rPr>
          <w:i/>
        </w:rPr>
        <w:t>2004</w:t>
      </w:r>
      <w:r>
        <w:t xml:space="preserve"> </w:t>
      </w:r>
      <w:r w:rsidRPr="009240A1">
        <w:rPr>
          <w:i/>
        </w:rPr>
        <w:t>Florida Source Water Assessment</w:t>
      </w:r>
      <w:r w:rsidRPr="00D11D8A">
        <w:t xml:space="preserve"> identified the top five potential sources of contami</w:t>
      </w:r>
      <w:r>
        <w:t>nation in Florida</w:t>
      </w:r>
      <w:r w:rsidRPr="00D11D8A">
        <w:t>.</w:t>
      </w:r>
      <w:r>
        <w:t xml:space="preserve"> </w:t>
      </w:r>
      <w:r w:rsidRPr="00D11D8A">
        <w:t xml:space="preserve"> These </w:t>
      </w:r>
      <w:r>
        <w:t>are</w:t>
      </w:r>
      <w:r w:rsidRPr="00D11D8A">
        <w:t xml:space="preserve"> </w:t>
      </w:r>
      <w:r>
        <w:t>(</w:t>
      </w:r>
      <w:r w:rsidRPr="00D11D8A">
        <w:t>1) underground storage tanks (not leaking)</w:t>
      </w:r>
      <w:r>
        <w:t>,</w:t>
      </w:r>
      <w:r w:rsidRPr="00D11D8A">
        <w:t xml:space="preserve"> </w:t>
      </w:r>
      <w:r>
        <w:t>(</w:t>
      </w:r>
      <w:r w:rsidRPr="00D11D8A">
        <w:t>2) gasoline service stations (includ</w:t>
      </w:r>
      <w:r>
        <w:t>ing</w:t>
      </w:r>
      <w:r w:rsidRPr="00D11D8A">
        <w:t xml:space="preserve"> historic</w:t>
      </w:r>
      <w:r>
        <w:t>al</w:t>
      </w:r>
      <w:r w:rsidRPr="00D11D8A">
        <w:t xml:space="preserve"> gas stations)</w:t>
      </w:r>
      <w:r>
        <w:t>,</w:t>
      </w:r>
      <w:r w:rsidRPr="00D11D8A">
        <w:t xml:space="preserve"> </w:t>
      </w:r>
      <w:r>
        <w:t>(</w:t>
      </w:r>
      <w:r w:rsidRPr="00D11D8A">
        <w:t>3) municipal sanitary waste treatment and disposal (commercial, domestic</w:t>
      </w:r>
      <w:r>
        <w:t>,</w:t>
      </w:r>
      <w:r w:rsidRPr="00D11D8A">
        <w:t xml:space="preserve"> and industrial waste)</w:t>
      </w:r>
      <w:r>
        <w:t>,</w:t>
      </w:r>
      <w:r w:rsidRPr="00D11D8A">
        <w:t xml:space="preserve"> </w:t>
      </w:r>
      <w:r>
        <w:t>(</w:t>
      </w:r>
      <w:r w:rsidRPr="00D11D8A">
        <w:t xml:space="preserve">4) known contamination sites/plumes (equivalent to </w:t>
      </w:r>
      <w:r>
        <w:t>FDEP’s</w:t>
      </w:r>
      <w:r w:rsidRPr="00D11D8A">
        <w:t xml:space="preserve"> delineated areas)</w:t>
      </w:r>
      <w:r>
        <w:t>,</w:t>
      </w:r>
      <w:r w:rsidRPr="00D11D8A">
        <w:t xml:space="preserve"> and </w:t>
      </w:r>
      <w:r>
        <w:t>(</w:t>
      </w:r>
      <w:r w:rsidRPr="00D11D8A">
        <w:t xml:space="preserve">5) </w:t>
      </w:r>
      <w:proofErr w:type="spellStart"/>
      <w:r w:rsidRPr="00D11D8A">
        <w:t>drycleaning</w:t>
      </w:r>
      <w:proofErr w:type="spellEnd"/>
      <w:r w:rsidRPr="00D11D8A">
        <w:t xml:space="preserve"> facilities.  Several of these have commonly been the focus of waste cleanup and monitoring activities in Florida.  </w:t>
      </w:r>
    </w:p>
    <w:p w:rsidR="00485094" w:rsidRDefault="00485094" w:rsidP="00EE77CC">
      <w:pPr>
        <w:pStyle w:val="Bodytext"/>
      </w:pPr>
    </w:p>
    <w:p w:rsidR="00485094" w:rsidRDefault="00485094" w:rsidP="00EE77CC">
      <w:pPr>
        <w:pStyle w:val="Bodytext"/>
      </w:pPr>
      <w:r w:rsidRPr="00D11D8A">
        <w:t xml:space="preserve">However, there are also instances where ground water has </w:t>
      </w:r>
      <w:r>
        <w:t>been degraded</w:t>
      </w:r>
      <w:r w:rsidRPr="00D11D8A">
        <w:t xml:space="preserve"> as the result of nonpoint activities.  </w:t>
      </w:r>
      <w:r>
        <w:t>This section discusses</w:t>
      </w:r>
      <w:r w:rsidRPr="00D11D8A">
        <w:t xml:space="preserve"> the most significant ground water degradation sources</w:t>
      </w:r>
      <w:r>
        <w:t>,</w:t>
      </w:r>
      <w:r w:rsidRPr="00D11D8A">
        <w:t xml:space="preserve"> based on waste cleanup, monitoring, and restoration actions taken by </w:t>
      </w:r>
      <w:r>
        <w:rPr>
          <w:color w:val="333333"/>
        </w:rPr>
        <w:t>FDEP</w:t>
      </w:r>
      <w:r w:rsidRPr="00D11D8A">
        <w:t xml:space="preserve"> and other agencies conce</w:t>
      </w:r>
      <w:r>
        <w:t>rned with ground water quality.</w:t>
      </w:r>
    </w:p>
    <w:p w:rsidR="00485094" w:rsidRPr="003A4461" w:rsidRDefault="00485094" w:rsidP="00C33E69">
      <w:pPr>
        <w:pStyle w:val="Bodytextreduced"/>
      </w:pPr>
    </w:p>
    <w:p w:rsidR="00485094" w:rsidRDefault="00485094" w:rsidP="00EE77CC">
      <w:pPr>
        <w:pStyle w:val="Heading3"/>
      </w:pPr>
      <w:bookmarkStart w:id="696" w:name="_Toc209241289"/>
      <w:bookmarkStart w:id="697" w:name="_Toc255822578"/>
      <w:bookmarkStart w:id="698" w:name="_Toc262484194"/>
      <w:bookmarkStart w:id="699" w:name="_Toc271794395"/>
      <w:r>
        <w:t>Petroleum Facilities</w:t>
      </w:r>
      <w:bookmarkEnd w:id="696"/>
      <w:bookmarkEnd w:id="697"/>
      <w:bookmarkEnd w:id="698"/>
      <w:bookmarkEnd w:id="699"/>
    </w:p>
    <w:p w:rsidR="00485094" w:rsidRDefault="00485094" w:rsidP="00EE77CC">
      <w:pPr>
        <w:pStyle w:val="Bodytext"/>
      </w:pPr>
      <w:r>
        <w:t>FDEP</w:t>
      </w:r>
      <w:r w:rsidRPr="00EF31B5">
        <w:t xml:space="preserve">’s </w:t>
      </w:r>
      <w:hyperlink r:id="rId159" w:history="1">
        <w:r w:rsidRPr="0069149E">
          <w:rPr>
            <w:rStyle w:val="Hyperlink"/>
          </w:rPr>
          <w:t>Storage Tank Contamination Monitoring (STCM) database</w:t>
        </w:r>
      </w:hyperlink>
      <w:r w:rsidRPr="00EF31B5">
        <w:t xml:space="preserve"> contains information on all storage tank facilities registered with </w:t>
      </w:r>
      <w:r>
        <w:t xml:space="preserve">FDEP </w:t>
      </w:r>
      <w:r w:rsidRPr="00EF31B5">
        <w:t xml:space="preserve">and tracked for active storage tanks, storage tank history, or petroleum cleanup activity.  </w:t>
      </w:r>
      <w:r>
        <w:t xml:space="preserve">Currently, the STCM database lists </w:t>
      </w:r>
      <w:r w:rsidRPr="00EF31B5">
        <w:t>approximately 6</w:t>
      </w:r>
      <w:r>
        <w:t>3,5</w:t>
      </w:r>
      <w:r w:rsidRPr="00EF31B5">
        <w:t xml:space="preserve">00 </w:t>
      </w:r>
      <w:r>
        <w:t xml:space="preserve">registered </w:t>
      </w:r>
      <w:r w:rsidRPr="00EF31B5">
        <w:t xml:space="preserve">petroleum storage </w:t>
      </w:r>
      <w:r>
        <w:t>tanks, and it shows that approximately 14,8</w:t>
      </w:r>
      <w:r w:rsidRPr="00EF31B5">
        <w:t xml:space="preserve">00 </w:t>
      </w:r>
      <w:r>
        <w:t xml:space="preserve">storage tank facilities </w:t>
      </w:r>
      <w:r w:rsidRPr="00EF31B5">
        <w:t>have documented ground water contamination</w:t>
      </w:r>
      <w:r>
        <w:t xml:space="preserve"> by petroleum constituents.  Petroleum sites and petroleum problems are concentrated in the most populated areas of the state, as well as along major transportation corridors.  The main petroleum constituents found in ground water are benzene, toluene, </w:t>
      </w:r>
      <w:proofErr w:type="spellStart"/>
      <w:r>
        <w:t>ethylbenzene</w:t>
      </w:r>
      <w:proofErr w:type="spellEnd"/>
      <w:r>
        <w:t xml:space="preserve">, </w:t>
      </w:r>
      <w:proofErr w:type="spellStart"/>
      <w:r>
        <w:t>xylenes</w:t>
      </w:r>
      <w:proofErr w:type="spellEnd"/>
      <w:r>
        <w:t xml:space="preserve">, and methyl </w:t>
      </w:r>
      <w:proofErr w:type="spellStart"/>
      <w:r>
        <w:t>tert</w:t>
      </w:r>
      <w:proofErr w:type="spellEnd"/>
      <w:r>
        <w:t>-butyl ether.  Contaminants at older petroleum sites may also contain lead and EDB.</w:t>
      </w:r>
    </w:p>
    <w:p w:rsidR="00485094" w:rsidRDefault="00485094" w:rsidP="00EE77CC">
      <w:pPr>
        <w:pStyle w:val="Bodytext"/>
      </w:pPr>
    </w:p>
    <w:p w:rsidR="00485094" w:rsidRDefault="00485094" w:rsidP="00EE77CC">
      <w:pPr>
        <w:pStyle w:val="Bodytext"/>
      </w:pPr>
      <w:r w:rsidRPr="00E56C5D">
        <w:t>Florida</w:t>
      </w:r>
      <w:r>
        <w:t>’s</w:t>
      </w:r>
      <w:r w:rsidRPr="00E56C5D">
        <w:t xml:space="preserve"> </w:t>
      </w:r>
      <w:hyperlink r:id="rId160" w:history="1">
        <w:r w:rsidRPr="0069149E">
          <w:rPr>
            <w:rStyle w:val="Hyperlink"/>
          </w:rPr>
          <w:t>Petroleum Cleanup Program</w:t>
        </w:r>
      </w:hyperlink>
      <w:r w:rsidRPr="00E56C5D">
        <w:t xml:space="preserve"> encompasses the technical oversight, management, and administrative activities necessary to prioritize, assess, and </w:t>
      </w:r>
      <w:proofErr w:type="spellStart"/>
      <w:r w:rsidRPr="00E56C5D">
        <w:t>clean</w:t>
      </w:r>
      <w:r>
        <w:t xml:space="preserve"> </w:t>
      </w:r>
      <w:r w:rsidRPr="00E56C5D">
        <w:t>up</w:t>
      </w:r>
      <w:proofErr w:type="spellEnd"/>
      <w:r w:rsidRPr="00E56C5D">
        <w:t xml:space="preserve"> sites contaminated by </w:t>
      </w:r>
      <w:r>
        <w:t xml:space="preserve">the </w:t>
      </w:r>
      <w:r w:rsidRPr="00E56C5D">
        <w:t xml:space="preserve">discharges of petroleum and petroleum products from stationary petroleum storage systems. </w:t>
      </w:r>
      <w:r>
        <w:t xml:space="preserve"> </w:t>
      </w:r>
      <w:r w:rsidRPr="00E56C5D">
        <w:t xml:space="preserve">These include sites determined </w:t>
      </w:r>
      <w:r>
        <w:t xml:space="preserve">to be </w:t>
      </w:r>
      <w:r w:rsidRPr="00E56C5D">
        <w:t>eligible for state</w:t>
      </w:r>
      <w:r>
        <w:t>-</w:t>
      </w:r>
      <w:r w:rsidRPr="00E56C5D">
        <w:t>funded cleanup using preapprov</w:t>
      </w:r>
      <w:r>
        <w:t>ed</w:t>
      </w:r>
      <w:r w:rsidRPr="00E56C5D">
        <w:t xml:space="preserve"> contractors designated by the property owner or responsible party and state lead contractors under direct contract with </w:t>
      </w:r>
      <w:r>
        <w:t>FDEP</w:t>
      </w:r>
      <w:r w:rsidRPr="00E56C5D">
        <w:t xml:space="preserve">, as well as </w:t>
      </w:r>
      <w:proofErr w:type="spellStart"/>
      <w:r w:rsidRPr="00E56C5D">
        <w:t>nonprogram</w:t>
      </w:r>
      <w:proofErr w:type="spellEnd"/>
      <w:r w:rsidRPr="00E56C5D">
        <w:t xml:space="preserve"> or voluntary cleanup sites funded by responsible parties.</w:t>
      </w:r>
    </w:p>
    <w:p w:rsidR="00485094" w:rsidRPr="00E56C5D" w:rsidRDefault="00485094" w:rsidP="00C33E69">
      <w:pPr>
        <w:pStyle w:val="Bodytextreduced"/>
      </w:pPr>
    </w:p>
    <w:p w:rsidR="00485094" w:rsidRDefault="00485094" w:rsidP="00EE77CC">
      <w:pPr>
        <w:pStyle w:val="Heading3"/>
      </w:pPr>
      <w:bookmarkStart w:id="700" w:name="_Toc209241290"/>
      <w:bookmarkStart w:id="701" w:name="_Toc255822579"/>
      <w:bookmarkStart w:id="702" w:name="_Toc262484195"/>
      <w:bookmarkStart w:id="703" w:name="_Toc271794396"/>
      <w:proofErr w:type="spellStart"/>
      <w:r>
        <w:t>Drycleaning</w:t>
      </w:r>
      <w:proofErr w:type="spellEnd"/>
      <w:r>
        <w:t xml:space="preserve"> Solvent Facilities</w:t>
      </w:r>
      <w:bookmarkEnd w:id="700"/>
      <w:bookmarkEnd w:id="701"/>
      <w:bookmarkEnd w:id="702"/>
      <w:bookmarkEnd w:id="703"/>
    </w:p>
    <w:p w:rsidR="00485094" w:rsidRPr="00C76C94" w:rsidRDefault="00485094" w:rsidP="00EE77CC">
      <w:pPr>
        <w:pStyle w:val="Bodytext"/>
      </w:pPr>
      <w:r w:rsidRPr="00C76C94">
        <w:t xml:space="preserve">Approximately 1,400 </w:t>
      </w:r>
      <w:proofErr w:type="spellStart"/>
      <w:r w:rsidRPr="00C76C94">
        <w:t>drycleanin</w:t>
      </w:r>
      <w:r>
        <w:t>g</w:t>
      </w:r>
      <w:proofErr w:type="spellEnd"/>
      <w:r>
        <w:t xml:space="preserve"> facilities (mainly retail) have</w:t>
      </w:r>
      <w:r w:rsidRPr="00C76C94">
        <w:t xml:space="preserve"> signed up for eligibility for contaminant cleanup under </w:t>
      </w:r>
      <w:r>
        <w:t>FDEP</w:t>
      </w:r>
      <w:r w:rsidRPr="00C76C94">
        <w:t xml:space="preserve">’s </w:t>
      </w:r>
      <w:hyperlink r:id="rId161" w:history="1">
        <w:proofErr w:type="spellStart"/>
        <w:r w:rsidRPr="0069149E">
          <w:rPr>
            <w:rStyle w:val="Hyperlink"/>
          </w:rPr>
          <w:t>Drycleaning</w:t>
        </w:r>
        <w:proofErr w:type="spellEnd"/>
        <w:r w:rsidRPr="0069149E">
          <w:rPr>
            <w:rStyle w:val="Hyperlink"/>
          </w:rPr>
          <w:t xml:space="preserve"> Solvent Cleanup Program (DSCP)</w:t>
        </w:r>
      </w:hyperlink>
      <w:r w:rsidRPr="00C76C94">
        <w:t xml:space="preserve"> due to evidence of contamination.  Of those, </w:t>
      </w:r>
      <w:r>
        <w:t>approximately 190</w:t>
      </w:r>
      <w:r w:rsidRPr="00C76C94">
        <w:t xml:space="preserve"> are actively being assessed and may </w:t>
      </w:r>
      <w:r w:rsidRPr="00C76C94">
        <w:lastRenderedPageBreak/>
        <w:t xml:space="preserve">be under remedial action.  </w:t>
      </w:r>
      <w:proofErr w:type="spellStart"/>
      <w:r w:rsidRPr="00C76C94">
        <w:t>Drycleaning</w:t>
      </w:r>
      <w:proofErr w:type="spellEnd"/>
      <w:r w:rsidRPr="00C76C94">
        <w:t xml:space="preserve"> solvent constituents (PCE, TCE, </w:t>
      </w:r>
      <w:proofErr w:type="spellStart"/>
      <w:r w:rsidRPr="00C76C94">
        <w:t>dichloroethenes</w:t>
      </w:r>
      <w:proofErr w:type="spellEnd"/>
      <w:r w:rsidRPr="00C76C94">
        <w:t>, and vinyl chloride) are among the most mobile and persistent contaminants in the environment.</w:t>
      </w:r>
    </w:p>
    <w:p w:rsidR="00485094" w:rsidRDefault="00485094" w:rsidP="00EE77CC">
      <w:pPr>
        <w:pStyle w:val="Bodytext"/>
      </w:pPr>
    </w:p>
    <w:p w:rsidR="00485094" w:rsidRDefault="00485094" w:rsidP="00EE77CC">
      <w:pPr>
        <w:pStyle w:val="Bodytext"/>
      </w:pPr>
      <w:r w:rsidRPr="00D01748">
        <w:t xml:space="preserve">The Florida </w:t>
      </w:r>
      <w:r>
        <w:t>L</w:t>
      </w:r>
      <w:r w:rsidRPr="00D01748">
        <w:t>egislature established a state-funded program</w:t>
      </w:r>
      <w:r>
        <w:t>, administered by FDEP,</w:t>
      </w:r>
      <w:r w:rsidRPr="00D01748">
        <w:t xml:space="preserve"> to clean</w:t>
      </w:r>
      <w:r>
        <w:t xml:space="preserve"> </w:t>
      </w:r>
      <w:r w:rsidRPr="00D01748">
        <w:t xml:space="preserve">up properties that are contaminated as a result of the operations of a </w:t>
      </w:r>
      <w:proofErr w:type="spellStart"/>
      <w:r w:rsidRPr="00D01748">
        <w:t>drycleaning</w:t>
      </w:r>
      <w:proofErr w:type="spellEnd"/>
      <w:r w:rsidRPr="00D01748">
        <w:t xml:space="preserve"> facility or wholesale supply facility (</w:t>
      </w:r>
      <w:r w:rsidRPr="00C76C94">
        <w:t>Chapter 376, F</w:t>
      </w:r>
      <w:r>
        <w:t>.S.</w:t>
      </w:r>
      <w:r w:rsidRPr="00D01748">
        <w:t xml:space="preserve">). </w:t>
      </w:r>
      <w:r>
        <w:t xml:space="preserve"> </w:t>
      </w:r>
      <w:r w:rsidRPr="00D01748">
        <w:t xml:space="preserve">The </w:t>
      </w:r>
      <w:proofErr w:type="spellStart"/>
      <w:r>
        <w:t>drycleaning</w:t>
      </w:r>
      <w:proofErr w:type="spellEnd"/>
      <w:r>
        <w:t xml:space="preserve"> industry sponsored the </w:t>
      </w:r>
      <w:r w:rsidRPr="00D01748">
        <w:t xml:space="preserve">statute to address environmental, economic, and liability issues resulting from </w:t>
      </w:r>
      <w:proofErr w:type="spellStart"/>
      <w:r w:rsidRPr="00D01748">
        <w:t>drycleaning</w:t>
      </w:r>
      <w:proofErr w:type="spellEnd"/>
      <w:r w:rsidRPr="00D01748">
        <w:t xml:space="preserve"> solvent contamination. </w:t>
      </w:r>
      <w:r>
        <w:t xml:space="preserve"> </w:t>
      </w:r>
      <w:r w:rsidRPr="00D01748">
        <w:t xml:space="preserve">The program </w:t>
      </w:r>
      <w:r>
        <w:t>limits the</w:t>
      </w:r>
      <w:r w:rsidRPr="00D01748">
        <w:t xml:space="preserve"> liability of the owner, operator</w:t>
      </w:r>
      <w:r>
        <w:t>,</w:t>
      </w:r>
      <w:r w:rsidRPr="00D01748">
        <w:t xml:space="preserve"> and real property owner of </w:t>
      </w:r>
      <w:proofErr w:type="spellStart"/>
      <w:r w:rsidRPr="00D01748">
        <w:t>drycleaning</w:t>
      </w:r>
      <w:proofErr w:type="spellEnd"/>
      <w:r w:rsidRPr="00D01748">
        <w:t xml:space="preserve"> or wholesale supply facilities for </w:t>
      </w:r>
      <w:r>
        <w:t>cleaning up</w:t>
      </w:r>
      <w:r w:rsidRPr="00D01748">
        <w:t xml:space="preserve"> </w:t>
      </w:r>
      <w:proofErr w:type="spellStart"/>
      <w:r w:rsidRPr="00D01748">
        <w:t>drycleaning</w:t>
      </w:r>
      <w:proofErr w:type="spellEnd"/>
      <w:r w:rsidRPr="00D01748">
        <w:t xml:space="preserve"> solvent contamination</w:t>
      </w:r>
      <w:r>
        <w:t>,</w:t>
      </w:r>
      <w:r w:rsidRPr="00D01748">
        <w:t xml:space="preserve"> if the parties meet the eligibility conditions stated in the law.</w:t>
      </w:r>
    </w:p>
    <w:p w:rsidR="00485094" w:rsidRPr="00D01748" w:rsidRDefault="00485094" w:rsidP="00C33E69">
      <w:pPr>
        <w:pStyle w:val="Bodytextreduced"/>
      </w:pPr>
    </w:p>
    <w:p w:rsidR="00485094" w:rsidRPr="00691ECF" w:rsidRDefault="00485094" w:rsidP="00EE77CC">
      <w:pPr>
        <w:pStyle w:val="Heading3"/>
      </w:pPr>
      <w:bookmarkStart w:id="704" w:name="_Toc209241291"/>
      <w:bookmarkStart w:id="705" w:name="_Toc255822580"/>
      <w:bookmarkStart w:id="706" w:name="_Toc262484196"/>
      <w:bookmarkStart w:id="707" w:name="_Toc271794397"/>
      <w:r>
        <w:t>Federal and State Waste Cleanup and Monitoring Sites</w:t>
      </w:r>
      <w:bookmarkEnd w:id="704"/>
      <w:bookmarkEnd w:id="705"/>
      <w:bookmarkEnd w:id="706"/>
      <w:bookmarkEnd w:id="707"/>
    </w:p>
    <w:p w:rsidR="00485094" w:rsidRDefault="00485094" w:rsidP="00EE77CC">
      <w:pPr>
        <w:pStyle w:val="Bodytext"/>
      </w:pPr>
      <w:r w:rsidRPr="001F11CC">
        <w:t xml:space="preserve">The Federal Superfund </w:t>
      </w:r>
      <w:r>
        <w:t>P</w:t>
      </w:r>
      <w:r w:rsidRPr="001F11CC">
        <w:t>rogram (authorized under the Comprehensive Environmental Response Compensation and Liability Act</w:t>
      </w:r>
      <w:r>
        <w:t xml:space="preserve"> [CERCLA]</w:t>
      </w:r>
      <w:r w:rsidRPr="001F11CC">
        <w:t xml:space="preserve">) and Florida’s Hazardous Waste Site Cleanup </w:t>
      </w:r>
      <w:r>
        <w:t>P</w:t>
      </w:r>
      <w:r w:rsidRPr="001F11CC">
        <w:t xml:space="preserve">rogram were developed to provide mechanisms for addressing contamination on uncontrolled or abandoned hazardous waste sites.  In the state, there are </w:t>
      </w:r>
      <w:r>
        <w:t>currently</w:t>
      </w:r>
      <w:r w:rsidRPr="001F11CC">
        <w:t xml:space="preserve"> </w:t>
      </w:r>
      <w:r>
        <w:t>50</w:t>
      </w:r>
      <w:r w:rsidRPr="001F11CC">
        <w:t xml:space="preserve"> Superfund sites on the </w:t>
      </w:r>
      <w:hyperlink r:id="rId162" w:history="1">
        <w:r w:rsidRPr="0069149E">
          <w:rPr>
            <w:rStyle w:val="Hyperlink"/>
          </w:rPr>
          <w:t>National Priorities List (NPL)</w:t>
        </w:r>
      </w:hyperlink>
      <w:r w:rsidRPr="001F11CC">
        <w:t xml:space="preserve"> and </w:t>
      </w:r>
      <w:r>
        <w:t>72</w:t>
      </w:r>
      <w:r w:rsidRPr="001F11CC">
        <w:t xml:space="preserve"> sites on Florida’s </w:t>
      </w:r>
      <w:hyperlink r:id="rId163" w:history="1">
        <w:r w:rsidRPr="0069149E">
          <w:rPr>
            <w:rStyle w:val="Hyperlink"/>
          </w:rPr>
          <w:t>Hazardous Waste Cleanup Program</w:t>
        </w:r>
      </w:hyperlink>
      <w:r w:rsidRPr="001F11CC">
        <w:t xml:space="preserve"> list. </w:t>
      </w:r>
      <w:r>
        <w:t xml:space="preserve"> Many of these sites have documented ground water contamination.</w:t>
      </w:r>
    </w:p>
    <w:p w:rsidR="00485094" w:rsidRPr="001F11CC" w:rsidRDefault="00485094" w:rsidP="00C33E69">
      <w:pPr>
        <w:pStyle w:val="Bodytextreduced"/>
      </w:pPr>
    </w:p>
    <w:p w:rsidR="00485094" w:rsidRDefault="00485094" w:rsidP="00EE77CC">
      <w:pPr>
        <w:pStyle w:val="Heading3"/>
      </w:pPr>
      <w:bookmarkStart w:id="708" w:name="_Toc209241292"/>
      <w:bookmarkStart w:id="709" w:name="_Toc255822581"/>
      <w:bookmarkStart w:id="710" w:name="_Toc262484197"/>
      <w:bookmarkStart w:id="711" w:name="_Toc271794398"/>
      <w:r>
        <w:t>Nonpoint Sources</w:t>
      </w:r>
      <w:bookmarkEnd w:id="708"/>
      <w:bookmarkEnd w:id="709"/>
      <w:bookmarkEnd w:id="710"/>
      <w:bookmarkEnd w:id="711"/>
    </w:p>
    <w:p w:rsidR="00485094" w:rsidRPr="006E473F" w:rsidRDefault="00485094" w:rsidP="00EE77CC">
      <w:pPr>
        <w:pStyle w:val="Bodytext"/>
      </w:pPr>
      <w:r w:rsidRPr="006E473F">
        <w:t xml:space="preserve">Degraded ground water quality is sometimes not associated with a single contaminant source but instead may be related to multiple sources or land use practices in an area.  In many cases, the cumulative effect of human activities through leaching from nonpoint sources of pollution, such as septic tanks or fertilizer applications, creates ground water quality problems.  In many urban areas of the state, ground water (including sinkholes and permitted injection wells) receives untreated stormwater runoff from urban areas and roadways.  Ground water is particularly vulnerable in </w:t>
      </w:r>
      <w:r>
        <w:t xml:space="preserve">karst (limestone) </w:t>
      </w:r>
      <w:r w:rsidRPr="006E473F">
        <w:t xml:space="preserve">areas, where these discharges have a direct, unfiltered pathway to the drinking water resource.  In other areas, wastewater applications, septic tank </w:t>
      </w:r>
      <w:proofErr w:type="spellStart"/>
      <w:r w:rsidRPr="006E473F">
        <w:t>leachate</w:t>
      </w:r>
      <w:proofErr w:type="spellEnd"/>
      <w:r w:rsidRPr="006E473F">
        <w:t xml:space="preserve">, right-of-way maintenance, and residential landscaping fertilization can degrade ground water quality and cause potential problems in karst areas where springs discharge.  Additionally, the leaching of fertilizers and pesticides from agricultural lands has had a significant impact on ground water quality.  </w:t>
      </w:r>
    </w:p>
    <w:p w:rsidR="00485094" w:rsidRPr="006E473F" w:rsidRDefault="00485094" w:rsidP="00EE77CC">
      <w:pPr>
        <w:pStyle w:val="Bodytext"/>
      </w:pPr>
    </w:p>
    <w:p w:rsidR="00485094" w:rsidRPr="006E473F" w:rsidRDefault="00485094" w:rsidP="00EE77CC">
      <w:pPr>
        <w:pStyle w:val="Bodytext"/>
      </w:pPr>
      <w:r w:rsidRPr="006E473F">
        <w:t xml:space="preserve">Unfortunately, the potable ground water resource in some areas dominated by agricultural activities is often susceptible to direct impacts by fertilizer and agrichemical use.  The </w:t>
      </w:r>
      <w:r>
        <w:t>R</w:t>
      </w:r>
      <w:r w:rsidRPr="006E473F">
        <w:t xml:space="preserve">idge citrus area in central Florida provides an example of an area with known nitrate impacts to ground water.  </w:t>
      </w:r>
      <w:r>
        <w:t>Ridge</w:t>
      </w:r>
      <w:r w:rsidRPr="006E473F">
        <w:t xml:space="preserve"> citrus growers are now addressing nonpoint impacts through the </w:t>
      </w:r>
      <w:hyperlink r:id="rId164" w:history="1">
        <w:r w:rsidRPr="0069149E">
          <w:rPr>
            <w:rStyle w:val="Hyperlink"/>
          </w:rPr>
          <w:t>Agricultural Nonpoint Source Program</w:t>
        </w:r>
      </w:hyperlink>
      <w:r w:rsidRPr="006E473F">
        <w:t>, using voluntary fertilizer management practices as a primary BMP</w:t>
      </w:r>
      <w:r>
        <w:t>.</w:t>
      </w:r>
      <w:r w:rsidRPr="006E473F">
        <w:t xml:space="preserve">  This work is serving as a model for the implementation of BMPs to protect ground water from contamination caused by the use of fertilizers and pesticides on urban lands.  These more-refined BMP programs should reduce the nutrient contamination of ground water.</w:t>
      </w:r>
    </w:p>
    <w:p w:rsidR="00485094" w:rsidRDefault="00485094" w:rsidP="00C33E69">
      <w:pPr>
        <w:pStyle w:val="Bodytextreduced"/>
      </w:pPr>
    </w:p>
    <w:p w:rsidR="00485094" w:rsidRPr="00635B59" w:rsidRDefault="00485094" w:rsidP="00EE77CC">
      <w:pPr>
        <w:pStyle w:val="Heading2"/>
      </w:pPr>
      <w:bookmarkStart w:id="712" w:name="_Toc209241293"/>
      <w:bookmarkStart w:id="713" w:name="_Toc255822582"/>
      <w:bookmarkStart w:id="714" w:name="_Toc262484198"/>
      <w:bookmarkStart w:id="715" w:name="_Toc271794399"/>
      <w:r w:rsidRPr="00635B59">
        <w:t>Ground Water–Surface Water Interaction</w:t>
      </w:r>
      <w:bookmarkEnd w:id="712"/>
      <w:bookmarkEnd w:id="713"/>
      <w:bookmarkEnd w:id="714"/>
      <w:bookmarkEnd w:id="715"/>
    </w:p>
    <w:p w:rsidR="00485094" w:rsidRDefault="00485094" w:rsidP="00EE77CC">
      <w:pPr>
        <w:pStyle w:val="Heading3"/>
      </w:pPr>
      <w:bookmarkStart w:id="716" w:name="_Toc209241294"/>
      <w:bookmarkStart w:id="717" w:name="_Toc255822583"/>
      <w:bookmarkStart w:id="718" w:name="_Toc262484199"/>
      <w:bookmarkStart w:id="719" w:name="_Toc271794400"/>
      <w:r w:rsidRPr="00635B59">
        <w:t>Setting and Pathways</w:t>
      </w:r>
      <w:bookmarkEnd w:id="716"/>
      <w:bookmarkEnd w:id="717"/>
      <w:bookmarkEnd w:id="718"/>
      <w:bookmarkEnd w:id="719"/>
      <w:r w:rsidRPr="003A4461">
        <w:t xml:space="preserve"> </w:t>
      </w:r>
    </w:p>
    <w:p w:rsidR="00485094" w:rsidRDefault="00485094" w:rsidP="00EE77CC">
      <w:pPr>
        <w:pStyle w:val="Bodytext"/>
      </w:pPr>
      <w:r>
        <w:t xml:space="preserve">The free exchange between ground water and surface water in Florida cannot be overemphasized.  As mentioned previously, spring-fed stream systems can depend almost entirely on ground water discharge.  Canals can also contain mostly ground water.  Other streams and lakes may receive over half of their total inflows via ground water seepage, and </w:t>
      </w:r>
      <w:r>
        <w:lastRenderedPageBreak/>
        <w:t>natural estuaries rely on ground water seepage as a significant source of fresh water.  In areas where the Floridan aquifer system is near the surface, and in southern parts of the state where porous limestone is present near the surface, conduit systems in the limestone material efficiently deliver ground water to streams and canals at high rates.  In other areas of the state, ground water discharge occurs as seepage from the surficial aquifer system.</w:t>
      </w:r>
    </w:p>
    <w:p w:rsidR="00485094" w:rsidRPr="003A4461" w:rsidRDefault="00485094" w:rsidP="00EE77CC">
      <w:pPr>
        <w:pStyle w:val="Bodytext"/>
      </w:pPr>
    </w:p>
    <w:p w:rsidR="00485094" w:rsidRDefault="00485094" w:rsidP="00EE77CC">
      <w:pPr>
        <w:pStyle w:val="Heading3"/>
      </w:pPr>
      <w:bookmarkStart w:id="720" w:name="_Toc209241295"/>
      <w:bookmarkStart w:id="721" w:name="_Toc255822584"/>
      <w:bookmarkStart w:id="722" w:name="_Toc262484200"/>
      <w:bookmarkStart w:id="723" w:name="_Toc271794401"/>
      <w:r w:rsidRPr="002B4820">
        <w:t xml:space="preserve">Ground Water </w:t>
      </w:r>
      <w:r>
        <w:t>Influence on</w:t>
      </w:r>
      <w:r w:rsidRPr="002B4820">
        <w:t xml:space="preserve"> Impaired Surface Waters</w:t>
      </w:r>
      <w:bookmarkEnd w:id="720"/>
      <w:bookmarkEnd w:id="721"/>
      <w:bookmarkEnd w:id="722"/>
      <w:bookmarkEnd w:id="723"/>
      <w:r w:rsidRPr="003A4461">
        <w:t xml:space="preserve"> </w:t>
      </w:r>
    </w:p>
    <w:p w:rsidR="00485094" w:rsidRPr="00D6531E" w:rsidRDefault="00485094" w:rsidP="00EE77CC">
      <w:pPr>
        <w:pStyle w:val="Bodytext"/>
      </w:pPr>
      <w:r w:rsidRPr="00D6531E">
        <w:t xml:space="preserve">Nutrients, DO, and iron are the parameters of greatest concern identified in basin-scale evaluations of ground water influence on impaired or potentially impaired surface waters.  </w:t>
      </w:r>
      <w:r w:rsidRPr="00D6531E">
        <w:rPr>
          <w:b/>
          <w:i/>
        </w:rPr>
        <w:t xml:space="preserve">Table </w:t>
      </w:r>
      <w:r>
        <w:rPr>
          <w:b/>
          <w:i/>
        </w:rPr>
        <w:t>10.3</w:t>
      </w:r>
      <w:r w:rsidRPr="00D6531E">
        <w:t xml:space="preserve"> summarizes the median concentrations of these parameters in unconfined aquifers of the state’s 29 major basins.  The table also compares these ground water medians with the statewide medians for surface water types.</w:t>
      </w:r>
    </w:p>
    <w:p w:rsidR="00485094" w:rsidRPr="00D6531E" w:rsidRDefault="00485094" w:rsidP="00EE77CC">
      <w:pPr>
        <w:pStyle w:val="Bodytext"/>
      </w:pPr>
    </w:p>
    <w:p w:rsidR="00485094" w:rsidRPr="00DC470A" w:rsidRDefault="00485094" w:rsidP="00EE77CC">
      <w:pPr>
        <w:pStyle w:val="Bodytext"/>
      </w:pPr>
      <w:r w:rsidRPr="00DC470A">
        <w:t>Relatively low concentrations of nitrate and phosphorus can create nutrient imbalances in surface water and contribute to impairments.  Nitrate in ground water is associated with anthropogenic sources such as atmospheric deposition, fertilizers, animal waste, and human wastewater.  Elevated nitrogen concentrations are of particular concern to fragile surface water systems such as spring runs.  As discussed previously, phosphorus occurs naturally throughout</w:t>
      </w:r>
      <w:r w:rsidRPr="00A94FE1">
        <w:t xml:space="preserve"> </w:t>
      </w:r>
      <w:r w:rsidRPr="00DC470A">
        <w:t xml:space="preserve">the state, and its natural occurrence in ground water is attributed to ground water contact with mineral phosphate in the aquifer material.  It can also be derived from organic material such as peat or from </w:t>
      </w:r>
      <w:proofErr w:type="spellStart"/>
      <w:r w:rsidRPr="00DC470A">
        <w:t>phosphatic</w:t>
      </w:r>
      <w:proofErr w:type="spellEnd"/>
      <w:r w:rsidRPr="00DC470A">
        <w:t xml:space="preserve"> shell beds.  The more common anthropogenic sources of phosphorus include fertilizers, animal waste, and domestic wastewater/residuals.</w:t>
      </w:r>
    </w:p>
    <w:p w:rsidR="00485094" w:rsidRPr="00DC470A" w:rsidRDefault="00485094" w:rsidP="00EE77CC">
      <w:pPr>
        <w:pStyle w:val="Bodytext"/>
      </w:pPr>
    </w:p>
    <w:p w:rsidR="00485094" w:rsidRPr="00DC470A" w:rsidRDefault="00485094" w:rsidP="00EE77CC">
      <w:pPr>
        <w:pStyle w:val="Bodytext"/>
      </w:pPr>
      <w:r w:rsidRPr="00DC470A">
        <w:t>Low DO is a normal characteristic of ground water.  Depressed DO in springs, spring runs, spring-fed rivers, and many drainage canals is often primarily or entirely attributable to ground water inflows.  In instances where ground water contributions to surface waterbodies are high, low DO is a typical consequence.</w:t>
      </w:r>
    </w:p>
    <w:p w:rsidR="00485094" w:rsidRPr="00DC470A" w:rsidRDefault="00485094" w:rsidP="00EE77CC">
      <w:pPr>
        <w:pStyle w:val="Bodytext"/>
      </w:pPr>
    </w:p>
    <w:p w:rsidR="00485094" w:rsidRPr="00DC470A" w:rsidRDefault="00485094" w:rsidP="00EE77CC">
      <w:pPr>
        <w:pStyle w:val="Bodytext"/>
      </w:pPr>
      <w:r w:rsidRPr="00DC470A">
        <w:t xml:space="preserve">Iron is another ground water constituent that occurs naturally due to the leaching of ferric iron from iron-rich clay soils and sediment.  Iron in the environment also has an affinity for organic materials.  Streams that are high in iron concentration typically have a high to moderate ground water component, low DO, and high dissolved organic carbon content. </w:t>
      </w:r>
    </w:p>
    <w:p w:rsidR="00485094" w:rsidRPr="00DC470A" w:rsidRDefault="00485094" w:rsidP="00EE77CC">
      <w:pPr>
        <w:pStyle w:val="Bodytext"/>
      </w:pPr>
    </w:p>
    <w:p w:rsidR="00485094" w:rsidRPr="00DC470A" w:rsidRDefault="00485094" w:rsidP="00EE77CC">
      <w:pPr>
        <w:pStyle w:val="Bodytext"/>
      </w:pPr>
      <w:r w:rsidRPr="00DC470A">
        <w:t xml:space="preserve">Specific conductance is also sometimes an indicator of ground water discharge to surface waters.  In some basins, the specific conductance of ground water discharging to surface water (quite often springs) is higher than 1,275 </w:t>
      </w:r>
      <w:proofErr w:type="spellStart"/>
      <w:r>
        <w:t>microSiemens</w:t>
      </w:r>
      <w:proofErr w:type="spellEnd"/>
      <w:r>
        <w:t xml:space="preserve"> per centimeter (</w:t>
      </w:r>
      <w:r w:rsidR="00FC23B4" w:rsidRPr="00647972">
        <w:rPr>
          <w:rFonts w:ascii="Symbol" w:hAnsi="Symbol" w:cs="Arial"/>
          <w:szCs w:val="22"/>
        </w:rPr>
        <w:t></w:t>
      </w:r>
      <w:r w:rsidRPr="00DC470A">
        <w:t>S/cm</w:t>
      </w:r>
      <w:r>
        <w:t>), which may reflect an exceedance of the specific conductance criterion</w:t>
      </w:r>
      <w:r w:rsidRPr="00DC470A">
        <w:t xml:space="preserve"> for fresh surface waters</w:t>
      </w:r>
      <w:r>
        <w:t xml:space="preserve"> (the criterion is stated as 50% above background or 1,275 </w:t>
      </w:r>
      <w:r w:rsidR="00FC23B4" w:rsidRPr="00647972">
        <w:rPr>
          <w:rFonts w:ascii="Symbol" w:hAnsi="Symbol" w:cs="Arial"/>
          <w:szCs w:val="22"/>
        </w:rPr>
        <w:t></w:t>
      </w:r>
      <w:r>
        <w:t>S/cm, whichever is higher)</w:t>
      </w:r>
      <w:r w:rsidRPr="00DC470A">
        <w:t>.</w:t>
      </w:r>
    </w:p>
    <w:p w:rsidR="00485094" w:rsidRPr="00DC470A" w:rsidRDefault="00485094" w:rsidP="00EE77CC">
      <w:pPr>
        <w:pStyle w:val="Bodytext"/>
        <w:rPr>
          <w:szCs w:val="22"/>
        </w:rPr>
      </w:pPr>
      <w:r w:rsidRPr="00DC470A">
        <w:rPr>
          <w:szCs w:val="22"/>
        </w:rPr>
        <w:t xml:space="preserve"> </w:t>
      </w:r>
    </w:p>
    <w:p w:rsidR="00485094" w:rsidRDefault="00485094" w:rsidP="00EE77CC">
      <w:pPr>
        <w:pStyle w:val="Heading3"/>
      </w:pPr>
      <w:bookmarkStart w:id="724" w:name="_Toc209241296"/>
      <w:bookmarkStart w:id="725" w:name="_Toc255822585"/>
      <w:bookmarkStart w:id="726" w:name="_Toc262484201"/>
      <w:bookmarkStart w:id="727" w:name="_Toc271794402"/>
      <w:r w:rsidRPr="00810E70">
        <w:t>Springs and Spring-related Issues</w:t>
      </w:r>
      <w:bookmarkEnd w:id="724"/>
      <w:bookmarkEnd w:id="725"/>
      <w:bookmarkEnd w:id="726"/>
      <w:bookmarkEnd w:id="727"/>
      <w:r w:rsidRPr="00810E70">
        <w:t xml:space="preserve"> </w:t>
      </w:r>
    </w:p>
    <w:p w:rsidR="00485094" w:rsidRPr="00DC470A" w:rsidRDefault="00485094" w:rsidP="00EE77CC">
      <w:pPr>
        <w:pStyle w:val="Bodytext"/>
      </w:pPr>
      <w:r w:rsidRPr="00DC470A">
        <w:t xml:space="preserve">Nutrient </w:t>
      </w:r>
      <w:r w:rsidR="0096042F" w:rsidRPr="00DC470A">
        <w:t>over enrichment</w:t>
      </w:r>
      <w:r w:rsidRPr="00DC470A">
        <w:t xml:space="preserve"> causes the impairment of many surface waters, including springs.  The two major nutrient</w:t>
      </w:r>
      <w:r>
        <w:t>s</w:t>
      </w:r>
      <w:r w:rsidRPr="00DC470A">
        <w:t xml:space="preserve"> that are monitored </w:t>
      </w:r>
      <w:r>
        <w:t>are</w:t>
      </w:r>
      <w:r w:rsidRPr="00DC470A">
        <w:t xml:space="preserve"> nitrogen and phosphorus</w:t>
      </w:r>
      <w:r>
        <w:t>, which</w:t>
      </w:r>
      <w:r w:rsidRPr="00DC470A">
        <w:t xml:space="preserve"> are essential nutrients to plant life, including algae.  For aquatic vegetation and algae to grow, both nutrients have to be present.  In fact, one can be present in excess but if the other is not present, </w:t>
      </w:r>
      <w:r>
        <w:t xml:space="preserve">the </w:t>
      </w:r>
      <w:r w:rsidRPr="00DC470A">
        <w:t>overgrowth of vegetation or algae is not likely to occur.  Historically, many spring systems have had sufficient phosphorus to cause an overabundance of plant growth</w:t>
      </w:r>
      <w:r>
        <w:t>,</w:t>
      </w:r>
      <w:r w:rsidRPr="00DC470A">
        <w:t xml:space="preserve"> but this was limited by very low concentrations of nitrogen. </w:t>
      </w:r>
    </w:p>
    <w:p w:rsidR="00485094" w:rsidRPr="00D6531E" w:rsidRDefault="00485094" w:rsidP="00EE77CC">
      <w:pPr>
        <w:pStyle w:val="Bodytext"/>
      </w:pPr>
    </w:p>
    <w:p w:rsidR="00485094" w:rsidRDefault="00485094" w:rsidP="00EE77CC">
      <w:pPr>
        <w:pStyle w:val="Bodytext"/>
        <w:rPr>
          <w:szCs w:val="22"/>
        </w:rPr>
        <w:sectPr w:rsidR="00485094" w:rsidSect="003B37D3">
          <w:pgSz w:w="12240" w:h="15840"/>
          <w:pgMar w:top="1440" w:right="1440" w:bottom="1440" w:left="1440" w:header="720" w:footer="720" w:gutter="0"/>
          <w:cols w:space="720"/>
          <w:docGrid w:linePitch="360"/>
        </w:sectPr>
      </w:pPr>
    </w:p>
    <w:p w:rsidR="00485094" w:rsidRDefault="00485094" w:rsidP="00EE77CC">
      <w:pPr>
        <w:pStyle w:val="Tableheading"/>
      </w:pPr>
      <w:bookmarkStart w:id="728" w:name="_Toc209240671"/>
      <w:bookmarkStart w:id="729" w:name="_Toc255482865"/>
      <w:bookmarkStart w:id="730" w:name="_Toc255807524"/>
      <w:bookmarkStart w:id="731" w:name="_Toc262484276"/>
      <w:bookmarkStart w:id="732" w:name="_Toc271889878"/>
      <w:r w:rsidRPr="00C01CA3">
        <w:lastRenderedPageBreak/>
        <w:t xml:space="preserve">Table </w:t>
      </w:r>
      <w:r>
        <w:t xml:space="preserve">10.3.  </w:t>
      </w:r>
      <w:r w:rsidRPr="00C01CA3">
        <w:t>Media</w:t>
      </w:r>
      <w:r>
        <w:t>n Concentrations of Ground Water–Surface Water Constituents in Unconfined A</w:t>
      </w:r>
      <w:r w:rsidRPr="00C01CA3">
        <w:t>quifers</w:t>
      </w:r>
      <w:r>
        <w:t xml:space="preserve"> (2000–</w:t>
      </w:r>
      <w:r w:rsidR="00AF5F96">
        <w:t>20</w:t>
      </w:r>
      <w:r>
        <w:t>07/2008-</w:t>
      </w:r>
      <w:r w:rsidR="00AF5F96">
        <w:t>20</w:t>
      </w:r>
      <w:r>
        <w:t>09)</w:t>
      </w:r>
      <w:bookmarkEnd w:id="728"/>
      <w:bookmarkEnd w:id="729"/>
      <w:bookmarkEnd w:id="730"/>
      <w:bookmarkEnd w:id="731"/>
      <w:bookmarkEnd w:id="732"/>
    </w:p>
    <w:p w:rsidR="00AF5F96" w:rsidRPr="00AF5F96" w:rsidRDefault="00AF5F96" w:rsidP="00AF5F96">
      <w:pPr>
        <w:pStyle w:val="Bodytext"/>
        <w:rPr>
          <w:sz w:val="18"/>
          <w:szCs w:val="18"/>
        </w:rPr>
      </w:pPr>
    </w:p>
    <w:p w:rsidR="00AF5F96" w:rsidRPr="00AF5F96" w:rsidRDefault="00AF5F96" w:rsidP="00AF5F96">
      <w:pPr>
        <w:rPr>
          <w:rFonts w:ascii="Arial" w:hAnsi="Arial" w:cs="Arial"/>
          <w:color w:val="000000"/>
          <w:sz w:val="18"/>
          <w:szCs w:val="18"/>
        </w:rPr>
      </w:pPr>
      <w:r w:rsidRPr="00AF5F96">
        <w:rPr>
          <w:rFonts w:ascii="Arial" w:hAnsi="Arial" w:cs="Arial"/>
          <w:color w:val="000000"/>
          <w:sz w:val="18"/>
          <w:szCs w:val="18"/>
        </w:rPr>
        <w:t xml:space="preserve">The first value in each column represents a period of record 2000-2007 defined as January 1, 2000 to October 31, 2007; the second value in each column represents a period of record 2008-2009 defined as November 1, 2007 to December 31, 2009. </w:t>
      </w:r>
    </w:p>
    <w:p w:rsidR="00AF5F96" w:rsidRDefault="00AF5F96" w:rsidP="00AF5F96">
      <w:pPr>
        <w:pStyle w:val="TabledescriptionBF"/>
      </w:pPr>
    </w:p>
    <w:p w:rsidR="00485094" w:rsidRDefault="00485094" w:rsidP="00EE77CC">
      <w:pPr>
        <w:pStyle w:val="TabledescriptionBF"/>
      </w:pPr>
      <w:r>
        <w:t xml:space="preserve">This is a six-column table. </w:t>
      </w:r>
      <w:r w:rsidRPr="00B74802">
        <w:t xml:space="preserve"> Column 1 lists the </w:t>
      </w:r>
      <w:r>
        <w:t xml:space="preserve">individual </w:t>
      </w:r>
      <w:r w:rsidRPr="00B74802">
        <w:t>basin</w:t>
      </w:r>
      <w:r>
        <w:t xml:space="preserve">s.  </w:t>
      </w:r>
      <w:r w:rsidRPr="00B74802">
        <w:t>Column 2 list</w:t>
      </w:r>
      <w:r>
        <w:t>s</w:t>
      </w:r>
      <w:r w:rsidRPr="00B74802">
        <w:t xml:space="preserve"> the </w:t>
      </w:r>
      <w:r>
        <w:t>median concentration</w:t>
      </w:r>
      <w:r w:rsidR="00AF5F96">
        <w:t>s</w:t>
      </w:r>
      <w:r>
        <w:t xml:space="preserve"> for nitrate + nitrite (as N), Column 3 for phosphorus, Column 4 for DO, Column 5 for iron, and Column 6 for specific conductance.</w:t>
      </w:r>
    </w:p>
    <w:p w:rsidR="00485094" w:rsidRPr="00B74802" w:rsidRDefault="00485094" w:rsidP="00EE77CC">
      <w:pPr>
        <w:pStyle w:val="TabledescriptionBF"/>
      </w:pPr>
    </w:p>
    <w:p w:rsidR="00485094" w:rsidRDefault="00485094" w:rsidP="00EE77CC">
      <w:pPr>
        <w:rPr>
          <w:rFonts w:ascii="Arial" w:hAnsi="Arial" w:cs="Arial"/>
          <w:sz w:val="16"/>
          <w:szCs w:val="16"/>
        </w:rPr>
      </w:pPr>
      <w:r w:rsidRPr="003B3CC3">
        <w:rPr>
          <w:rFonts w:ascii="Arial" w:hAnsi="Arial" w:cs="Arial"/>
          <w:b/>
          <w:sz w:val="16"/>
          <w:szCs w:val="16"/>
        </w:rPr>
        <w:t>Notes:</w:t>
      </w:r>
      <w:r w:rsidRPr="00FB72EA">
        <w:rPr>
          <w:rFonts w:ascii="Arial" w:hAnsi="Arial" w:cs="Arial"/>
          <w:sz w:val="16"/>
          <w:szCs w:val="16"/>
        </w:rPr>
        <w:t xml:space="preserve">  Ground water data provided from multiple sources, all representing unconfined aquifers that have the potential to interact with surface water.  </w:t>
      </w:r>
    </w:p>
    <w:p w:rsidR="00485094" w:rsidRDefault="00485094" w:rsidP="00EE77CC">
      <w:pPr>
        <w:pStyle w:val="Bodytextreduced"/>
      </w:pPr>
      <w:r w:rsidRPr="00A94FE1">
        <w:rPr>
          <w:vertAlign w:val="superscript"/>
        </w:rPr>
        <w:t xml:space="preserve">1 </w:t>
      </w:r>
      <w:r>
        <w:t>V</w:t>
      </w:r>
      <w:r w:rsidRPr="00FB72EA">
        <w:t xml:space="preserve">alues </w:t>
      </w:r>
      <w:r>
        <w:t xml:space="preserve">that </w:t>
      </w:r>
      <w:r w:rsidRPr="00FB72EA">
        <w:t xml:space="preserve">are concentrations higher (or in the case of </w:t>
      </w:r>
      <w:r>
        <w:t>DO</w:t>
      </w:r>
      <w:r w:rsidRPr="00FB72EA">
        <w:t>, lower) than median values for streams, lakes</w:t>
      </w:r>
      <w:r>
        <w:t>,</w:t>
      </w:r>
      <w:r w:rsidRPr="00FB72EA">
        <w:t xml:space="preserve"> or estuaries in Florida </w:t>
      </w:r>
      <w:r>
        <w:t>(</w:t>
      </w:r>
      <w:r w:rsidRPr="00965FF0">
        <w:t>per Hand, 2004)</w:t>
      </w:r>
      <w:r>
        <w:t xml:space="preserve"> </w:t>
      </w:r>
      <w:r w:rsidRPr="00336540">
        <w:t xml:space="preserve">are </w:t>
      </w:r>
      <w:r>
        <w:t xml:space="preserve">indicated by </w:t>
      </w:r>
      <w:r w:rsidRPr="00336540">
        <w:rPr>
          <w:highlight w:val="lightGray"/>
        </w:rPr>
        <w:t>shad</w:t>
      </w:r>
      <w:r>
        <w:rPr>
          <w:highlight w:val="lightGray"/>
        </w:rPr>
        <w:t>ing</w:t>
      </w:r>
      <w:r>
        <w:t xml:space="preserve"> and an asterisk</w:t>
      </w:r>
      <w:r w:rsidRPr="00FB72EA">
        <w:t xml:space="preserve">.  </w:t>
      </w:r>
    </w:p>
    <w:p w:rsidR="00485094" w:rsidRPr="00FB72EA" w:rsidRDefault="00485094" w:rsidP="00EE77CC">
      <w:pPr>
        <w:rPr>
          <w:rFonts w:ascii="Arial" w:hAnsi="Arial" w:cs="Arial"/>
          <w:sz w:val="16"/>
          <w:szCs w:val="16"/>
        </w:rPr>
      </w:pPr>
      <w:r w:rsidRPr="00A94FE1">
        <w:rPr>
          <w:rFonts w:ascii="Arial" w:hAnsi="Arial" w:cs="Arial"/>
          <w:sz w:val="16"/>
          <w:szCs w:val="16"/>
          <w:vertAlign w:val="superscript"/>
        </w:rPr>
        <w:t>2</w:t>
      </w:r>
      <w:r>
        <w:rPr>
          <w:rFonts w:ascii="Arial" w:hAnsi="Arial" w:cs="Arial"/>
          <w:sz w:val="16"/>
          <w:szCs w:val="16"/>
        </w:rPr>
        <w:t xml:space="preserve"> </w:t>
      </w:r>
      <w:r w:rsidRPr="00FB72EA">
        <w:rPr>
          <w:rFonts w:ascii="Arial" w:hAnsi="Arial" w:cs="Arial"/>
          <w:sz w:val="16"/>
          <w:szCs w:val="16"/>
        </w:rPr>
        <w:t xml:space="preserve">Values </w:t>
      </w:r>
      <w:r>
        <w:rPr>
          <w:rFonts w:ascii="Arial" w:hAnsi="Arial" w:cs="Arial"/>
          <w:sz w:val="16"/>
          <w:szCs w:val="16"/>
        </w:rPr>
        <w:t xml:space="preserve">that </w:t>
      </w:r>
      <w:r w:rsidRPr="00FB72EA">
        <w:rPr>
          <w:rFonts w:ascii="Arial" w:hAnsi="Arial" w:cs="Arial"/>
          <w:sz w:val="16"/>
          <w:szCs w:val="16"/>
        </w:rPr>
        <w:t xml:space="preserve">are higher (or in the case of </w:t>
      </w:r>
      <w:r>
        <w:rPr>
          <w:rFonts w:ascii="Arial" w:hAnsi="Arial" w:cs="Arial"/>
          <w:sz w:val="16"/>
          <w:szCs w:val="16"/>
        </w:rPr>
        <w:t>DO</w:t>
      </w:r>
      <w:r w:rsidRPr="00FB72EA">
        <w:rPr>
          <w:rFonts w:ascii="Arial" w:hAnsi="Arial" w:cs="Arial"/>
          <w:sz w:val="16"/>
          <w:szCs w:val="16"/>
        </w:rPr>
        <w:t xml:space="preserve">, lower) than one or more surface water quality standard per </w:t>
      </w:r>
      <w:r>
        <w:rPr>
          <w:rFonts w:ascii="Arial" w:hAnsi="Arial" w:cs="Arial"/>
          <w:sz w:val="16"/>
          <w:szCs w:val="16"/>
        </w:rPr>
        <w:t>Rule</w:t>
      </w:r>
      <w:r w:rsidRPr="00FB72EA">
        <w:rPr>
          <w:rFonts w:ascii="Arial" w:hAnsi="Arial" w:cs="Arial"/>
          <w:sz w:val="16"/>
          <w:szCs w:val="16"/>
        </w:rPr>
        <w:t xml:space="preserve"> 62-</w:t>
      </w:r>
      <w:r>
        <w:rPr>
          <w:rFonts w:ascii="Arial" w:hAnsi="Arial" w:cs="Arial"/>
          <w:sz w:val="16"/>
          <w:szCs w:val="16"/>
        </w:rPr>
        <w:t>302</w:t>
      </w:r>
      <w:r w:rsidRPr="00FB72EA">
        <w:rPr>
          <w:rFonts w:ascii="Arial" w:hAnsi="Arial" w:cs="Arial"/>
          <w:sz w:val="16"/>
          <w:szCs w:val="16"/>
        </w:rPr>
        <w:t>, F</w:t>
      </w:r>
      <w:r w:rsidR="00A03A97">
        <w:rPr>
          <w:rFonts w:ascii="Arial" w:hAnsi="Arial" w:cs="Arial"/>
          <w:sz w:val="16"/>
          <w:szCs w:val="16"/>
        </w:rPr>
        <w:t>.</w:t>
      </w:r>
      <w:r w:rsidRPr="00FB72EA">
        <w:rPr>
          <w:rFonts w:ascii="Arial" w:hAnsi="Arial" w:cs="Arial"/>
          <w:sz w:val="16"/>
          <w:szCs w:val="16"/>
        </w:rPr>
        <w:t>A.C.</w:t>
      </w:r>
      <w:r>
        <w:rPr>
          <w:rFonts w:ascii="Arial" w:hAnsi="Arial" w:cs="Arial"/>
          <w:sz w:val="16"/>
          <w:szCs w:val="16"/>
        </w:rPr>
        <w:t xml:space="preserve">, are indicated by </w:t>
      </w:r>
      <w:r w:rsidRPr="002812CB">
        <w:rPr>
          <w:rFonts w:ascii="Arial" w:hAnsi="Arial" w:cs="Arial"/>
          <w:b/>
          <w:sz w:val="16"/>
          <w:szCs w:val="16"/>
        </w:rPr>
        <w:t>bold</w:t>
      </w:r>
      <w:r>
        <w:rPr>
          <w:rFonts w:ascii="Arial" w:hAnsi="Arial" w:cs="Arial"/>
          <w:b/>
          <w:sz w:val="16"/>
          <w:szCs w:val="16"/>
        </w:rPr>
        <w:t>face type</w:t>
      </w:r>
      <w:r>
        <w:rPr>
          <w:rFonts w:ascii="Arial" w:hAnsi="Arial" w:cs="Arial"/>
          <w:sz w:val="16"/>
          <w:szCs w:val="16"/>
        </w:rPr>
        <w:t xml:space="preserve"> and a double asterisk.</w:t>
      </w:r>
    </w:p>
    <w:p w:rsidR="00485094" w:rsidRDefault="00485094" w:rsidP="00EE77CC">
      <w:r>
        <w:rPr>
          <w:rFonts w:ascii="Arial" w:hAnsi="Arial" w:cs="Arial"/>
          <w:sz w:val="16"/>
          <w:szCs w:val="16"/>
        </w:rPr>
        <w:t>N/A =</w:t>
      </w:r>
      <w:r w:rsidRPr="00FB72EA">
        <w:rPr>
          <w:rFonts w:ascii="Arial" w:hAnsi="Arial" w:cs="Arial"/>
          <w:sz w:val="16"/>
          <w:szCs w:val="16"/>
        </w:rPr>
        <w:t xml:space="preserve"> </w:t>
      </w:r>
      <w:r>
        <w:rPr>
          <w:rFonts w:ascii="Arial" w:hAnsi="Arial" w:cs="Arial"/>
          <w:sz w:val="16"/>
          <w:szCs w:val="16"/>
        </w:rPr>
        <w:t>D</w:t>
      </w:r>
      <w:r w:rsidRPr="00FB72EA">
        <w:rPr>
          <w:rFonts w:ascii="Arial" w:hAnsi="Arial" w:cs="Arial"/>
          <w:sz w:val="16"/>
          <w:szCs w:val="16"/>
        </w:rPr>
        <w:t>ata not available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58"/>
        <w:gridCol w:w="1890"/>
        <w:gridCol w:w="1980"/>
        <w:gridCol w:w="1800"/>
        <w:gridCol w:w="1890"/>
        <w:gridCol w:w="1980"/>
      </w:tblGrid>
      <w:tr w:rsidR="00485094" w:rsidRPr="00AE2921" w:rsidTr="00774BC4">
        <w:tc>
          <w:tcPr>
            <w:tcW w:w="3258"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33" w:name="_Toc255482866"/>
            <w:r w:rsidRPr="00AE2921">
              <w:rPr>
                <w:rFonts w:ascii="Arial" w:hAnsi="Arial"/>
                <w:b/>
              </w:rPr>
              <w:t>Basin</w:t>
            </w:r>
            <w:bookmarkEnd w:id="733"/>
          </w:p>
        </w:tc>
        <w:tc>
          <w:tcPr>
            <w:tcW w:w="1890"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34" w:name="_Toc255482867"/>
            <w:r w:rsidRPr="00AE2921">
              <w:rPr>
                <w:rFonts w:ascii="Arial" w:hAnsi="Arial"/>
                <w:b/>
              </w:rPr>
              <w:t>Nitrate + Nitrite (as N</w:t>
            </w:r>
            <w:r>
              <w:rPr>
                <w:rFonts w:ascii="Arial" w:hAnsi="Arial"/>
                <w:b/>
              </w:rPr>
              <w:t>)</w:t>
            </w:r>
            <w:r w:rsidRPr="00AE2921">
              <w:rPr>
                <w:rFonts w:ascii="Arial" w:hAnsi="Arial"/>
                <w:b/>
              </w:rPr>
              <w:t xml:space="preserve"> </w:t>
            </w:r>
            <w:r>
              <w:rPr>
                <w:rFonts w:ascii="Arial" w:hAnsi="Arial"/>
                <w:b/>
              </w:rPr>
              <w:t>(</w:t>
            </w:r>
            <w:r w:rsidRPr="00AE2921">
              <w:rPr>
                <w:rFonts w:ascii="Arial" w:hAnsi="Arial"/>
                <w:b/>
              </w:rPr>
              <w:t>mg/L)</w:t>
            </w:r>
            <w:bookmarkEnd w:id="734"/>
          </w:p>
        </w:tc>
        <w:tc>
          <w:tcPr>
            <w:tcW w:w="198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5" w:name="_Toc255482868"/>
            <w:r w:rsidRPr="00AE2921">
              <w:rPr>
                <w:rFonts w:ascii="Arial" w:hAnsi="Arial"/>
                <w:b/>
              </w:rPr>
              <w:t xml:space="preserve">Phosphorus </w:t>
            </w:r>
          </w:p>
          <w:p w:rsidR="00485094" w:rsidRPr="00AE2921" w:rsidRDefault="00485094" w:rsidP="00774BC4">
            <w:pPr>
              <w:pStyle w:val="Tabletextreduced"/>
              <w:jc w:val="center"/>
              <w:rPr>
                <w:rFonts w:ascii="Arial" w:hAnsi="Arial"/>
                <w:b/>
              </w:rPr>
            </w:pPr>
            <w:r w:rsidRPr="00AE2921">
              <w:rPr>
                <w:rFonts w:ascii="Arial" w:hAnsi="Arial"/>
                <w:b/>
              </w:rPr>
              <w:t>(mg/L)</w:t>
            </w:r>
            <w:bookmarkEnd w:id="735"/>
          </w:p>
        </w:tc>
        <w:tc>
          <w:tcPr>
            <w:tcW w:w="180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6" w:name="_Toc255482869"/>
            <w:r w:rsidRPr="00AE2921">
              <w:rPr>
                <w:rFonts w:ascii="Arial" w:hAnsi="Arial"/>
                <w:b/>
              </w:rPr>
              <w:t xml:space="preserve">DO </w:t>
            </w:r>
          </w:p>
          <w:p w:rsidR="00485094" w:rsidRPr="00AE2921" w:rsidRDefault="00485094" w:rsidP="00774BC4">
            <w:pPr>
              <w:pStyle w:val="Tabletextreduced"/>
              <w:jc w:val="center"/>
              <w:rPr>
                <w:rFonts w:ascii="Arial" w:hAnsi="Arial"/>
                <w:b/>
              </w:rPr>
            </w:pPr>
            <w:r w:rsidRPr="00AE2921">
              <w:rPr>
                <w:rFonts w:ascii="Arial" w:hAnsi="Arial"/>
                <w:b/>
              </w:rPr>
              <w:t>(mg/L)</w:t>
            </w:r>
            <w:bookmarkEnd w:id="736"/>
          </w:p>
        </w:tc>
        <w:tc>
          <w:tcPr>
            <w:tcW w:w="1890" w:type="dxa"/>
            <w:tcBorders>
              <w:bottom w:val="double" w:sz="4" w:space="0" w:color="auto"/>
            </w:tcBorders>
            <w:shd w:val="clear" w:color="auto" w:fill="C9FFFF"/>
            <w:vAlign w:val="bottom"/>
          </w:tcPr>
          <w:p w:rsidR="00485094" w:rsidRDefault="00485094" w:rsidP="00774BC4">
            <w:pPr>
              <w:pStyle w:val="Tabletextreduced"/>
              <w:jc w:val="center"/>
              <w:rPr>
                <w:rFonts w:ascii="Arial" w:hAnsi="Arial"/>
                <w:b/>
              </w:rPr>
            </w:pPr>
            <w:bookmarkStart w:id="737" w:name="_Toc255482870"/>
            <w:r w:rsidRPr="00AE2921">
              <w:rPr>
                <w:rFonts w:ascii="Arial" w:hAnsi="Arial"/>
                <w:b/>
              </w:rPr>
              <w:t xml:space="preserve">Iron </w:t>
            </w:r>
          </w:p>
          <w:p w:rsidR="00485094" w:rsidRPr="00AE2921" w:rsidRDefault="00485094" w:rsidP="00774BC4">
            <w:pPr>
              <w:pStyle w:val="Tabletextreduced"/>
              <w:jc w:val="center"/>
              <w:rPr>
                <w:rFonts w:ascii="Arial" w:hAnsi="Arial"/>
                <w:b/>
              </w:rPr>
            </w:pPr>
            <w:r w:rsidRPr="00AE2921">
              <w:rPr>
                <w:rFonts w:ascii="Arial" w:hAnsi="Arial"/>
                <w:b/>
              </w:rPr>
              <w:t>(</w:t>
            </w:r>
            <w:r>
              <w:rPr>
                <w:rFonts w:ascii="Symbol" w:hAnsi="Symbol"/>
                <w:b/>
              </w:rPr>
              <w:t></w:t>
            </w:r>
            <w:r w:rsidRPr="00AE2921">
              <w:rPr>
                <w:rFonts w:ascii="Arial" w:hAnsi="Arial"/>
                <w:b/>
              </w:rPr>
              <w:t>g/L)</w:t>
            </w:r>
            <w:bookmarkEnd w:id="737"/>
          </w:p>
        </w:tc>
        <w:tc>
          <w:tcPr>
            <w:tcW w:w="1980" w:type="dxa"/>
            <w:tcBorders>
              <w:bottom w:val="double" w:sz="4" w:space="0" w:color="auto"/>
            </w:tcBorders>
            <w:shd w:val="clear" w:color="auto" w:fill="C9FFFF"/>
            <w:vAlign w:val="bottom"/>
          </w:tcPr>
          <w:p w:rsidR="00485094" w:rsidRPr="00AE2921" w:rsidRDefault="00485094" w:rsidP="00774BC4">
            <w:pPr>
              <w:pStyle w:val="Tabletextreduced"/>
              <w:jc w:val="center"/>
              <w:rPr>
                <w:rFonts w:ascii="Arial" w:hAnsi="Arial"/>
                <w:b/>
              </w:rPr>
            </w:pPr>
            <w:bookmarkStart w:id="738" w:name="_Toc255482871"/>
            <w:r w:rsidRPr="00AE2921">
              <w:rPr>
                <w:rFonts w:ascii="Arial" w:hAnsi="Arial"/>
                <w:b/>
              </w:rPr>
              <w:t xml:space="preserve">Specific Conductance </w:t>
            </w:r>
            <w:r w:rsidRPr="00FC23B4">
              <w:rPr>
                <w:rFonts w:ascii="Arial" w:hAnsi="Arial"/>
                <w:b/>
              </w:rPr>
              <w:t>(</w:t>
            </w:r>
            <w:r w:rsidR="00FC23B4" w:rsidRPr="00FC23B4">
              <w:rPr>
                <w:rFonts w:ascii="Symbol" w:hAnsi="Symbol"/>
                <w:b/>
              </w:rPr>
              <w:t></w:t>
            </w:r>
            <w:r w:rsidRPr="002812CB">
              <w:rPr>
                <w:rFonts w:ascii="Arial" w:hAnsi="Arial"/>
                <w:b/>
              </w:rPr>
              <w:t>S/cm</w:t>
            </w:r>
            <w:r w:rsidRPr="00AE2921">
              <w:rPr>
                <w:rFonts w:ascii="Arial" w:hAnsi="Arial"/>
                <w:b/>
              </w:rPr>
              <w:t>)</w:t>
            </w:r>
            <w:bookmarkEnd w:id="738"/>
          </w:p>
        </w:tc>
      </w:tr>
      <w:tr w:rsidR="00AF5F96" w:rsidTr="00580D5D">
        <w:tc>
          <w:tcPr>
            <w:tcW w:w="3258" w:type="dxa"/>
            <w:tcBorders>
              <w:top w:val="double" w:sz="4" w:space="0" w:color="auto"/>
            </w:tcBorders>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Apalachicola–Chipola</w:t>
            </w:r>
          </w:p>
        </w:tc>
        <w:tc>
          <w:tcPr>
            <w:tcW w:w="1890" w:type="dxa"/>
            <w:tcBorders>
              <w:top w:val="double" w:sz="4" w:space="0" w:color="auto"/>
            </w:tcBorders>
            <w:vAlign w:val="bottom"/>
          </w:tcPr>
          <w:p w:rsidR="00AF5F96" w:rsidRPr="00E65664" w:rsidRDefault="00AF5F96" w:rsidP="00DC2003">
            <w:pPr>
              <w:jc w:val="center"/>
              <w:rPr>
                <w:rFonts w:ascii="Arial" w:hAnsi="Arial" w:cs="Arial"/>
                <w:b/>
                <w:bCs/>
                <w:sz w:val="16"/>
                <w:szCs w:val="16"/>
              </w:rPr>
            </w:pPr>
            <w:r w:rsidRPr="00E65664">
              <w:rPr>
                <w:rFonts w:ascii="Arial" w:hAnsi="Arial" w:cs="Arial"/>
                <w:b/>
                <w:bCs/>
                <w:sz w:val="16"/>
                <w:szCs w:val="16"/>
                <w:shd w:val="clear" w:color="auto" w:fill="BFBFBF"/>
              </w:rPr>
              <w:t>1.6</w:t>
            </w:r>
            <w:r>
              <w:rPr>
                <w:rFonts w:ascii="Arial" w:hAnsi="Arial" w:cs="Arial"/>
                <w:b/>
                <w:bCs/>
                <w:sz w:val="16"/>
                <w:szCs w:val="16"/>
                <w:shd w:val="clear" w:color="auto" w:fill="BFBFBF"/>
              </w:rPr>
              <w:t xml:space="preserve"> **</w:t>
            </w:r>
            <w:r w:rsidRPr="00E65664">
              <w:rPr>
                <w:rFonts w:ascii="Arial" w:hAnsi="Arial" w:cs="Arial"/>
                <w:b/>
                <w:bCs/>
                <w:sz w:val="16"/>
                <w:szCs w:val="16"/>
              </w:rPr>
              <w:t xml:space="preserve"> </w:t>
            </w:r>
            <w:r>
              <w:rPr>
                <w:rFonts w:ascii="Arial" w:hAnsi="Arial" w:cs="Arial"/>
                <w:b/>
                <w:bCs/>
                <w:sz w:val="16"/>
                <w:szCs w:val="16"/>
              </w:rPr>
              <w:t>/</w:t>
            </w:r>
            <w:r w:rsidRPr="00E65664">
              <w:rPr>
                <w:rFonts w:ascii="Arial" w:hAnsi="Arial" w:cs="Arial"/>
                <w:b/>
                <w:bCs/>
                <w:sz w:val="16"/>
                <w:szCs w:val="16"/>
              </w:rPr>
              <w:t xml:space="preserve"> </w:t>
            </w:r>
            <w:r w:rsidRPr="00E65664">
              <w:rPr>
                <w:rFonts w:ascii="Arial" w:hAnsi="Arial" w:cs="Arial"/>
                <w:b/>
                <w:bCs/>
                <w:sz w:val="16"/>
                <w:szCs w:val="16"/>
                <w:shd w:val="clear" w:color="auto" w:fill="BFBFBF"/>
              </w:rPr>
              <w:t>1.1</w:t>
            </w:r>
            <w:r>
              <w:rPr>
                <w:rFonts w:ascii="Arial" w:hAnsi="Arial" w:cs="Arial"/>
                <w:b/>
                <w:bCs/>
                <w:sz w:val="16"/>
                <w:szCs w:val="16"/>
                <w:shd w:val="clear" w:color="auto" w:fill="BFBFBF"/>
              </w:rPr>
              <w:t xml:space="preserve"> **</w:t>
            </w:r>
          </w:p>
        </w:tc>
        <w:tc>
          <w:tcPr>
            <w:tcW w:w="1980" w:type="dxa"/>
            <w:tcBorders>
              <w:top w:val="double" w:sz="4" w:space="0" w:color="auto"/>
            </w:tcBorders>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0.015 </w:t>
            </w:r>
            <w:r>
              <w:rPr>
                <w:rFonts w:ascii="Arial" w:hAnsi="Arial" w:cs="Arial"/>
                <w:bCs/>
                <w:sz w:val="16"/>
                <w:szCs w:val="16"/>
              </w:rPr>
              <w:t>/</w:t>
            </w:r>
            <w:r w:rsidRPr="004E101B">
              <w:rPr>
                <w:rFonts w:ascii="Arial" w:hAnsi="Arial" w:cs="Arial"/>
                <w:bCs/>
                <w:sz w:val="16"/>
                <w:szCs w:val="16"/>
              </w:rPr>
              <w:t xml:space="preserve"> 0.011</w:t>
            </w:r>
          </w:p>
        </w:tc>
        <w:tc>
          <w:tcPr>
            <w:tcW w:w="1800" w:type="dxa"/>
            <w:tcBorders>
              <w:top w:val="double" w:sz="4" w:space="0" w:color="auto"/>
            </w:tcBorders>
            <w:vAlign w:val="bottom"/>
          </w:tcPr>
          <w:p w:rsidR="00AF5F96" w:rsidRPr="004E101B" w:rsidRDefault="00AF5F96" w:rsidP="00DC2003">
            <w:pPr>
              <w:jc w:val="center"/>
              <w:rPr>
                <w:rFonts w:ascii="Arial" w:hAnsi="Arial" w:cs="Arial"/>
                <w:bCs/>
                <w:sz w:val="16"/>
                <w:szCs w:val="16"/>
              </w:rPr>
            </w:pPr>
            <w:r w:rsidRPr="006B470A">
              <w:rPr>
                <w:rFonts w:ascii="Arial" w:hAnsi="Arial" w:cs="Arial"/>
                <w:bCs/>
                <w:sz w:val="16"/>
                <w:szCs w:val="16"/>
              </w:rPr>
              <w:t xml:space="preserve">6.2 </w:t>
            </w:r>
            <w:r>
              <w:rPr>
                <w:rFonts w:ascii="Arial" w:hAnsi="Arial" w:cs="Arial"/>
                <w:bCs/>
                <w:sz w:val="16"/>
                <w:szCs w:val="16"/>
              </w:rPr>
              <w:t>/</w:t>
            </w:r>
            <w:r w:rsidRPr="006B470A">
              <w:rPr>
                <w:rFonts w:ascii="Arial" w:hAnsi="Arial" w:cs="Arial"/>
                <w:bCs/>
                <w:sz w:val="16"/>
                <w:szCs w:val="16"/>
              </w:rPr>
              <w:t xml:space="preserve"> 6.5</w:t>
            </w:r>
          </w:p>
        </w:tc>
        <w:tc>
          <w:tcPr>
            <w:tcW w:w="1890" w:type="dxa"/>
            <w:tcBorders>
              <w:top w:val="double" w:sz="4" w:space="0" w:color="auto"/>
            </w:tcBorders>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16 </w:t>
            </w:r>
            <w:r>
              <w:rPr>
                <w:rFonts w:ascii="Arial" w:hAnsi="Arial" w:cs="Arial"/>
                <w:bCs/>
                <w:sz w:val="16"/>
                <w:szCs w:val="16"/>
              </w:rPr>
              <w:t>/</w:t>
            </w:r>
            <w:r w:rsidRPr="004E101B">
              <w:rPr>
                <w:rFonts w:ascii="Arial" w:hAnsi="Arial" w:cs="Arial"/>
                <w:bCs/>
                <w:sz w:val="16"/>
                <w:szCs w:val="16"/>
              </w:rPr>
              <w:t xml:space="preserve"> 30</w:t>
            </w:r>
          </w:p>
        </w:tc>
        <w:tc>
          <w:tcPr>
            <w:tcW w:w="1980" w:type="dxa"/>
            <w:tcBorders>
              <w:top w:val="double" w:sz="4" w:space="0" w:color="auto"/>
            </w:tcBorders>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200 </w:t>
            </w:r>
            <w:r>
              <w:rPr>
                <w:rFonts w:ascii="Arial" w:hAnsi="Arial" w:cs="Arial"/>
                <w:bCs/>
                <w:sz w:val="16"/>
                <w:szCs w:val="16"/>
              </w:rPr>
              <w:t>/</w:t>
            </w:r>
            <w:r w:rsidRPr="004E101B">
              <w:rPr>
                <w:rFonts w:ascii="Arial" w:hAnsi="Arial" w:cs="Arial"/>
                <w:bCs/>
                <w:sz w:val="16"/>
                <w:szCs w:val="16"/>
              </w:rPr>
              <w:t xml:space="preserve"> 200</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Caloosahatchee</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0.004 </w:t>
            </w:r>
            <w:r>
              <w:rPr>
                <w:rFonts w:ascii="Arial" w:hAnsi="Arial" w:cs="Arial"/>
                <w:bCs/>
                <w:sz w:val="16"/>
                <w:szCs w:val="16"/>
              </w:rPr>
              <w:t>/</w:t>
            </w:r>
            <w:r w:rsidRPr="004E101B">
              <w:rPr>
                <w:rFonts w:ascii="Arial" w:hAnsi="Arial" w:cs="Arial"/>
                <w:bCs/>
                <w:sz w:val="16"/>
                <w:szCs w:val="16"/>
              </w:rPr>
              <w:t xml:space="preserve"> 0.008</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0.043</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0.062</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0.40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0.76</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260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460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675</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835</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Charlotte Harbor</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0.008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0.044</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00" w:type="dxa"/>
            <w:vAlign w:val="bottom"/>
          </w:tcPr>
          <w:p w:rsidR="00AF5F96" w:rsidRPr="004E101B" w:rsidRDefault="00AF5F96" w:rsidP="00DC2003">
            <w:pPr>
              <w:jc w:val="center"/>
              <w:rPr>
                <w:rFonts w:ascii="Arial" w:hAnsi="Arial" w:cs="Arial"/>
                <w:bCs/>
                <w:sz w:val="16"/>
                <w:szCs w:val="16"/>
              </w:rPr>
            </w:pPr>
            <w:r w:rsidRPr="0015513C">
              <w:rPr>
                <w:rFonts w:ascii="Arial" w:hAnsi="Arial" w:cs="Arial"/>
                <w:b/>
                <w:bCs/>
                <w:sz w:val="16"/>
                <w:szCs w:val="16"/>
                <w:highlight w:val="lightGray"/>
                <w:shd w:val="clear" w:color="auto" w:fill="BFBFBF"/>
              </w:rPr>
              <w:t>0.54</w:t>
            </w:r>
            <w:r w:rsidRPr="0015513C">
              <w:rPr>
                <w:rFonts w:ascii="Arial" w:hAnsi="Arial" w:cs="Arial"/>
                <w:bCs/>
                <w:sz w:val="16"/>
                <w:szCs w:val="16"/>
                <w:highlight w:val="lightGray"/>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90" w:type="dxa"/>
            <w:vAlign w:val="bottom"/>
          </w:tcPr>
          <w:p w:rsidR="00AF5F96" w:rsidRPr="004E101B" w:rsidRDefault="00AF5F96" w:rsidP="00DC2003">
            <w:pPr>
              <w:jc w:val="center"/>
              <w:rPr>
                <w:rFonts w:ascii="Arial" w:hAnsi="Arial" w:cs="Arial"/>
                <w:bCs/>
                <w:sz w:val="16"/>
                <w:szCs w:val="16"/>
              </w:rPr>
            </w:pPr>
            <w:r w:rsidRPr="00D91C80">
              <w:rPr>
                <w:rFonts w:ascii="Arial" w:hAnsi="Arial" w:cs="Arial"/>
                <w:b/>
                <w:bCs/>
                <w:sz w:val="16"/>
                <w:szCs w:val="16"/>
                <w:highlight w:val="lightGray"/>
              </w:rPr>
              <w:t>846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874</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Choctawhatchee–St. Andrew</w:t>
            </w:r>
          </w:p>
        </w:tc>
        <w:tc>
          <w:tcPr>
            <w:tcW w:w="1890" w:type="dxa"/>
            <w:vAlign w:val="bottom"/>
          </w:tcPr>
          <w:p w:rsidR="00AF5F96" w:rsidRPr="004E101B" w:rsidRDefault="00AF5F96" w:rsidP="00DC2003">
            <w:pPr>
              <w:jc w:val="center"/>
              <w:rPr>
                <w:rFonts w:ascii="Arial" w:hAnsi="Arial" w:cs="Arial"/>
                <w:bCs/>
                <w:sz w:val="16"/>
                <w:szCs w:val="16"/>
              </w:rPr>
            </w:pPr>
            <w:r w:rsidRPr="00F77905">
              <w:rPr>
                <w:rFonts w:ascii="Arial" w:hAnsi="Arial" w:cs="Arial"/>
                <w:bCs/>
                <w:sz w:val="16"/>
                <w:szCs w:val="16"/>
                <w:highlight w:val="lightGray"/>
              </w:rPr>
              <w:t>0.08</w:t>
            </w:r>
            <w:r>
              <w:rPr>
                <w:rFonts w:ascii="Arial" w:hAnsi="Arial" w:cs="Arial"/>
                <w:bCs/>
                <w:sz w:val="16"/>
                <w:szCs w:val="16"/>
                <w:highlight w:val="lightGray"/>
              </w:rPr>
              <w:t xml:space="preserve"> *</w:t>
            </w:r>
            <w:r w:rsidRPr="00F77905">
              <w:rPr>
                <w:rFonts w:ascii="Arial" w:hAnsi="Arial" w:cs="Arial"/>
                <w:bCs/>
                <w:sz w:val="16"/>
                <w:szCs w:val="16"/>
                <w:highlight w:val="lightGray"/>
              </w:rPr>
              <w:t xml:space="preserve"> </w:t>
            </w:r>
            <w:r>
              <w:rPr>
                <w:rFonts w:ascii="Arial" w:hAnsi="Arial" w:cs="Arial"/>
                <w:bCs/>
                <w:sz w:val="16"/>
                <w:szCs w:val="16"/>
                <w:highlight w:val="lightGray"/>
              </w:rPr>
              <w:t>/</w:t>
            </w:r>
            <w:r w:rsidRPr="005147A1">
              <w:rPr>
                <w:rFonts w:ascii="Arial" w:hAnsi="Arial" w:cs="Arial"/>
                <w:bCs/>
                <w:sz w:val="16"/>
                <w:szCs w:val="16"/>
                <w:highlight w:val="lightGray"/>
              </w:rPr>
              <w:t xml:space="preserve"> </w:t>
            </w:r>
            <w:r w:rsidRPr="005147A1">
              <w:rPr>
                <w:rFonts w:ascii="Arial" w:hAnsi="Arial" w:cs="Arial"/>
                <w:b/>
                <w:bCs/>
                <w:sz w:val="16"/>
                <w:szCs w:val="16"/>
                <w:highlight w:val="lightGray"/>
              </w:rPr>
              <w:t>0.79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0.008 </w:t>
            </w:r>
            <w:r>
              <w:rPr>
                <w:rFonts w:ascii="Arial" w:hAnsi="Arial" w:cs="Arial"/>
                <w:bCs/>
                <w:sz w:val="16"/>
                <w:szCs w:val="16"/>
              </w:rPr>
              <w:t>/</w:t>
            </w:r>
            <w:r w:rsidRPr="004E101B">
              <w:rPr>
                <w:rFonts w:ascii="Arial" w:hAnsi="Arial" w:cs="Arial"/>
                <w:bCs/>
                <w:sz w:val="16"/>
                <w:szCs w:val="16"/>
              </w:rPr>
              <w:t xml:space="preserve"> 0.02</w:t>
            </w:r>
            <w:r>
              <w:rPr>
                <w:rFonts w:ascii="Arial" w:hAnsi="Arial" w:cs="Arial"/>
                <w:bCs/>
                <w:sz w:val="16"/>
                <w:szCs w:val="16"/>
              </w:rPr>
              <w:t>0</w:t>
            </w:r>
          </w:p>
        </w:tc>
        <w:tc>
          <w:tcPr>
            <w:tcW w:w="1800" w:type="dxa"/>
            <w:vAlign w:val="bottom"/>
          </w:tcPr>
          <w:p w:rsidR="00AF5F96" w:rsidRPr="004E101B" w:rsidRDefault="00AF5F96" w:rsidP="00DC2003">
            <w:pPr>
              <w:jc w:val="center"/>
              <w:rPr>
                <w:rFonts w:ascii="Arial" w:hAnsi="Arial" w:cs="Arial"/>
                <w:bCs/>
                <w:sz w:val="16"/>
                <w:szCs w:val="16"/>
              </w:rPr>
            </w:pPr>
            <w:r w:rsidRPr="00372B36">
              <w:rPr>
                <w:rFonts w:ascii="Arial" w:hAnsi="Arial" w:cs="Arial"/>
                <w:bCs/>
                <w:sz w:val="16"/>
                <w:szCs w:val="16"/>
              </w:rPr>
              <w:t>4.3</w:t>
            </w:r>
            <w:r>
              <w:rPr>
                <w:rFonts w:ascii="Arial" w:hAnsi="Arial" w:cs="Arial"/>
                <w:bCs/>
                <w:sz w:val="16"/>
                <w:szCs w:val="16"/>
              </w:rPr>
              <w:t xml:space="preserve"> /</w:t>
            </w:r>
            <w:r w:rsidRPr="006B470A">
              <w:rPr>
                <w:rFonts w:ascii="Arial" w:hAnsi="Arial" w:cs="Arial"/>
                <w:bCs/>
                <w:sz w:val="16"/>
                <w:szCs w:val="16"/>
              </w:rPr>
              <w:t xml:space="preserve"> 6.2</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64 </w:t>
            </w:r>
            <w:r>
              <w:rPr>
                <w:rFonts w:ascii="Arial" w:hAnsi="Arial" w:cs="Arial"/>
                <w:bCs/>
                <w:sz w:val="16"/>
                <w:szCs w:val="16"/>
              </w:rPr>
              <w:t>/</w:t>
            </w:r>
            <w:r w:rsidRPr="004E101B">
              <w:rPr>
                <w:rFonts w:ascii="Arial" w:hAnsi="Arial" w:cs="Arial"/>
                <w:bCs/>
                <w:sz w:val="16"/>
                <w:szCs w:val="16"/>
              </w:rPr>
              <w:t xml:space="preserve"> 30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68 </w:t>
            </w:r>
            <w:r>
              <w:rPr>
                <w:rFonts w:ascii="Arial" w:hAnsi="Arial" w:cs="Arial"/>
                <w:bCs/>
                <w:sz w:val="16"/>
                <w:szCs w:val="16"/>
              </w:rPr>
              <w:t>/</w:t>
            </w:r>
            <w:r w:rsidRPr="004E101B">
              <w:rPr>
                <w:rFonts w:ascii="Arial" w:hAnsi="Arial" w:cs="Arial"/>
                <w:bCs/>
                <w:sz w:val="16"/>
                <w:szCs w:val="16"/>
              </w:rPr>
              <w:t xml:space="preserve"> 215</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Everglades</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0.004 </w:t>
            </w:r>
            <w:r>
              <w:rPr>
                <w:rFonts w:ascii="Arial" w:hAnsi="Arial" w:cs="Arial"/>
                <w:bCs/>
                <w:sz w:val="16"/>
                <w:szCs w:val="16"/>
              </w:rPr>
              <w:t>/</w:t>
            </w:r>
            <w:r w:rsidRPr="004E101B">
              <w:rPr>
                <w:rFonts w:ascii="Arial" w:hAnsi="Arial" w:cs="Arial"/>
                <w:bCs/>
                <w:sz w:val="16"/>
                <w:szCs w:val="16"/>
              </w:rPr>
              <w:t xml:space="preserve"> 0.005</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0.025 </w:t>
            </w:r>
            <w:r>
              <w:rPr>
                <w:rFonts w:ascii="Arial" w:hAnsi="Arial" w:cs="Arial"/>
                <w:bCs/>
                <w:sz w:val="16"/>
                <w:szCs w:val="16"/>
              </w:rPr>
              <w:t>/</w:t>
            </w:r>
            <w:r w:rsidRPr="004E101B">
              <w:rPr>
                <w:rFonts w:ascii="Arial" w:hAnsi="Arial" w:cs="Arial"/>
                <w:bCs/>
                <w:sz w:val="16"/>
                <w:szCs w:val="16"/>
              </w:rPr>
              <w:t xml:space="preserve"> 0.024</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0.24</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1.4</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2</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550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30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161</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285</w:t>
            </w:r>
            <w:r>
              <w:rPr>
                <w:rFonts w:ascii="Arial" w:hAnsi="Arial" w:cs="Arial"/>
                <w:bCs/>
                <w:sz w:val="16"/>
                <w:szCs w:val="16"/>
                <w:shd w:val="clear" w:color="auto" w:fill="BFBFBF"/>
              </w:rPr>
              <w:t>*</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Everglades West Coast</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0.004 </w:t>
            </w:r>
            <w:r>
              <w:rPr>
                <w:rFonts w:ascii="Arial" w:hAnsi="Arial" w:cs="Arial"/>
                <w:bCs/>
                <w:sz w:val="16"/>
                <w:szCs w:val="16"/>
              </w:rPr>
              <w:t>/</w:t>
            </w:r>
            <w:r w:rsidRPr="008A045F">
              <w:rPr>
                <w:rFonts w:ascii="Arial" w:hAnsi="Arial" w:cs="Arial"/>
                <w:bCs/>
                <w:sz w:val="16"/>
                <w:szCs w:val="16"/>
              </w:rPr>
              <w:t xml:space="preserve"> </w:t>
            </w:r>
            <w:r w:rsidRPr="005147A1">
              <w:rPr>
                <w:rFonts w:ascii="Arial" w:hAnsi="Arial" w:cs="Arial"/>
                <w:bCs/>
                <w:sz w:val="16"/>
                <w:szCs w:val="16"/>
                <w:highlight w:val="lightGray"/>
              </w:rPr>
              <w:t>0.035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0.053</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5301E2">
              <w:rPr>
                <w:rFonts w:ascii="Arial" w:hAnsi="Arial" w:cs="Arial"/>
                <w:bCs/>
                <w:sz w:val="16"/>
                <w:szCs w:val="16"/>
                <w:highlight w:val="lightGray"/>
              </w:rPr>
              <w:t>0.036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0.38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0.64</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E83CFA">
              <w:rPr>
                <w:rFonts w:ascii="Arial" w:hAnsi="Arial" w:cs="Arial"/>
                <w:b/>
                <w:bCs/>
                <w:sz w:val="16"/>
                <w:szCs w:val="16"/>
                <w:highlight w:val="lightGray"/>
              </w:rPr>
              <w:t>740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260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596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574</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Fisheating Creek</w:t>
            </w:r>
          </w:p>
        </w:tc>
        <w:tc>
          <w:tcPr>
            <w:tcW w:w="1890" w:type="dxa"/>
            <w:vAlign w:val="bottom"/>
          </w:tcPr>
          <w:p w:rsidR="00AF5F96" w:rsidRPr="00E65664" w:rsidRDefault="00AF5F96" w:rsidP="00DC2003">
            <w:pPr>
              <w:jc w:val="center"/>
              <w:rPr>
                <w:rFonts w:ascii="Arial" w:hAnsi="Arial" w:cs="Arial"/>
                <w:b/>
                <w:bCs/>
                <w:sz w:val="16"/>
                <w:szCs w:val="16"/>
              </w:rPr>
            </w:pPr>
            <w:r w:rsidRPr="00E65664">
              <w:rPr>
                <w:rFonts w:ascii="Arial" w:hAnsi="Arial" w:cs="Arial"/>
                <w:b/>
                <w:bCs/>
                <w:sz w:val="16"/>
                <w:szCs w:val="16"/>
                <w:shd w:val="clear" w:color="auto" w:fill="BFBFBF"/>
              </w:rPr>
              <w:t>10.5</w:t>
            </w:r>
            <w:r>
              <w:rPr>
                <w:rFonts w:ascii="Arial" w:hAnsi="Arial" w:cs="Arial"/>
                <w:b/>
                <w:bCs/>
                <w:sz w:val="16"/>
                <w:szCs w:val="16"/>
                <w:shd w:val="clear" w:color="auto" w:fill="BFBFBF"/>
              </w:rPr>
              <w:t xml:space="preserve"> **</w:t>
            </w:r>
            <w:r w:rsidRPr="00E65664">
              <w:rPr>
                <w:rFonts w:ascii="Arial" w:hAnsi="Arial" w:cs="Arial"/>
                <w:b/>
                <w:bCs/>
                <w:sz w:val="16"/>
                <w:szCs w:val="16"/>
              </w:rPr>
              <w:t xml:space="preserve"> </w:t>
            </w:r>
            <w:r>
              <w:rPr>
                <w:rFonts w:ascii="Arial" w:hAnsi="Arial" w:cs="Arial"/>
                <w:b/>
                <w:bCs/>
                <w:sz w:val="16"/>
                <w:szCs w:val="16"/>
              </w:rPr>
              <w:t>/</w:t>
            </w:r>
            <w:r w:rsidRPr="00E65664">
              <w:rPr>
                <w:rFonts w:ascii="Arial" w:hAnsi="Arial" w:cs="Arial"/>
                <w:b/>
                <w:bCs/>
                <w:sz w:val="16"/>
                <w:szCs w:val="16"/>
              </w:rPr>
              <w:t xml:space="preserve"> </w:t>
            </w:r>
            <w:r w:rsidRPr="00E65664">
              <w:rPr>
                <w:rFonts w:ascii="Arial" w:hAnsi="Arial" w:cs="Arial"/>
                <w:b/>
                <w:bCs/>
                <w:sz w:val="16"/>
                <w:szCs w:val="16"/>
                <w:shd w:val="clear" w:color="auto" w:fill="BFBFBF"/>
              </w:rPr>
              <w:t>10.2</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0.021</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00" w:type="dxa"/>
            <w:vAlign w:val="bottom"/>
          </w:tcPr>
          <w:p w:rsidR="00AF5F96" w:rsidRPr="004E101B" w:rsidRDefault="00AF5F96" w:rsidP="00DC2003">
            <w:pPr>
              <w:jc w:val="center"/>
              <w:rPr>
                <w:rFonts w:ascii="Arial" w:hAnsi="Arial" w:cs="Arial"/>
                <w:bCs/>
                <w:sz w:val="16"/>
                <w:szCs w:val="16"/>
              </w:rPr>
            </w:pPr>
            <w:r w:rsidRPr="0015513C">
              <w:rPr>
                <w:rFonts w:ascii="Arial" w:hAnsi="Arial" w:cs="Arial"/>
                <w:bCs/>
                <w:sz w:val="16"/>
                <w:szCs w:val="16"/>
                <w:shd w:val="clear" w:color="auto" w:fill="BFBFBF"/>
              </w:rPr>
              <w:t>4.3</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6.1</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158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306 </w:t>
            </w:r>
            <w:r>
              <w:rPr>
                <w:rFonts w:ascii="Arial" w:hAnsi="Arial" w:cs="Arial"/>
                <w:bCs/>
                <w:sz w:val="16"/>
                <w:szCs w:val="16"/>
              </w:rPr>
              <w:t>/</w:t>
            </w:r>
            <w:r w:rsidRPr="004E101B">
              <w:rPr>
                <w:rFonts w:ascii="Arial" w:hAnsi="Arial" w:cs="Arial"/>
                <w:bCs/>
                <w:sz w:val="16"/>
                <w:szCs w:val="16"/>
              </w:rPr>
              <w:t xml:space="preserve"> 375</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Florida Keys</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0.017 </w:t>
            </w:r>
            <w:r>
              <w:rPr>
                <w:rFonts w:ascii="Arial" w:hAnsi="Arial" w:cs="Arial"/>
                <w:bCs/>
                <w:sz w:val="16"/>
                <w:szCs w:val="16"/>
              </w:rPr>
              <w:t>/</w:t>
            </w:r>
            <w:r w:rsidRPr="004E101B">
              <w:rPr>
                <w:rFonts w:ascii="Arial" w:hAnsi="Arial" w:cs="Arial"/>
                <w:bCs/>
                <w:sz w:val="16"/>
                <w:szCs w:val="16"/>
              </w:rPr>
              <w:t xml:space="preserve"> 0.005</w:t>
            </w:r>
          </w:p>
        </w:tc>
        <w:tc>
          <w:tcPr>
            <w:tcW w:w="198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0.018</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0.19</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2.8</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90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2</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314</w:t>
            </w:r>
            <w:r>
              <w:rPr>
                <w:rFonts w:ascii="Arial" w:hAnsi="Arial" w:cs="Arial"/>
                <w:bCs/>
                <w:sz w:val="16"/>
                <w:szCs w:val="16"/>
                <w:shd w:val="clear" w:color="auto" w:fill="BFBFBF"/>
              </w:rPr>
              <w:t xml:space="preserve"> *</w:t>
            </w:r>
            <w:r>
              <w:rPr>
                <w:rFonts w:ascii="Arial" w:hAnsi="Arial" w:cs="Arial"/>
                <w:bCs/>
                <w:sz w:val="16"/>
                <w:szCs w:val="16"/>
              </w:rPr>
              <w:t>/</w:t>
            </w:r>
            <w:r w:rsidRPr="004E101B">
              <w:rPr>
                <w:rFonts w:ascii="Arial" w:hAnsi="Arial" w:cs="Arial"/>
                <w:bCs/>
                <w:sz w:val="16"/>
                <w:szCs w:val="16"/>
                <w:shd w:val="clear" w:color="auto" w:fill="BFBFBF"/>
              </w:rPr>
              <w:t>14</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957</w:t>
            </w:r>
            <w:r>
              <w:rPr>
                <w:rFonts w:ascii="Arial" w:hAnsi="Arial" w:cs="Arial"/>
                <w:bCs/>
                <w:sz w:val="16"/>
                <w:szCs w:val="16"/>
                <w:shd w:val="clear" w:color="auto" w:fill="BFBFBF"/>
              </w:rPr>
              <w:t>*</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Indian River Lagoon</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0.008 </w:t>
            </w:r>
            <w:r>
              <w:rPr>
                <w:rFonts w:ascii="Arial" w:hAnsi="Arial" w:cs="Arial"/>
                <w:bCs/>
                <w:sz w:val="16"/>
                <w:szCs w:val="16"/>
              </w:rPr>
              <w:t>/</w:t>
            </w:r>
            <w:r w:rsidRPr="004E101B">
              <w:rPr>
                <w:rFonts w:ascii="Arial" w:hAnsi="Arial" w:cs="Arial"/>
                <w:bCs/>
                <w:sz w:val="16"/>
                <w:szCs w:val="16"/>
              </w:rPr>
              <w:t xml:space="preserve"> 0.014</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0.86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0.19</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0.76</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0.75</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100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 xml:space="preserve">/ </w:t>
            </w:r>
            <w:r w:rsidRPr="004E101B">
              <w:rPr>
                <w:rFonts w:ascii="Arial" w:hAnsi="Arial" w:cs="Arial"/>
                <w:b/>
                <w:bCs/>
                <w:sz w:val="16"/>
                <w:szCs w:val="16"/>
                <w:shd w:val="clear" w:color="auto" w:fill="BFBFBF"/>
              </w:rPr>
              <w:t>430.5</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481</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380</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Kissimmee River</w:t>
            </w:r>
          </w:p>
        </w:tc>
        <w:tc>
          <w:tcPr>
            <w:tcW w:w="1890" w:type="dxa"/>
            <w:vAlign w:val="bottom"/>
          </w:tcPr>
          <w:p w:rsidR="00AF5F96" w:rsidRPr="00E65664" w:rsidRDefault="00AF5F96" w:rsidP="00DC2003">
            <w:pPr>
              <w:jc w:val="center"/>
              <w:rPr>
                <w:rFonts w:ascii="Arial" w:hAnsi="Arial" w:cs="Arial"/>
                <w:b/>
                <w:bCs/>
                <w:sz w:val="16"/>
                <w:szCs w:val="16"/>
              </w:rPr>
            </w:pPr>
            <w:r w:rsidRPr="00E65664">
              <w:rPr>
                <w:rFonts w:ascii="Arial" w:hAnsi="Arial" w:cs="Arial"/>
                <w:b/>
                <w:bCs/>
                <w:sz w:val="16"/>
                <w:szCs w:val="16"/>
                <w:shd w:val="clear" w:color="auto" w:fill="BFBFBF"/>
              </w:rPr>
              <w:t>11</w:t>
            </w:r>
            <w:r>
              <w:rPr>
                <w:rFonts w:ascii="Arial" w:hAnsi="Arial" w:cs="Arial"/>
                <w:b/>
                <w:bCs/>
                <w:sz w:val="16"/>
                <w:szCs w:val="16"/>
                <w:shd w:val="clear" w:color="auto" w:fill="BFBFBF"/>
              </w:rPr>
              <w:t>.0 **</w:t>
            </w:r>
            <w:r w:rsidRPr="00E65664">
              <w:rPr>
                <w:rFonts w:ascii="Arial" w:hAnsi="Arial" w:cs="Arial"/>
                <w:b/>
                <w:bCs/>
                <w:sz w:val="16"/>
                <w:szCs w:val="16"/>
              </w:rPr>
              <w:t xml:space="preserve"> </w:t>
            </w:r>
            <w:r>
              <w:rPr>
                <w:rFonts w:ascii="Arial" w:hAnsi="Arial" w:cs="Arial"/>
                <w:b/>
                <w:bCs/>
                <w:sz w:val="16"/>
                <w:szCs w:val="16"/>
              </w:rPr>
              <w:t>/</w:t>
            </w:r>
            <w:r w:rsidRPr="00E65664">
              <w:rPr>
                <w:rFonts w:ascii="Arial" w:hAnsi="Arial" w:cs="Arial"/>
                <w:b/>
                <w:bCs/>
                <w:sz w:val="16"/>
                <w:szCs w:val="16"/>
              </w:rPr>
              <w:t xml:space="preserve"> </w:t>
            </w:r>
            <w:r w:rsidRPr="00E65664">
              <w:rPr>
                <w:rFonts w:ascii="Arial" w:hAnsi="Arial" w:cs="Arial"/>
                <w:b/>
                <w:bCs/>
                <w:sz w:val="16"/>
                <w:szCs w:val="16"/>
                <w:shd w:val="clear" w:color="auto" w:fill="BFBFBF"/>
              </w:rPr>
              <w:t>12.3</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0.025</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0.21</w:t>
            </w:r>
            <w:r>
              <w:rPr>
                <w:rFonts w:ascii="Arial" w:hAnsi="Arial" w:cs="Arial"/>
                <w:bCs/>
                <w:sz w:val="16"/>
                <w:szCs w:val="16"/>
                <w:shd w:val="clear" w:color="auto" w:fill="BFBFBF"/>
              </w:rPr>
              <w:t>0 *</w:t>
            </w:r>
          </w:p>
        </w:tc>
        <w:tc>
          <w:tcPr>
            <w:tcW w:w="1800" w:type="dxa"/>
            <w:vAlign w:val="bottom"/>
          </w:tcPr>
          <w:p w:rsidR="00AF5F96" w:rsidRPr="004E101B" w:rsidRDefault="00AF5F96" w:rsidP="00DC2003">
            <w:pPr>
              <w:jc w:val="center"/>
              <w:rPr>
                <w:rFonts w:ascii="Arial" w:hAnsi="Arial" w:cs="Arial"/>
                <w:bCs/>
                <w:sz w:val="16"/>
                <w:szCs w:val="16"/>
              </w:rPr>
            </w:pPr>
            <w:r w:rsidRPr="006B470A">
              <w:rPr>
                <w:rFonts w:ascii="Arial" w:hAnsi="Arial" w:cs="Arial"/>
                <w:bCs/>
                <w:sz w:val="16"/>
                <w:szCs w:val="16"/>
              </w:rPr>
              <w:t xml:space="preserve">6.3 </w:t>
            </w:r>
            <w:r>
              <w:rPr>
                <w:rFonts w:ascii="Arial" w:hAnsi="Arial" w:cs="Arial"/>
                <w:bCs/>
                <w:sz w:val="16"/>
                <w:szCs w:val="16"/>
              </w:rPr>
              <w:t>/</w:t>
            </w:r>
            <w:r w:rsidRPr="006B470A">
              <w:rPr>
                <w:rFonts w:ascii="Arial" w:hAnsi="Arial" w:cs="Arial"/>
                <w:bCs/>
                <w:sz w:val="16"/>
                <w:szCs w:val="16"/>
              </w:rPr>
              <w:t xml:space="preserve"> 7.0</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200.7</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710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344 </w:t>
            </w:r>
            <w:r>
              <w:rPr>
                <w:rFonts w:ascii="Arial" w:hAnsi="Arial" w:cs="Arial"/>
                <w:bCs/>
                <w:sz w:val="16"/>
                <w:szCs w:val="16"/>
              </w:rPr>
              <w:t>/</w:t>
            </w:r>
            <w:r w:rsidRPr="004E101B">
              <w:rPr>
                <w:rFonts w:ascii="Arial" w:hAnsi="Arial" w:cs="Arial"/>
                <w:bCs/>
                <w:sz w:val="16"/>
                <w:szCs w:val="16"/>
              </w:rPr>
              <w:t xml:space="preserve"> 310</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Lake Okeechobee</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0.004 </w:t>
            </w:r>
            <w:r>
              <w:rPr>
                <w:rFonts w:ascii="Arial" w:hAnsi="Arial" w:cs="Arial"/>
                <w:bCs/>
                <w:sz w:val="16"/>
                <w:szCs w:val="16"/>
              </w:rPr>
              <w:t>/</w:t>
            </w:r>
            <w:r w:rsidRPr="008A045F">
              <w:rPr>
                <w:rFonts w:ascii="Arial" w:hAnsi="Arial" w:cs="Arial"/>
                <w:bCs/>
                <w:sz w:val="16"/>
                <w:szCs w:val="16"/>
              </w:rPr>
              <w:t xml:space="preserve"> </w:t>
            </w:r>
            <w:r w:rsidRPr="004C764B">
              <w:rPr>
                <w:rFonts w:ascii="Arial" w:hAnsi="Arial" w:cs="Arial"/>
                <w:bCs/>
                <w:sz w:val="16"/>
                <w:szCs w:val="16"/>
                <w:highlight w:val="lightGray"/>
              </w:rPr>
              <w:t>0.04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0.26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0.3</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0.2</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569</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616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704</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Lake Worth Lagoon–Palm Beach Coast</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0.004 </w:t>
            </w:r>
            <w:r>
              <w:rPr>
                <w:rFonts w:ascii="Arial" w:hAnsi="Arial" w:cs="Arial"/>
                <w:bCs/>
                <w:sz w:val="16"/>
                <w:szCs w:val="16"/>
              </w:rPr>
              <w:t>/</w:t>
            </w:r>
            <w:r w:rsidRPr="004E101B">
              <w:rPr>
                <w:rFonts w:ascii="Arial" w:hAnsi="Arial" w:cs="Arial"/>
                <w:bCs/>
                <w:sz w:val="16"/>
                <w:szCs w:val="16"/>
              </w:rPr>
              <w:t xml:space="preserve"> 0.008</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0.063</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0.25</w:t>
            </w:r>
            <w:r>
              <w:rPr>
                <w:rFonts w:ascii="Arial" w:hAnsi="Arial" w:cs="Arial"/>
                <w:bCs/>
                <w:sz w:val="16"/>
                <w:szCs w:val="16"/>
                <w:shd w:val="clear" w:color="auto" w:fill="BFBFBF"/>
              </w:rPr>
              <w:t>0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0.25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0.32</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102.5 </w:t>
            </w:r>
            <w:r>
              <w:rPr>
                <w:rFonts w:ascii="Arial" w:hAnsi="Arial" w:cs="Arial"/>
                <w:bCs/>
                <w:sz w:val="16"/>
                <w:szCs w:val="16"/>
              </w:rPr>
              <w:t>/</w:t>
            </w:r>
            <w:r w:rsidRPr="004E101B">
              <w:rPr>
                <w:rFonts w:ascii="Arial" w:hAnsi="Arial" w:cs="Arial"/>
                <w:bCs/>
                <w:sz w:val="16"/>
                <w:szCs w:val="16"/>
              </w:rPr>
              <w:t xml:space="preserve"> 41.5</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493</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497</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Lower St. Johns</w:t>
            </w:r>
          </w:p>
        </w:tc>
        <w:tc>
          <w:tcPr>
            <w:tcW w:w="1890" w:type="dxa"/>
            <w:vAlign w:val="bottom"/>
          </w:tcPr>
          <w:p w:rsidR="00AF5F96" w:rsidRPr="004E101B" w:rsidRDefault="00AF5F96" w:rsidP="00DC2003">
            <w:pPr>
              <w:jc w:val="center"/>
              <w:rPr>
                <w:rFonts w:ascii="Arial" w:hAnsi="Arial" w:cs="Arial"/>
                <w:bCs/>
                <w:sz w:val="16"/>
                <w:szCs w:val="16"/>
              </w:rPr>
            </w:pPr>
            <w:r w:rsidRPr="004C764B">
              <w:rPr>
                <w:rFonts w:ascii="Arial" w:hAnsi="Arial" w:cs="Arial"/>
                <w:bCs/>
                <w:sz w:val="16"/>
                <w:szCs w:val="16"/>
                <w:highlight w:val="lightGray"/>
              </w:rPr>
              <w:t xml:space="preserve">0.06 * </w:t>
            </w:r>
            <w:r>
              <w:rPr>
                <w:rFonts w:ascii="Arial" w:hAnsi="Arial" w:cs="Arial"/>
                <w:bCs/>
                <w:sz w:val="16"/>
                <w:szCs w:val="16"/>
                <w:highlight w:val="lightGray"/>
              </w:rPr>
              <w:t>/</w:t>
            </w:r>
            <w:r w:rsidRPr="004C764B">
              <w:rPr>
                <w:rFonts w:ascii="Arial" w:hAnsi="Arial" w:cs="Arial"/>
                <w:bCs/>
                <w:sz w:val="16"/>
                <w:szCs w:val="16"/>
                <w:highlight w:val="lightGray"/>
              </w:rPr>
              <w:t xml:space="preserve"> 0.04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0.047</w:t>
            </w:r>
            <w:r>
              <w:rPr>
                <w:rFonts w:ascii="Arial" w:hAnsi="Arial" w:cs="Arial"/>
                <w:bCs/>
                <w:sz w:val="16"/>
                <w:szCs w:val="16"/>
                <w:shd w:val="clear" w:color="auto" w:fill="BFBFBF"/>
              </w:rPr>
              <w:t xml:space="preserve"> *</w:t>
            </w:r>
            <w:r w:rsidRPr="004E101B">
              <w:rPr>
                <w:rFonts w:ascii="Arial" w:hAnsi="Arial" w:cs="Arial"/>
                <w:bCs/>
                <w:sz w:val="16"/>
                <w:szCs w:val="16"/>
                <w:shd w:val="clear" w:color="auto" w:fill="BFBFBF"/>
              </w:rPr>
              <w:t xml:space="preserve"> </w:t>
            </w:r>
            <w:r>
              <w:rPr>
                <w:rFonts w:ascii="Arial" w:hAnsi="Arial" w:cs="Arial"/>
                <w:bCs/>
                <w:sz w:val="16"/>
                <w:szCs w:val="16"/>
                <w:shd w:val="clear" w:color="auto" w:fill="BFBFBF"/>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0.035</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0.36</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0.18</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458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1441</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185 </w:t>
            </w:r>
            <w:r>
              <w:rPr>
                <w:rFonts w:ascii="Arial" w:hAnsi="Arial" w:cs="Arial"/>
                <w:bCs/>
                <w:sz w:val="16"/>
                <w:szCs w:val="16"/>
              </w:rPr>
              <w:t>/</w:t>
            </w:r>
            <w:r w:rsidRPr="004E101B">
              <w:rPr>
                <w:rFonts w:ascii="Arial" w:hAnsi="Arial" w:cs="Arial"/>
                <w:bCs/>
                <w:sz w:val="16"/>
                <w:szCs w:val="16"/>
              </w:rPr>
              <w:t xml:space="preserve"> 219</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Middle St. Johns</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0.016 </w:t>
            </w:r>
            <w:r>
              <w:rPr>
                <w:rFonts w:ascii="Arial" w:hAnsi="Arial" w:cs="Arial"/>
                <w:bCs/>
                <w:sz w:val="16"/>
                <w:szCs w:val="16"/>
              </w:rPr>
              <w:t>/</w:t>
            </w:r>
            <w:r w:rsidRPr="004E101B">
              <w:rPr>
                <w:rFonts w:ascii="Arial" w:hAnsi="Arial" w:cs="Arial"/>
                <w:bCs/>
                <w:sz w:val="16"/>
                <w:szCs w:val="16"/>
              </w:rPr>
              <w:t xml:space="preserve"> 0.02</w:t>
            </w:r>
            <w:r>
              <w:rPr>
                <w:rFonts w:ascii="Arial" w:hAnsi="Arial" w:cs="Arial"/>
                <w:bCs/>
                <w:sz w:val="16"/>
                <w:szCs w:val="16"/>
              </w:rPr>
              <w:t>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0.04</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0.38</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0.48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0.29</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100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934</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336 </w:t>
            </w:r>
            <w:r>
              <w:rPr>
                <w:rFonts w:ascii="Arial" w:hAnsi="Arial" w:cs="Arial"/>
                <w:bCs/>
                <w:sz w:val="16"/>
                <w:szCs w:val="16"/>
              </w:rPr>
              <w:t>/</w:t>
            </w:r>
            <w:r w:rsidRPr="004E101B">
              <w:rPr>
                <w:rFonts w:ascii="Arial" w:hAnsi="Arial" w:cs="Arial"/>
                <w:bCs/>
                <w:sz w:val="16"/>
                <w:szCs w:val="16"/>
              </w:rPr>
              <w:t xml:space="preserve"> 170</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Nassau–St. Marys</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0.009 </w:t>
            </w:r>
            <w:r>
              <w:rPr>
                <w:rFonts w:ascii="Arial" w:hAnsi="Arial" w:cs="Arial"/>
                <w:bCs/>
                <w:sz w:val="16"/>
                <w:szCs w:val="16"/>
              </w:rPr>
              <w:t>/</w:t>
            </w:r>
            <w:r w:rsidRPr="004E101B">
              <w:rPr>
                <w:rFonts w:ascii="Arial" w:hAnsi="Arial" w:cs="Arial"/>
                <w:bCs/>
                <w:sz w:val="16"/>
                <w:szCs w:val="16"/>
              </w:rPr>
              <w:t xml:space="preserve"> 0.02</w:t>
            </w:r>
            <w:r>
              <w:rPr>
                <w:rFonts w:ascii="Arial" w:hAnsi="Arial" w:cs="Arial"/>
                <w:bCs/>
                <w:sz w:val="16"/>
                <w:szCs w:val="16"/>
              </w:rPr>
              <w:t>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0.065</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0.033</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0.92</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1.3</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248 /</w:t>
            </w:r>
            <w:r w:rsidRPr="004E101B">
              <w:rPr>
                <w:rFonts w:ascii="Arial" w:hAnsi="Arial" w:cs="Arial"/>
                <w:bCs/>
                <w:sz w:val="16"/>
                <w:szCs w:val="16"/>
              </w:rPr>
              <w:t xml:space="preserve"> 30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106 </w:t>
            </w:r>
            <w:r>
              <w:rPr>
                <w:rFonts w:ascii="Arial" w:hAnsi="Arial" w:cs="Arial"/>
                <w:bCs/>
                <w:sz w:val="16"/>
                <w:szCs w:val="16"/>
              </w:rPr>
              <w:t>/</w:t>
            </w:r>
            <w:r w:rsidRPr="004E101B">
              <w:rPr>
                <w:rFonts w:ascii="Arial" w:hAnsi="Arial" w:cs="Arial"/>
                <w:bCs/>
                <w:sz w:val="16"/>
                <w:szCs w:val="16"/>
              </w:rPr>
              <w:t xml:space="preserve"> 100</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Ochlockonee–St. Marks</w:t>
            </w:r>
          </w:p>
        </w:tc>
        <w:tc>
          <w:tcPr>
            <w:tcW w:w="1890" w:type="dxa"/>
            <w:vAlign w:val="bottom"/>
          </w:tcPr>
          <w:p w:rsidR="00AF5F96" w:rsidRPr="004E101B" w:rsidRDefault="00AF5F96" w:rsidP="00DC2003">
            <w:pPr>
              <w:jc w:val="center"/>
              <w:rPr>
                <w:rFonts w:ascii="Arial" w:hAnsi="Arial" w:cs="Arial"/>
                <w:bCs/>
                <w:sz w:val="16"/>
                <w:szCs w:val="16"/>
              </w:rPr>
            </w:pPr>
            <w:r w:rsidRPr="004C764B">
              <w:rPr>
                <w:rFonts w:ascii="Arial" w:hAnsi="Arial" w:cs="Arial"/>
                <w:bCs/>
                <w:sz w:val="16"/>
                <w:szCs w:val="16"/>
                <w:highlight w:val="lightGray"/>
              </w:rPr>
              <w:t xml:space="preserve">0.086 * </w:t>
            </w:r>
            <w:r>
              <w:rPr>
                <w:rFonts w:ascii="Arial" w:hAnsi="Arial" w:cs="Arial"/>
                <w:bCs/>
                <w:sz w:val="16"/>
                <w:szCs w:val="16"/>
                <w:highlight w:val="lightGray"/>
              </w:rPr>
              <w:t>/</w:t>
            </w:r>
            <w:r w:rsidRPr="004C764B">
              <w:rPr>
                <w:rFonts w:ascii="Arial" w:hAnsi="Arial" w:cs="Arial"/>
                <w:bCs/>
                <w:sz w:val="16"/>
                <w:szCs w:val="16"/>
                <w:highlight w:val="lightGray"/>
              </w:rPr>
              <w:t xml:space="preserve"> </w:t>
            </w:r>
            <w:r w:rsidRPr="004C764B">
              <w:rPr>
                <w:rFonts w:ascii="Arial" w:hAnsi="Arial" w:cs="Arial"/>
                <w:b/>
                <w:bCs/>
                <w:sz w:val="16"/>
                <w:szCs w:val="16"/>
                <w:highlight w:val="lightGray"/>
              </w:rPr>
              <w:t>0.45</w:t>
            </w:r>
            <w:r>
              <w:rPr>
                <w:rFonts w:ascii="Arial" w:hAnsi="Arial" w:cs="Arial"/>
                <w:b/>
                <w:bCs/>
                <w:sz w:val="16"/>
                <w:szCs w:val="16"/>
                <w:highlight w:val="lightGray"/>
              </w:rPr>
              <w:t>0</w:t>
            </w:r>
            <w:r w:rsidRPr="004C764B">
              <w:rPr>
                <w:rFonts w:ascii="Arial" w:hAnsi="Arial" w:cs="Arial"/>
                <w:b/>
                <w:bCs/>
                <w:sz w:val="16"/>
                <w:szCs w:val="16"/>
                <w:highlight w:val="lightGray"/>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0.021 </w:t>
            </w:r>
            <w:r>
              <w:rPr>
                <w:rFonts w:ascii="Arial" w:hAnsi="Arial" w:cs="Arial"/>
                <w:bCs/>
                <w:sz w:val="16"/>
                <w:szCs w:val="16"/>
              </w:rPr>
              <w:t>/</w:t>
            </w:r>
            <w:r w:rsidRPr="004E101B">
              <w:rPr>
                <w:rFonts w:ascii="Arial" w:hAnsi="Arial" w:cs="Arial"/>
                <w:bCs/>
                <w:sz w:val="16"/>
                <w:szCs w:val="16"/>
              </w:rPr>
              <w:t xml:space="preserve"> 0.028</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2.8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1.3</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179 /</w:t>
            </w:r>
            <w:r w:rsidRPr="004E101B">
              <w:rPr>
                <w:rFonts w:ascii="Arial" w:hAnsi="Arial" w:cs="Arial"/>
                <w:bCs/>
                <w:sz w:val="16"/>
                <w:szCs w:val="16"/>
              </w:rPr>
              <w:t xml:space="preserve"> 30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183 </w:t>
            </w:r>
            <w:r>
              <w:rPr>
                <w:rFonts w:ascii="Arial" w:hAnsi="Arial" w:cs="Arial"/>
                <w:bCs/>
                <w:sz w:val="16"/>
                <w:szCs w:val="16"/>
              </w:rPr>
              <w:t>/</w:t>
            </w:r>
            <w:r w:rsidRPr="004E101B">
              <w:rPr>
                <w:rFonts w:ascii="Arial" w:hAnsi="Arial" w:cs="Arial"/>
                <w:bCs/>
                <w:sz w:val="16"/>
                <w:szCs w:val="16"/>
              </w:rPr>
              <w:t xml:space="preserve"> 333</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Ocklawaha</w:t>
            </w:r>
          </w:p>
        </w:tc>
        <w:tc>
          <w:tcPr>
            <w:tcW w:w="1890" w:type="dxa"/>
            <w:vAlign w:val="bottom"/>
          </w:tcPr>
          <w:p w:rsidR="00AF5F96" w:rsidRPr="004E101B" w:rsidRDefault="00AF5F96" w:rsidP="00DC2003">
            <w:pPr>
              <w:jc w:val="center"/>
              <w:rPr>
                <w:rFonts w:ascii="Arial" w:hAnsi="Arial" w:cs="Arial"/>
                <w:bCs/>
                <w:sz w:val="16"/>
                <w:szCs w:val="16"/>
              </w:rPr>
            </w:pPr>
            <w:r w:rsidRPr="004C764B">
              <w:rPr>
                <w:rFonts w:ascii="Arial" w:hAnsi="Arial" w:cs="Arial"/>
                <w:bCs/>
                <w:sz w:val="16"/>
                <w:szCs w:val="16"/>
                <w:highlight w:val="lightGray"/>
              </w:rPr>
              <w:t xml:space="preserve">0.038 * </w:t>
            </w:r>
            <w:r>
              <w:rPr>
                <w:rFonts w:ascii="Arial" w:hAnsi="Arial" w:cs="Arial"/>
                <w:bCs/>
                <w:sz w:val="16"/>
                <w:szCs w:val="16"/>
                <w:highlight w:val="lightGray"/>
              </w:rPr>
              <w:t>/</w:t>
            </w:r>
            <w:r w:rsidRPr="004C764B">
              <w:rPr>
                <w:rFonts w:ascii="Arial" w:hAnsi="Arial" w:cs="Arial"/>
                <w:bCs/>
                <w:sz w:val="16"/>
                <w:szCs w:val="16"/>
                <w:highlight w:val="lightGray"/>
              </w:rPr>
              <w:t xml:space="preserve"> </w:t>
            </w:r>
            <w:r w:rsidRPr="004C764B">
              <w:rPr>
                <w:rFonts w:ascii="Arial" w:hAnsi="Arial" w:cs="Arial"/>
                <w:b/>
                <w:bCs/>
                <w:sz w:val="16"/>
                <w:szCs w:val="16"/>
                <w:highlight w:val="lightGray"/>
              </w:rPr>
              <w:t>1.5</w:t>
            </w:r>
            <w:r>
              <w:rPr>
                <w:rFonts w:ascii="Arial" w:hAnsi="Arial" w:cs="Arial"/>
                <w:b/>
                <w:bCs/>
                <w:sz w:val="16"/>
                <w:szCs w:val="16"/>
                <w:highlight w:val="lightGray"/>
              </w:rPr>
              <w:t>0</w:t>
            </w:r>
            <w:r w:rsidRPr="004C764B">
              <w:rPr>
                <w:rFonts w:ascii="Arial" w:hAnsi="Arial" w:cs="Arial"/>
                <w:b/>
                <w:bCs/>
                <w:sz w:val="16"/>
                <w:szCs w:val="16"/>
                <w:highlight w:val="lightGray"/>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0.077</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0.16</w:t>
            </w:r>
            <w:r>
              <w:rPr>
                <w:rFonts w:ascii="Arial" w:hAnsi="Arial" w:cs="Arial"/>
                <w:bCs/>
                <w:sz w:val="16"/>
                <w:szCs w:val="16"/>
                <w:shd w:val="clear" w:color="auto" w:fill="BFBFBF"/>
              </w:rPr>
              <w:t>0 *</w:t>
            </w:r>
          </w:p>
        </w:tc>
        <w:tc>
          <w:tcPr>
            <w:tcW w:w="1800" w:type="dxa"/>
            <w:vAlign w:val="bottom"/>
          </w:tcPr>
          <w:p w:rsidR="00AF5F96" w:rsidRPr="004E101B" w:rsidRDefault="00AF5F96" w:rsidP="00DC2003">
            <w:pPr>
              <w:jc w:val="center"/>
              <w:rPr>
                <w:rFonts w:ascii="Arial" w:hAnsi="Arial" w:cs="Arial"/>
                <w:bCs/>
                <w:sz w:val="16"/>
                <w:szCs w:val="16"/>
              </w:rPr>
            </w:pPr>
            <w:r w:rsidRPr="006B470A">
              <w:rPr>
                <w:rFonts w:ascii="Arial" w:hAnsi="Arial" w:cs="Arial"/>
                <w:bCs/>
                <w:sz w:val="16"/>
                <w:szCs w:val="16"/>
              </w:rPr>
              <w:t xml:space="preserve">6.7 </w:t>
            </w:r>
            <w:r>
              <w:rPr>
                <w:rFonts w:ascii="Arial" w:hAnsi="Arial" w:cs="Arial"/>
                <w:bCs/>
                <w:sz w:val="16"/>
                <w:szCs w:val="16"/>
              </w:rPr>
              <w:t>/</w:t>
            </w:r>
            <w:r w:rsidRPr="006B470A">
              <w:rPr>
                <w:rFonts w:ascii="Arial" w:hAnsi="Arial" w:cs="Arial"/>
                <w:bCs/>
                <w:sz w:val="16"/>
                <w:szCs w:val="16"/>
              </w:rPr>
              <w:t xml:space="preserve"> 7.1</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127 </w:t>
            </w:r>
            <w:r>
              <w:rPr>
                <w:rFonts w:ascii="Arial" w:hAnsi="Arial" w:cs="Arial"/>
                <w:bCs/>
                <w:sz w:val="16"/>
                <w:szCs w:val="16"/>
              </w:rPr>
              <w:t>/</w:t>
            </w:r>
            <w:r w:rsidRPr="004E101B">
              <w:rPr>
                <w:rFonts w:ascii="Arial" w:hAnsi="Arial" w:cs="Arial"/>
                <w:bCs/>
                <w:sz w:val="16"/>
                <w:szCs w:val="16"/>
              </w:rPr>
              <w:t xml:space="preserve"> 43.5</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168 </w:t>
            </w:r>
            <w:r>
              <w:rPr>
                <w:rFonts w:ascii="Arial" w:hAnsi="Arial" w:cs="Arial"/>
                <w:bCs/>
                <w:sz w:val="16"/>
                <w:szCs w:val="16"/>
              </w:rPr>
              <w:t>/</w:t>
            </w:r>
            <w:r w:rsidRPr="004E101B">
              <w:rPr>
                <w:rFonts w:ascii="Arial" w:hAnsi="Arial" w:cs="Arial"/>
                <w:bCs/>
                <w:sz w:val="16"/>
                <w:szCs w:val="16"/>
              </w:rPr>
              <w:t xml:space="preserve"> 168</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Pensacola</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0.02 </w:t>
            </w:r>
            <w:r>
              <w:rPr>
                <w:rFonts w:ascii="Arial" w:hAnsi="Arial" w:cs="Arial"/>
                <w:bCs/>
                <w:sz w:val="16"/>
                <w:szCs w:val="16"/>
              </w:rPr>
              <w:t>/</w:t>
            </w:r>
            <w:r w:rsidRPr="004E101B">
              <w:rPr>
                <w:rFonts w:ascii="Arial" w:hAnsi="Arial" w:cs="Arial"/>
                <w:bCs/>
                <w:sz w:val="16"/>
                <w:szCs w:val="16"/>
              </w:rPr>
              <w:t xml:space="preserve"> 0.01</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0.004 </w:t>
            </w:r>
            <w:r>
              <w:rPr>
                <w:rFonts w:ascii="Arial" w:hAnsi="Arial" w:cs="Arial"/>
                <w:bCs/>
                <w:sz w:val="16"/>
                <w:szCs w:val="16"/>
              </w:rPr>
              <w:t>/</w:t>
            </w:r>
            <w:r w:rsidRPr="004E101B">
              <w:rPr>
                <w:rFonts w:ascii="Arial" w:hAnsi="Arial" w:cs="Arial"/>
                <w:bCs/>
                <w:sz w:val="16"/>
                <w:szCs w:val="16"/>
              </w:rPr>
              <w:t xml:space="preserve"> 0.011</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0.34</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0.19</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87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860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50 </w:t>
            </w:r>
            <w:r>
              <w:rPr>
                <w:rFonts w:ascii="Arial" w:hAnsi="Arial" w:cs="Arial"/>
                <w:bCs/>
                <w:sz w:val="16"/>
                <w:szCs w:val="16"/>
              </w:rPr>
              <w:t>/</w:t>
            </w:r>
            <w:r w:rsidRPr="004E101B">
              <w:rPr>
                <w:rFonts w:ascii="Arial" w:hAnsi="Arial" w:cs="Arial"/>
                <w:bCs/>
                <w:sz w:val="16"/>
                <w:szCs w:val="16"/>
              </w:rPr>
              <w:t xml:space="preserve"> 67.5</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Perdido</w:t>
            </w:r>
          </w:p>
        </w:tc>
        <w:tc>
          <w:tcPr>
            <w:tcW w:w="1890" w:type="dxa"/>
            <w:vAlign w:val="bottom"/>
          </w:tcPr>
          <w:p w:rsidR="00AF5F96" w:rsidRPr="004E101B" w:rsidRDefault="00AF5F96" w:rsidP="00DC2003">
            <w:pPr>
              <w:jc w:val="center"/>
              <w:rPr>
                <w:rFonts w:ascii="Arial" w:hAnsi="Arial" w:cs="Arial"/>
                <w:bCs/>
                <w:sz w:val="16"/>
                <w:szCs w:val="16"/>
              </w:rPr>
            </w:pPr>
            <w:r w:rsidRPr="00E65664">
              <w:rPr>
                <w:rFonts w:ascii="Arial" w:hAnsi="Arial" w:cs="Arial"/>
                <w:b/>
                <w:bCs/>
                <w:sz w:val="16"/>
                <w:szCs w:val="16"/>
                <w:shd w:val="clear" w:color="auto" w:fill="BFBFBF"/>
              </w:rPr>
              <w:t>0.82</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0.35</w:t>
            </w:r>
            <w:r>
              <w:rPr>
                <w:rFonts w:ascii="Arial" w:hAnsi="Arial" w:cs="Arial"/>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0.004</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6.48 </w:t>
            </w:r>
            <w:r>
              <w:rPr>
                <w:rFonts w:ascii="Arial" w:hAnsi="Arial" w:cs="Arial"/>
                <w:bCs/>
                <w:sz w:val="16"/>
                <w:szCs w:val="16"/>
              </w:rPr>
              <w:t>/</w:t>
            </w:r>
            <w:r w:rsidRPr="004E101B">
              <w:rPr>
                <w:rFonts w:ascii="Arial" w:hAnsi="Arial" w:cs="Arial"/>
                <w:bCs/>
                <w:sz w:val="16"/>
                <w:szCs w:val="16"/>
              </w:rPr>
              <w:t xml:space="preserve"> 6.03</w:t>
            </w:r>
          </w:p>
        </w:tc>
        <w:tc>
          <w:tcPr>
            <w:tcW w:w="189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30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31.5 </w:t>
            </w:r>
            <w:r>
              <w:rPr>
                <w:rFonts w:ascii="Arial" w:hAnsi="Arial" w:cs="Arial"/>
                <w:bCs/>
                <w:sz w:val="16"/>
                <w:szCs w:val="16"/>
              </w:rPr>
              <w:t>/</w:t>
            </w:r>
            <w:r w:rsidRPr="004E101B">
              <w:rPr>
                <w:rFonts w:ascii="Arial" w:hAnsi="Arial" w:cs="Arial"/>
                <w:bCs/>
                <w:sz w:val="16"/>
                <w:szCs w:val="16"/>
              </w:rPr>
              <w:t xml:space="preserve"> 42</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Sarasota Bay–Peace–Myakka</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0.02</w:t>
            </w:r>
            <w:r>
              <w:rPr>
                <w:rFonts w:ascii="Arial" w:hAnsi="Arial" w:cs="Arial"/>
                <w:bCs/>
                <w:sz w:val="16"/>
                <w:szCs w:val="16"/>
              </w:rPr>
              <w:t>0</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0.011</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0.2</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0.50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0.91</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425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347 </w:t>
            </w:r>
            <w:r>
              <w:rPr>
                <w:rFonts w:ascii="Arial" w:hAnsi="Arial" w:cs="Arial"/>
                <w:bCs/>
                <w:sz w:val="16"/>
                <w:szCs w:val="16"/>
              </w:rPr>
              <w:t>/</w:t>
            </w:r>
            <w:r w:rsidRPr="004E101B">
              <w:rPr>
                <w:rFonts w:ascii="Arial" w:hAnsi="Arial" w:cs="Arial"/>
                <w:bCs/>
                <w:sz w:val="16"/>
                <w:szCs w:val="16"/>
              </w:rPr>
              <w:t xml:space="preserve"> 305</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Southeast Coast–Biscayne Bay</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0.015 </w:t>
            </w:r>
            <w:r>
              <w:rPr>
                <w:rFonts w:ascii="Arial" w:hAnsi="Arial" w:cs="Arial"/>
                <w:bCs/>
                <w:sz w:val="16"/>
                <w:szCs w:val="16"/>
              </w:rPr>
              <w:t>/</w:t>
            </w:r>
            <w:r w:rsidRPr="008A045F">
              <w:rPr>
                <w:rFonts w:ascii="Arial" w:hAnsi="Arial" w:cs="Arial"/>
                <w:bCs/>
                <w:sz w:val="16"/>
                <w:szCs w:val="16"/>
              </w:rPr>
              <w:t xml:space="preserve"> </w:t>
            </w:r>
            <w:r w:rsidRPr="004C764B">
              <w:rPr>
                <w:rFonts w:ascii="Arial" w:hAnsi="Arial" w:cs="Arial"/>
                <w:bCs/>
                <w:sz w:val="16"/>
                <w:szCs w:val="16"/>
                <w:highlight w:val="lightGray"/>
              </w:rPr>
              <w:t>0.05</w:t>
            </w:r>
            <w:r>
              <w:rPr>
                <w:rFonts w:ascii="Arial" w:hAnsi="Arial" w:cs="Arial"/>
                <w:bCs/>
                <w:sz w:val="16"/>
                <w:szCs w:val="16"/>
                <w:highlight w:val="lightGray"/>
              </w:rPr>
              <w:t>0</w:t>
            </w:r>
            <w:r w:rsidRPr="004C764B">
              <w:rPr>
                <w:rFonts w:ascii="Arial" w:hAnsi="Arial" w:cs="Arial"/>
                <w:bCs/>
                <w:sz w:val="16"/>
                <w:szCs w:val="16"/>
                <w:highlight w:val="lightGray"/>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0.016 </w:t>
            </w:r>
            <w:r>
              <w:rPr>
                <w:rFonts w:ascii="Arial" w:hAnsi="Arial" w:cs="Arial"/>
                <w:bCs/>
                <w:sz w:val="16"/>
                <w:szCs w:val="16"/>
              </w:rPr>
              <w:t>/</w:t>
            </w:r>
            <w:r w:rsidRPr="004E101B">
              <w:rPr>
                <w:rFonts w:ascii="Arial" w:hAnsi="Arial" w:cs="Arial"/>
                <w:bCs/>
                <w:sz w:val="16"/>
                <w:szCs w:val="16"/>
              </w:rPr>
              <w:t xml:space="preserve"> 0.017</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0.46</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0.84</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578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440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190</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070</w:t>
            </w:r>
            <w:r>
              <w:rPr>
                <w:rFonts w:ascii="Arial" w:hAnsi="Arial" w:cs="Arial"/>
                <w:bCs/>
                <w:sz w:val="16"/>
                <w:szCs w:val="16"/>
                <w:shd w:val="clear" w:color="auto" w:fill="BFBFBF"/>
              </w:rPr>
              <w:t>*</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Springs Coast</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0.009 </w:t>
            </w:r>
            <w:r>
              <w:rPr>
                <w:rFonts w:ascii="Arial" w:hAnsi="Arial" w:cs="Arial"/>
                <w:bCs/>
                <w:sz w:val="16"/>
                <w:szCs w:val="16"/>
              </w:rPr>
              <w:t>/</w:t>
            </w:r>
            <w:r w:rsidRPr="004E101B">
              <w:rPr>
                <w:rFonts w:ascii="Arial" w:hAnsi="Arial" w:cs="Arial"/>
                <w:bCs/>
                <w:sz w:val="16"/>
                <w:szCs w:val="16"/>
              </w:rPr>
              <w:t xml:space="preserve"> 0.02</w:t>
            </w:r>
            <w:r>
              <w:rPr>
                <w:rFonts w:ascii="Arial" w:hAnsi="Arial" w:cs="Arial"/>
                <w:bCs/>
                <w:sz w:val="16"/>
                <w:szCs w:val="16"/>
              </w:rPr>
              <w:t>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0.02</w:t>
            </w:r>
            <w:r>
              <w:rPr>
                <w:rFonts w:ascii="Arial" w:hAnsi="Arial" w:cs="Arial"/>
                <w:bCs/>
                <w:sz w:val="16"/>
                <w:szCs w:val="16"/>
              </w:rPr>
              <w:t>0</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0.078</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0.98</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1.02</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230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655</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650</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St. Lucie–Loxahatchee</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0.02 </w:t>
            </w:r>
            <w:r>
              <w:rPr>
                <w:rFonts w:ascii="Arial" w:hAnsi="Arial" w:cs="Arial"/>
                <w:bCs/>
                <w:sz w:val="16"/>
                <w:szCs w:val="16"/>
              </w:rPr>
              <w:t>/</w:t>
            </w:r>
            <w:r w:rsidRPr="008A045F">
              <w:rPr>
                <w:rFonts w:ascii="Arial" w:hAnsi="Arial" w:cs="Arial"/>
                <w:bCs/>
                <w:sz w:val="16"/>
                <w:szCs w:val="16"/>
              </w:rPr>
              <w:t xml:space="preserve"> </w:t>
            </w:r>
            <w:r w:rsidRPr="004C764B">
              <w:rPr>
                <w:rFonts w:ascii="Arial" w:hAnsi="Arial" w:cs="Arial"/>
                <w:bCs/>
                <w:sz w:val="16"/>
                <w:szCs w:val="16"/>
                <w:highlight w:val="lightGray"/>
              </w:rPr>
              <w:t>0.04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0.086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0.19</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0.20</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1</w:t>
            </w:r>
            <w:r w:rsidR="005546A0">
              <w:rPr>
                <w:rFonts w:ascii="Arial" w:hAnsi="Arial" w:cs="Arial"/>
                <w:b/>
                <w:bCs/>
                <w:sz w:val="16"/>
                <w:szCs w:val="16"/>
                <w:shd w:val="clear" w:color="auto" w:fill="BFBFBF"/>
              </w:rPr>
              <w:t>,</w:t>
            </w:r>
            <w:r w:rsidRPr="004E101B">
              <w:rPr>
                <w:rFonts w:ascii="Arial" w:hAnsi="Arial" w:cs="Arial"/>
                <w:b/>
                <w:bCs/>
                <w:sz w:val="16"/>
                <w:szCs w:val="16"/>
                <w:shd w:val="clear" w:color="auto" w:fill="BFBFBF"/>
              </w:rPr>
              <w:t>100</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747</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745</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Suwannee</w:t>
            </w:r>
          </w:p>
        </w:tc>
        <w:tc>
          <w:tcPr>
            <w:tcW w:w="1890" w:type="dxa"/>
            <w:vAlign w:val="bottom"/>
          </w:tcPr>
          <w:p w:rsidR="00AF5F96" w:rsidRPr="004E101B" w:rsidRDefault="00AF5F96" w:rsidP="00DC2003">
            <w:pPr>
              <w:jc w:val="center"/>
              <w:rPr>
                <w:rFonts w:ascii="Arial" w:hAnsi="Arial" w:cs="Arial"/>
                <w:bCs/>
                <w:sz w:val="16"/>
                <w:szCs w:val="16"/>
              </w:rPr>
            </w:pPr>
            <w:r w:rsidRPr="004C764B">
              <w:rPr>
                <w:rFonts w:ascii="Arial" w:hAnsi="Arial" w:cs="Arial"/>
                <w:bCs/>
                <w:sz w:val="16"/>
                <w:szCs w:val="16"/>
                <w:highlight w:val="lightGray"/>
              </w:rPr>
              <w:t xml:space="preserve">0.03 * </w:t>
            </w:r>
            <w:r>
              <w:rPr>
                <w:rFonts w:ascii="Arial" w:hAnsi="Arial" w:cs="Arial"/>
                <w:bCs/>
                <w:sz w:val="16"/>
                <w:szCs w:val="16"/>
                <w:highlight w:val="lightGray"/>
              </w:rPr>
              <w:t>/</w:t>
            </w:r>
            <w:r w:rsidRPr="004C764B">
              <w:rPr>
                <w:rFonts w:ascii="Arial" w:hAnsi="Arial" w:cs="Arial"/>
                <w:bCs/>
                <w:sz w:val="16"/>
                <w:szCs w:val="16"/>
                <w:highlight w:val="lightGray"/>
              </w:rPr>
              <w:t xml:space="preserve"> 0.29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0.082</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0.033</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1F082B">
              <w:rPr>
                <w:rFonts w:ascii="Arial" w:hAnsi="Arial" w:cs="Arial"/>
                <w:b/>
                <w:bCs/>
                <w:sz w:val="16"/>
                <w:szCs w:val="16"/>
                <w:highlight w:val="lightGray"/>
                <w:shd w:val="clear" w:color="auto" w:fill="BFBFBF"/>
              </w:rPr>
              <w:t>4.09</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4.6</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454.5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111.5</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373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412</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Tampa Bay</w:t>
            </w:r>
          </w:p>
        </w:tc>
        <w:tc>
          <w:tcPr>
            <w:tcW w:w="1890" w:type="dxa"/>
            <w:vAlign w:val="bottom"/>
          </w:tcPr>
          <w:p w:rsidR="00AF5F96" w:rsidRPr="004E101B" w:rsidRDefault="00AF5F96" w:rsidP="00DC2003">
            <w:pPr>
              <w:jc w:val="center"/>
              <w:rPr>
                <w:rFonts w:ascii="Arial" w:hAnsi="Arial" w:cs="Arial"/>
                <w:bCs/>
                <w:sz w:val="16"/>
                <w:szCs w:val="16"/>
              </w:rPr>
            </w:pPr>
            <w:r w:rsidRPr="004C764B">
              <w:rPr>
                <w:rFonts w:ascii="Arial" w:hAnsi="Arial" w:cs="Arial"/>
                <w:bCs/>
                <w:sz w:val="16"/>
                <w:szCs w:val="16"/>
                <w:highlight w:val="lightGray"/>
              </w:rPr>
              <w:t xml:space="preserve">0.029 * </w:t>
            </w:r>
            <w:r>
              <w:rPr>
                <w:rFonts w:ascii="Arial" w:hAnsi="Arial" w:cs="Arial"/>
                <w:bCs/>
                <w:sz w:val="16"/>
                <w:szCs w:val="16"/>
                <w:highlight w:val="lightGray"/>
              </w:rPr>
              <w:t>/</w:t>
            </w:r>
            <w:r w:rsidRPr="004C764B">
              <w:rPr>
                <w:rFonts w:ascii="Arial" w:hAnsi="Arial" w:cs="Arial"/>
                <w:bCs/>
                <w:sz w:val="16"/>
                <w:szCs w:val="16"/>
                <w:highlight w:val="lightGray"/>
              </w:rPr>
              <w:t xml:space="preserve"> 0.08</w:t>
            </w:r>
            <w:r>
              <w:rPr>
                <w:rFonts w:ascii="Arial" w:hAnsi="Arial" w:cs="Arial"/>
                <w:bCs/>
                <w:sz w:val="16"/>
                <w:szCs w:val="16"/>
                <w:highlight w:val="lightGray"/>
              </w:rPr>
              <w:t>0</w:t>
            </w:r>
            <w:r w:rsidRPr="004C764B">
              <w:rPr>
                <w:rFonts w:ascii="Arial" w:hAnsi="Arial" w:cs="Arial"/>
                <w:bCs/>
                <w:sz w:val="16"/>
                <w:szCs w:val="16"/>
                <w:highlight w:val="lightGray"/>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0.025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0.11</w:t>
            </w:r>
            <w:r>
              <w:rPr>
                <w:rFonts w:ascii="Arial" w:hAnsi="Arial" w:cs="Arial"/>
                <w:bCs/>
                <w:sz w:val="16"/>
                <w:szCs w:val="16"/>
                <w:shd w:val="clear" w:color="auto" w:fill="BFBFBF"/>
              </w:rPr>
              <w:t>0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0.52</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1.8</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389</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 260</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120 </w:t>
            </w:r>
            <w:r>
              <w:rPr>
                <w:rFonts w:ascii="Arial" w:hAnsi="Arial" w:cs="Arial"/>
                <w:bCs/>
                <w:sz w:val="16"/>
                <w:szCs w:val="16"/>
              </w:rPr>
              <w:t>/</w:t>
            </w:r>
            <w:r w:rsidRPr="004E101B">
              <w:rPr>
                <w:rFonts w:ascii="Arial" w:hAnsi="Arial" w:cs="Arial"/>
                <w:bCs/>
                <w:sz w:val="16"/>
                <w:szCs w:val="16"/>
              </w:rPr>
              <w:t xml:space="preserve"> 58</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Tampa Bay Tributaries</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0.01</w:t>
            </w:r>
            <w:r>
              <w:rPr>
                <w:rFonts w:ascii="Arial" w:hAnsi="Arial" w:cs="Arial"/>
                <w:bCs/>
                <w:sz w:val="16"/>
                <w:szCs w:val="16"/>
              </w:rPr>
              <w:t>0</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0.003</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0.05</w:t>
            </w:r>
            <w:r>
              <w:rPr>
                <w:rFonts w:ascii="Arial" w:hAnsi="Arial" w:cs="Arial"/>
                <w:bCs/>
                <w:sz w:val="16"/>
                <w:szCs w:val="16"/>
                <w:shd w:val="clear" w:color="auto" w:fill="BFBFBF"/>
              </w:rPr>
              <w:t>0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0.064</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1.1</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881</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Pr>
                <w:rFonts w:ascii="Arial" w:hAnsi="Arial" w:cs="Arial"/>
                <w:bCs/>
                <w:sz w:val="16"/>
                <w:szCs w:val="16"/>
              </w:rPr>
              <w:t>N</w:t>
            </w:r>
            <w:r w:rsidRPr="004E101B">
              <w:rPr>
                <w:rFonts w:ascii="Arial" w:hAnsi="Arial" w:cs="Arial"/>
                <w:bCs/>
                <w:sz w:val="16"/>
                <w:szCs w:val="16"/>
              </w:rPr>
              <w:t>/</w:t>
            </w:r>
            <w:r>
              <w:rPr>
                <w:rFonts w:ascii="Arial" w:hAnsi="Arial" w:cs="Arial"/>
                <w:bCs/>
                <w:sz w:val="16"/>
                <w:szCs w:val="16"/>
              </w:rPr>
              <w:t>A</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416</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417</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Upper East Coast</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0.02</w:t>
            </w:r>
            <w:r>
              <w:rPr>
                <w:rFonts w:ascii="Arial" w:hAnsi="Arial" w:cs="Arial"/>
                <w:bCs/>
                <w:sz w:val="16"/>
                <w:szCs w:val="16"/>
              </w:rPr>
              <w:t>0</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0.012</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1.1</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0.26</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0.32</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0.54</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rPr>
              <w:t xml:space="preserve">55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820</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467</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B0160F">
              <w:rPr>
                <w:rFonts w:ascii="Arial" w:hAnsi="Arial" w:cs="Arial"/>
                <w:bCs/>
                <w:sz w:val="16"/>
                <w:szCs w:val="16"/>
                <w:highlight w:val="lightGray"/>
              </w:rPr>
              <w:t>739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Upper St. Johns</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0.004 </w:t>
            </w:r>
            <w:r>
              <w:rPr>
                <w:rFonts w:ascii="Arial" w:hAnsi="Arial" w:cs="Arial"/>
                <w:bCs/>
                <w:sz w:val="16"/>
                <w:szCs w:val="16"/>
              </w:rPr>
              <w:t>/</w:t>
            </w:r>
            <w:r w:rsidRPr="008A045F">
              <w:rPr>
                <w:rFonts w:ascii="Arial" w:hAnsi="Arial" w:cs="Arial"/>
                <w:bCs/>
                <w:sz w:val="16"/>
                <w:szCs w:val="16"/>
              </w:rPr>
              <w:t xml:space="preserve"> </w:t>
            </w:r>
            <w:r w:rsidRPr="005301E2">
              <w:rPr>
                <w:rFonts w:ascii="Arial" w:hAnsi="Arial" w:cs="Arial"/>
                <w:bCs/>
                <w:sz w:val="16"/>
                <w:szCs w:val="16"/>
                <w:highlight w:val="lightGray"/>
              </w:rPr>
              <w:t>0.025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0.25</w:t>
            </w:r>
            <w:r>
              <w:rPr>
                <w:rFonts w:ascii="Arial" w:hAnsi="Arial" w:cs="Arial"/>
                <w:bCs/>
                <w:sz w:val="16"/>
                <w:szCs w:val="16"/>
                <w:shd w:val="clear" w:color="auto" w:fill="BFBFBF"/>
              </w:rPr>
              <w:t>0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0.059</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0.63</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1.0</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805.5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382.5</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559</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1</w:t>
            </w:r>
            <w:r w:rsidR="005546A0">
              <w:rPr>
                <w:rFonts w:ascii="Arial" w:hAnsi="Arial" w:cs="Arial"/>
                <w:bCs/>
                <w:sz w:val="16"/>
                <w:szCs w:val="16"/>
                <w:shd w:val="clear" w:color="auto" w:fill="BFBFBF"/>
              </w:rPr>
              <w:t>,</w:t>
            </w:r>
            <w:r w:rsidRPr="004E101B">
              <w:rPr>
                <w:rFonts w:ascii="Arial" w:hAnsi="Arial" w:cs="Arial"/>
                <w:bCs/>
                <w:sz w:val="16"/>
                <w:szCs w:val="16"/>
                <w:shd w:val="clear" w:color="auto" w:fill="BFBFBF"/>
              </w:rPr>
              <w:t>830</w:t>
            </w:r>
            <w:r>
              <w:rPr>
                <w:rFonts w:ascii="Arial" w:hAnsi="Arial" w:cs="Arial"/>
                <w:bCs/>
                <w:sz w:val="16"/>
                <w:szCs w:val="16"/>
                <w:shd w:val="clear" w:color="auto" w:fill="BFBFBF"/>
              </w:rPr>
              <w:t xml:space="preserve"> *</w:t>
            </w:r>
          </w:p>
        </w:tc>
      </w:tr>
      <w:tr w:rsidR="00AF5F96" w:rsidTr="00580D5D">
        <w:tc>
          <w:tcPr>
            <w:tcW w:w="3258" w:type="dxa"/>
            <w:shd w:val="clear" w:color="auto" w:fill="FFFFCC"/>
            <w:vAlign w:val="center"/>
          </w:tcPr>
          <w:p w:rsidR="00AF5F96" w:rsidRPr="003B37D3" w:rsidRDefault="00AF5F96" w:rsidP="00774BC4">
            <w:pPr>
              <w:pStyle w:val="Tabletextreduced"/>
              <w:jc w:val="center"/>
              <w:rPr>
                <w:rFonts w:ascii="Arial" w:hAnsi="Arial"/>
              </w:rPr>
            </w:pPr>
            <w:r w:rsidRPr="003B37D3">
              <w:rPr>
                <w:rFonts w:ascii="Arial" w:hAnsi="Arial"/>
              </w:rPr>
              <w:t>Withlacoochee</w:t>
            </w:r>
          </w:p>
        </w:tc>
        <w:tc>
          <w:tcPr>
            <w:tcW w:w="1890" w:type="dxa"/>
            <w:vAlign w:val="bottom"/>
          </w:tcPr>
          <w:p w:rsidR="00AF5F96" w:rsidRPr="004E101B" w:rsidRDefault="00AF5F96" w:rsidP="00DC2003">
            <w:pPr>
              <w:jc w:val="center"/>
              <w:rPr>
                <w:rFonts w:ascii="Arial" w:hAnsi="Arial" w:cs="Arial"/>
                <w:bCs/>
                <w:sz w:val="16"/>
                <w:szCs w:val="16"/>
              </w:rPr>
            </w:pPr>
            <w:r w:rsidRPr="008A045F">
              <w:rPr>
                <w:rFonts w:ascii="Arial" w:hAnsi="Arial" w:cs="Arial"/>
                <w:bCs/>
                <w:sz w:val="16"/>
                <w:szCs w:val="16"/>
              </w:rPr>
              <w:t xml:space="preserve">0.02 </w:t>
            </w:r>
            <w:r>
              <w:rPr>
                <w:rFonts w:ascii="Arial" w:hAnsi="Arial" w:cs="Arial"/>
                <w:bCs/>
                <w:sz w:val="16"/>
                <w:szCs w:val="16"/>
              </w:rPr>
              <w:t>/</w:t>
            </w:r>
            <w:r w:rsidRPr="008A045F">
              <w:rPr>
                <w:rFonts w:ascii="Arial" w:hAnsi="Arial" w:cs="Arial"/>
                <w:bCs/>
                <w:sz w:val="16"/>
                <w:szCs w:val="16"/>
              </w:rPr>
              <w:t xml:space="preserve"> </w:t>
            </w:r>
            <w:r w:rsidRPr="005301E2">
              <w:rPr>
                <w:rFonts w:ascii="Arial" w:hAnsi="Arial" w:cs="Arial"/>
                <w:bCs/>
                <w:sz w:val="16"/>
                <w:szCs w:val="16"/>
                <w:highlight w:val="lightGray"/>
              </w:rPr>
              <w:t>0.04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0.12</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0.45</w:t>
            </w:r>
            <w:r>
              <w:rPr>
                <w:rFonts w:ascii="Arial" w:hAnsi="Arial" w:cs="Arial"/>
                <w:bCs/>
                <w:sz w:val="16"/>
                <w:szCs w:val="16"/>
                <w:shd w:val="clear" w:color="auto" w:fill="BFBFBF"/>
              </w:rPr>
              <w:t xml:space="preserve"> *</w:t>
            </w:r>
          </w:p>
        </w:tc>
        <w:tc>
          <w:tcPr>
            <w:tcW w:w="180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0.85</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1.3</w:t>
            </w:r>
            <w:r>
              <w:rPr>
                <w:rFonts w:ascii="Arial" w:hAnsi="Arial" w:cs="Arial"/>
                <w:b/>
                <w:bCs/>
                <w:sz w:val="16"/>
                <w:szCs w:val="16"/>
                <w:shd w:val="clear" w:color="auto" w:fill="BFBFBF"/>
              </w:rPr>
              <w:t xml:space="preserve"> **</w:t>
            </w:r>
          </w:p>
        </w:tc>
        <w:tc>
          <w:tcPr>
            <w:tcW w:w="189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
                <w:bCs/>
                <w:sz w:val="16"/>
                <w:szCs w:val="16"/>
                <w:shd w:val="clear" w:color="auto" w:fill="BFBFBF"/>
              </w:rPr>
              <w:t>756</w:t>
            </w:r>
            <w:r>
              <w:rPr>
                <w:rFonts w:ascii="Arial" w:hAnsi="Arial" w:cs="Arial"/>
                <w:b/>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
                <w:bCs/>
                <w:sz w:val="16"/>
                <w:szCs w:val="16"/>
                <w:shd w:val="clear" w:color="auto" w:fill="BFBFBF"/>
              </w:rPr>
              <w:t>1582</w:t>
            </w:r>
            <w:r>
              <w:rPr>
                <w:rFonts w:ascii="Arial" w:hAnsi="Arial" w:cs="Arial"/>
                <w:b/>
                <w:bCs/>
                <w:sz w:val="16"/>
                <w:szCs w:val="16"/>
                <w:shd w:val="clear" w:color="auto" w:fill="BFBFBF"/>
              </w:rPr>
              <w:t xml:space="preserve"> **</w:t>
            </w:r>
          </w:p>
        </w:tc>
        <w:tc>
          <w:tcPr>
            <w:tcW w:w="1980" w:type="dxa"/>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418</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515</w:t>
            </w:r>
            <w:r>
              <w:rPr>
                <w:rFonts w:ascii="Arial" w:hAnsi="Arial" w:cs="Arial"/>
                <w:bCs/>
                <w:sz w:val="16"/>
                <w:szCs w:val="16"/>
                <w:shd w:val="clear" w:color="auto" w:fill="BFBFBF"/>
              </w:rPr>
              <w:t xml:space="preserve"> *</w:t>
            </w:r>
          </w:p>
        </w:tc>
      </w:tr>
      <w:tr w:rsidR="00AF5F96" w:rsidRPr="00AE2921" w:rsidTr="00580D5D">
        <w:tc>
          <w:tcPr>
            <w:tcW w:w="3258" w:type="dxa"/>
            <w:shd w:val="clear" w:color="auto" w:fill="FFD9FF"/>
            <w:vAlign w:val="center"/>
          </w:tcPr>
          <w:p w:rsidR="00AF5F96" w:rsidRPr="002812CB" w:rsidRDefault="00AF5F96" w:rsidP="00774BC4">
            <w:pPr>
              <w:pStyle w:val="Tabletextreduced"/>
              <w:jc w:val="center"/>
              <w:rPr>
                <w:rFonts w:ascii="Arial" w:hAnsi="Arial"/>
                <w:b/>
              </w:rPr>
            </w:pPr>
            <w:bookmarkStart w:id="739" w:name="_Toc255482872"/>
            <w:r w:rsidRPr="002812CB">
              <w:rPr>
                <w:rFonts w:ascii="Arial" w:hAnsi="Arial"/>
                <w:b/>
              </w:rPr>
              <w:t>STATEWIDE MEDIAN</w:t>
            </w:r>
            <w:bookmarkEnd w:id="739"/>
          </w:p>
        </w:tc>
        <w:tc>
          <w:tcPr>
            <w:tcW w:w="1890" w:type="dxa"/>
            <w:shd w:val="clear" w:color="auto" w:fill="FFD9FF"/>
            <w:vAlign w:val="bottom"/>
          </w:tcPr>
          <w:p w:rsidR="00AF5F96" w:rsidRPr="004E101B" w:rsidRDefault="00AF5F96" w:rsidP="00DC2003">
            <w:pPr>
              <w:jc w:val="center"/>
              <w:rPr>
                <w:rFonts w:ascii="Arial" w:hAnsi="Arial" w:cs="Arial"/>
                <w:bCs/>
                <w:sz w:val="16"/>
                <w:szCs w:val="16"/>
              </w:rPr>
            </w:pPr>
            <w:r w:rsidRPr="005301E2">
              <w:rPr>
                <w:rFonts w:ascii="Arial" w:hAnsi="Arial" w:cs="Arial"/>
                <w:bCs/>
                <w:sz w:val="16"/>
                <w:szCs w:val="16"/>
                <w:highlight w:val="lightGray"/>
              </w:rPr>
              <w:t xml:space="preserve">0.032 * </w:t>
            </w:r>
            <w:r>
              <w:rPr>
                <w:rFonts w:ascii="Arial" w:hAnsi="Arial" w:cs="Arial"/>
                <w:bCs/>
                <w:sz w:val="16"/>
                <w:szCs w:val="16"/>
                <w:highlight w:val="lightGray"/>
              </w:rPr>
              <w:t>/</w:t>
            </w:r>
            <w:r w:rsidRPr="005301E2">
              <w:rPr>
                <w:rFonts w:ascii="Arial" w:hAnsi="Arial" w:cs="Arial"/>
                <w:bCs/>
                <w:sz w:val="16"/>
                <w:szCs w:val="16"/>
                <w:highlight w:val="lightGray"/>
              </w:rPr>
              <w:t xml:space="preserve"> 0.04</w:t>
            </w:r>
            <w:r>
              <w:rPr>
                <w:rFonts w:ascii="Arial" w:hAnsi="Arial" w:cs="Arial"/>
                <w:bCs/>
                <w:sz w:val="16"/>
                <w:szCs w:val="16"/>
                <w:highlight w:val="lightGray"/>
              </w:rPr>
              <w:t>0</w:t>
            </w:r>
            <w:r w:rsidRPr="005301E2">
              <w:rPr>
                <w:rFonts w:ascii="Arial" w:hAnsi="Arial" w:cs="Arial"/>
                <w:bCs/>
                <w:sz w:val="16"/>
                <w:szCs w:val="16"/>
                <w:highlight w:val="lightGray"/>
              </w:rPr>
              <w:t xml:space="preserve"> *</w:t>
            </w:r>
          </w:p>
        </w:tc>
        <w:tc>
          <w:tcPr>
            <w:tcW w:w="1980" w:type="dxa"/>
            <w:shd w:val="clear" w:color="auto" w:fill="FFD9FF"/>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0.06</w:t>
            </w:r>
            <w:r>
              <w:rPr>
                <w:rFonts w:ascii="Arial" w:hAnsi="Arial" w:cs="Arial"/>
                <w:bCs/>
                <w:sz w:val="16"/>
                <w:szCs w:val="16"/>
                <w:shd w:val="clear" w:color="auto" w:fill="BFBFBF"/>
              </w:rPr>
              <w:t>0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0.047</w:t>
            </w:r>
            <w:r>
              <w:rPr>
                <w:rFonts w:ascii="Arial" w:hAnsi="Arial" w:cs="Arial"/>
                <w:bCs/>
                <w:sz w:val="16"/>
                <w:szCs w:val="16"/>
                <w:shd w:val="clear" w:color="auto" w:fill="BFBFBF"/>
              </w:rPr>
              <w:t xml:space="preserve"> *</w:t>
            </w:r>
          </w:p>
        </w:tc>
        <w:tc>
          <w:tcPr>
            <w:tcW w:w="1800" w:type="dxa"/>
            <w:shd w:val="clear" w:color="auto" w:fill="FFD9FF"/>
            <w:vAlign w:val="bottom"/>
          </w:tcPr>
          <w:p w:rsidR="00AF5F96" w:rsidRPr="004E101B" w:rsidRDefault="00AF5F96" w:rsidP="00DC2003">
            <w:pPr>
              <w:jc w:val="center"/>
              <w:rPr>
                <w:rFonts w:ascii="Arial" w:hAnsi="Arial" w:cs="Arial"/>
                <w:b/>
                <w:bCs/>
                <w:sz w:val="16"/>
                <w:szCs w:val="16"/>
              </w:rPr>
            </w:pPr>
            <w:r w:rsidRPr="004E101B">
              <w:rPr>
                <w:rFonts w:ascii="Arial" w:hAnsi="Arial" w:cs="Arial"/>
                <w:b/>
                <w:bCs/>
                <w:sz w:val="16"/>
                <w:szCs w:val="16"/>
                <w:shd w:val="clear" w:color="auto" w:fill="BFBFBF"/>
              </w:rPr>
              <w:t>0.72</w:t>
            </w:r>
            <w:r>
              <w:rPr>
                <w:rFonts w:ascii="Arial" w:hAnsi="Arial" w:cs="Arial"/>
                <w:b/>
                <w:bCs/>
                <w:sz w:val="16"/>
                <w:szCs w:val="16"/>
                <w:shd w:val="clear" w:color="auto" w:fill="BFBFBF"/>
              </w:rPr>
              <w:t xml:space="preserve"> **</w:t>
            </w:r>
            <w:r w:rsidRPr="004E101B">
              <w:rPr>
                <w:rFonts w:ascii="Arial" w:hAnsi="Arial" w:cs="Arial"/>
                <w:b/>
                <w:bCs/>
                <w:sz w:val="16"/>
                <w:szCs w:val="16"/>
              </w:rPr>
              <w:t xml:space="preserve"> </w:t>
            </w:r>
            <w:r>
              <w:rPr>
                <w:rFonts w:ascii="Arial" w:hAnsi="Arial" w:cs="Arial"/>
                <w:b/>
                <w:bCs/>
                <w:sz w:val="16"/>
                <w:szCs w:val="16"/>
              </w:rPr>
              <w:t>/</w:t>
            </w:r>
            <w:r w:rsidRPr="004E101B">
              <w:rPr>
                <w:rFonts w:ascii="Arial" w:hAnsi="Arial" w:cs="Arial"/>
                <w:b/>
                <w:bCs/>
                <w:sz w:val="16"/>
                <w:szCs w:val="16"/>
              </w:rPr>
              <w:t xml:space="preserve"> </w:t>
            </w:r>
            <w:r w:rsidRPr="004E101B">
              <w:rPr>
                <w:rFonts w:ascii="Arial" w:hAnsi="Arial" w:cs="Arial"/>
                <w:b/>
                <w:bCs/>
                <w:sz w:val="16"/>
                <w:szCs w:val="16"/>
                <w:shd w:val="clear" w:color="auto" w:fill="BFBFBF"/>
              </w:rPr>
              <w:t>0.92</w:t>
            </w:r>
            <w:r>
              <w:rPr>
                <w:rFonts w:ascii="Arial" w:hAnsi="Arial" w:cs="Arial"/>
                <w:b/>
                <w:bCs/>
                <w:sz w:val="16"/>
                <w:szCs w:val="16"/>
                <w:shd w:val="clear" w:color="auto" w:fill="BFBFBF"/>
              </w:rPr>
              <w:t xml:space="preserve"> **</w:t>
            </w:r>
          </w:p>
        </w:tc>
        <w:tc>
          <w:tcPr>
            <w:tcW w:w="1890" w:type="dxa"/>
            <w:shd w:val="clear" w:color="auto" w:fill="FFD9FF"/>
            <w:vAlign w:val="bottom"/>
          </w:tcPr>
          <w:p w:rsidR="00AF5F96" w:rsidRPr="004E101B" w:rsidRDefault="00AF5F96" w:rsidP="00DC2003">
            <w:pPr>
              <w:jc w:val="center"/>
              <w:rPr>
                <w:rFonts w:ascii="Arial" w:hAnsi="Arial" w:cs="Arial"/>
                <w:b/>
                <w:bCs/>
                <w:sz w:val="16"/>
                <w:szCs w:val="16"/>
              </w:rPr>
            </w:pPr>
            <w:r w:rsidRPr="00372B36">
              <w:rPr>
                <w:rFonts w:ascii="Arial" w:hAnsi="Arial" w:cs="Arial"/>
                <w:bCs/>
                <w:sz w:val="16"/>
                <w:szCs w:val="16"/>
              </w:rPr>
              <w:t xml:space="preserve">207 </w:t>
            </w:r>
            <w:r>
              <w:rPr>
                <w:rFonts w:ascii="Arial" w:hAnsi="Arial" w:cs="Arial"/>
                <w:bCs/>
                <w:sz w:val="16"/>
                <w:szCs w:val="16"/>
              </w:rPr>
              <w:t>/</w:t>
            </w:r>
            <w:r w:rsidRPr="00372B36">
              <w:rPr>
                <w:rFonts w:ascii="Arial" w:hAnsi="Arial" w:cs="Arial"/>
                <w:b/>
                <w:bCs/>
                <w:sz w:val="16"/>
                <w:szCs w:val="16"/>
              </w:rPr>
              <w:t xml:space="preserve"> </w:t>
            </w:r>
            <w:r w:rsidRPr="00372B36">
              <w:rPr>
                <w:rFonts w:ascii="Arial" w:hAnsi="Arial" w:cs="Arial"/>
                <w:bCs/>
                <w:sz w:val="16"/>
                <w:szCs w:val="16"/>
              </w:rPr>
              <w:t>150</w:t>
            </w:r>
          </w:p>
        </w:tc>
        <w:tc>
          <w:tcPr>
            <w:tcW w:w="1980" w:type="dxa"/>
            <w:shd w:val="clear" w:color="auto" w:fill="FFD9FF"/>
            <w:vAlign w:val="bottom"/>
          </w:tcPr>
          <w:p w:rsidR="00AF5F96" w:rsidRPr="004E101B" w:rsidRDefault="00AF5F96" w:rsidP="00DC2003">
            <w:pPr>
              <w:jc w:val="center"/>
              <w:rPr>
                <w:rFonts w:ascii="Arial" w:hAnsi="Arial" w:cs="Arial"/>
                <w:bCs/>
                <w:sz w:val="16"/>
                <w:szCs w:val="16"/>
              </w:rPr>
            </w:pPr>
            <w:r w:rsidRPr="004E101B">
              <w:rPr>
                <w:rFonts w:ascii="Arial" w:hAnsi="Arial" w:cs="Arial"/>
                <w:bCs/>
                <w:sz w:val="16"/>
                <w:szCs w:val="16"/>
                <w:shd w:val="clear" w:color="auto" w:fill="BFBFBF"/>
              </w:rPr>
              <w:t>605</w:t>
            </w:r>
            <w:r>
              <w:rPr>
                <w:rFonts w:ascii="Arial" w:hAnsi="Arial" w:cs="Arial"/>
                <w:bCs/>
                <w:sz w:val="16"/>
                <w:szCs w:val="16"/>
                <w:shd w:val="clear" w:color="auto" w:fill="BFBFBF"/>
              </w:rPr>
              <w:t xml:space="preserve"> *</w:t>
            </w:r>
            <w:r w:rsidRPr="004E101B">
              <w:rPr>
                <w:rFonts w:ascii="Arial" w:hAnsi="Arial" w:cs="Arial"/>
                <w:bCs/>
                <w:sz w:val="16"/>
                <w:szCs w:val="16"/>
              </w:rPr>
              <w:t xml:space="preserve"> </w:t>
            </w:r>
            <w:r>
              <w:rPr>
                <w:rFonts w:ascii="Arial" w:hAnsi="Arial" w:cs="Arial"/>
                <w:bCs/>
                <w:sz w:val="16"/>
                <w:szCs w:val="16"/>
              </w:rPr>
              <w:t>/</w:t>
            </w:r>
            <w:r w:rsidRPr="004E101B">
              <w:rPr>
                <w:rFonts w:ascii="Arial" w:hAnsi="Arial" w:cs="Arial"/>
                <w:bCs/>
                <w:sz w:val="16"/>
                <w:szCs w:val="16"/>
              </w:rPr>
              <w:t xml:space="preserve"> </w:t>
            </w:r>
            <w:r w:rsidRPr="004E101B">
              <w:rPr>
                <w:rFonts w:ascii="Arial" w:hAnsi="Arial" w:cs="Arial"/>
                <w:bCs/>
                <w:sz w:val="16"/>
                <w:szCs w:val="16"/>
                <w:shd w:val="clear" w:color="auto" w:fill="BFBFBF"/>
              </w:rPr>
              <w:t>570</w:t>
            </w:r>
            <w:r>
              <w:rPr>
                <w:rFonts w:ascii="Arial" w:hAnsi="Arial" w:cs="Arial"/>
                <w:bCs/>
                <w:sz w:val="16"/>
                <w:szCs w:val="16"/>
                <w:shd w:val="clear" w:color="auto" w:fill="BFBFBF"/>
              </w:rPr>
              <w:t xml:space="preserve"> *</w:t>
            </w:r>
          </w:p>
        </w:tc>
      </w:tr>
    </w:tbl>
    <w:p w:rsidR="00485094" w:rsidRPr="0096042F" w:rsidRDefault="00485094" w:rsidP="0096042F">
      <w:pPr>
        <w:rPr>
          <w:rFonts w:ascii="Arial" w:hAnsi="Arial" w:cs="Arial"/>
          <w:sz w:val="22"/>
          <w:szCs w:val="22"/>
        </w:rPr>
      </w:pPr>
    </w:p>
    <w:p w:rsidR="00485094" w:rsidRPr="00D54646" w:rsidRDefault="00485094" w:rsidP="00EE77CC">
      <w:pPr>
        <w:pStyle w:val="TableText"/>
        <w:rPr>
          <w:sz w:val="16"/>
          <w:szCs w:val="16"/>
        </w:rPr>
      </w:pPr>
    </w:p>
    <w:p w:rsidR="00485094" w:rsidRDefault="00485094" w:rsidP="00EE77CC">
      <w:pPr>
        <w:autoSpaceDE w:val="0"/>
        <w:autoSpaceDN w:val="0"/>
        <w:adjustRightInd w:val="0"/>
        <w:rPr>
          <w:rFonts w:ascii="Arial" w:hAnsi="Arial" w:cs="Arial"/>
          <w:bCs/>
          <w:sz w:val="22"/>
          <w:szCs w:val="22"/>
        </w:rPr>
        <w:sectPr w:rsidR="00485094" w:rsidSect="003B37D3">
          <w:pgSz w:w="15840" w:h="12240" w:orient="landscape"/>
          <w:pgMar w:top="1440" w:right="1440" w:bottom="1440" w:left="1440" w:header="720" w:footer="720" w:gutter="0"/>
          <w:cols w:space="720"/>
          <w:docGrid w:linePitch="360"/>
        </w:sectPr>
      </w:pPr>
    </w:p>
    <w:p w:rsidR="00485094" w:rsidRDefault="00485094" w:rsidP="00EE77CC">
      <w:pPr>
        <w:pStyle w:val="Bodytextreduced"/>
      </w:pPr>
    </w:p>
    <w:p w:rsidR="00485094" w:rsidRDefault="00485094" w:rsidP="00EE77CC">
      <w:pPr>
        <w:pStyle w:val="Bodytext"/>
      </w:pPr>
      <w:r w:rsidRPr="00DC470A">
        <w:t>Historically</w:t>
      </w:r>
      <w:r>
        <w:t>,</w:t>
      </w:r>
      <w:r w:rsidRPr="00DC470A">
        <w:t xml:space="preserve"> nitrogen was only a minor constituent of spring water</w:t>
      </w:r>
      <w:r>
        <w:t>,</w:t>
      </w:r>
      <w:r w:rsidRPr="00DC470A">
        <w:t xml:space="preserve"> and typical nitrate concentrations in Florida were less than 0.2 mg/L until the early 1970s.  </w:t>
      </w:r>
      <w:r>
        <w:t>However</w:t>
      </w:r>
      <w:r w:rsidRPr="00DC470A">
        <w:t xml:space="preserve">, </w:t>
      </w:r>
      <w:r>
        <w:t xml:space="preserve">due to the use of fertilizers and wastewater applications (both human and animal manure), </w:t>
      </w:r>
      <w:r w:rsidRPr="00DC470A">
        <w:t xml:space="preserve">nitrate concentrations greater than 1 mg/L can </w:t>
      </w:r>
      <w:r>
        <w:t xml:space="preserve">now </w:t>
      </w:r>
      <w:r w:rsidRPr="00DC470A">
        <w:t xml:space="preserve">be found in many springs.  </w:t>
      </w:r>
      <w:r>
        <w:t>Data from the springs monitoring network indicate that elevated nitrate (expressed as nitrate + nitrite – total) is a widespread problem (Figure 10.2), and w</w:t>
      </w:r>
      <w:r w:rsidRPr="00DC470A">
        <w:t xml:space="preserve">ith sufficient phosphorus in the water column, seemingly low nitrate concentrations can actually cause a significant shift in the balance of spring ecological communities, leading to the degradation of biological systems due to </w:t>
      </w:r>
      <w:r>
        <w:t xml:space="preserve">the increased </w:t>
      </w:r>
      <w:r w:rsidRPr="00DC470A">
        <w:t xml:space="preserve">growth of algae and sometimes aquatic plants.  </w:t>
      </w:r>
    </w:p>
    <w:p w:rsidR="00485094" w:rsidRPr="00DC470A" w:rsidRDefault="00485094" w:rsidP="00EE77CC">
      <w:pPr>
        <w:pStyle w:val="Bodytext"/>
      </w:pPr>
    </w:p>
    <w:p w:rsidR="00485094" w:rsidRDefault="00485094" w:rsidP="00EE77CC">
      <w:pPr>
        <w:pStyle w:val="Bodytext"/>
        <w:rPr>
          <w:szCs w:val="24"/>
        </w:rPr>
      </w:pPr>
      <w:r w:rsidRPr="00DC470A">
        <w:t xml:space="preserve">Research into the relationship of nutrients to algal growth in springs has led FDEP to propose a “clear stream” surface water </w:t>
      </w:r>
      <w:r>
        <w:t>criterion</w:t>
      </w:r>
      <w:r w:rsidRPr="00DC470A">
        <w:t xml:space="preserve"> of 0.35 mg/L, which is applicable for springs.  The median nitrate</w:t>
      </w:r>
      <w:r>
        <w:t xml:space="preserve"> </w:t>
      </w:r>
      <w:r w:rsidRPr="00DC470A">
        <w:t>+</w:t>
      </w:r>
      <w:r>
        <w:t xml:space="preserve"> </w:t>
      </w:r>
      <w:r w:rsidRPr="00DC470A">
        <w:t>nitrite concentration for all springs in the network was 0.65 mg/L</w:t>
      </w:r>
      <w:r>
        <w:t>, nearly</w:t>
      </w:r>
      <w:r w:rsidRPr="00DC470A">
        <w:t xml:space="preserve"> twice as high as the proposed </w:t>
      </w:r>
      <w:r>
        <w:t>criterion</w:t>
      </w:r>
      <w:r w:rsidRPr="00DC470A">
        <w:t xml:space="preserve">.  Based on the proposed </w:t>
      </w:r>
      <w:r>
        <w:t>criterion</w:t>
      </w:r>
      <w:r w:rsidRPr="00DC470A">
        <w:t xml:space="preserve">, about two-thirds (almost 74%) of the network springs have median nitrate + nitrite </w:t>
      </w:r>
      <w:r w:rsidRPr="00DC470A">
        <w:rPr>
          <w:szCs w:val="24"/>
        </w:rPr>
        <w:t>concentrations high enough to promote algal growth problems.  Jackson Blue, Fanning, Apopka</w:t>
      </w:r>
      <w:r>
        <w:rPr>
          <w:szCs w:val="24"/>
        </w:rPr>
        <w:t>,</w:t>
      </w:r>
      <w:r w:rsidRPr="00DC470A">
        <w:rPr>
          <w:szCs w:val="24"/>
        </w:rPr>
        <w:t xml:space="preserve"> and Lithia Major Springs are among the most nitrate-laden springs in the network, with nitrate</w:t>
      </w:r>
      <w:r>
        <w:rPr>
          <w:szCs w:val="24"/>
        </w:rPr>
        <w:t xml:space="preserve"> </w:t>
      </w:r>
      <w:r w:rsidRPr="00DC470A">
        <w:rPr>
          <w:szCs w:val="24"/>
        </w:rPr>
        <w:t>+</w:t>
      </w:r>
      <w:r>
        <w:rPr>
          <w:szCs w:val="24"/>
        </w:rPr>
        <w:t xml:space="preserve"> </w:t>
      </w:r>
      <w:r w:rsidRPr="00DC470A">
        <w:rPr>
          <w:szCs w:val="24"/>
        </w:rPr>
        <w:t>nitrite concentrations approaching 3 mg/L or higher.  Of these, Fanning Spring has the highest nitrate</w:t>
      </w:r>
      <w:r>
        <w:rPr>
          <w:szCs w:val="24"/>
        </w:rPr>
        <w:t xml:space="preserve"> </w:t>
      </w:r>
      <w:r w:rsidRPr="00DC470A">
        <w:rPr>
          <w:szCs w:val="24"/>
        </w:rPr>
        <w:t>+</w:t>
      </w:r>
      <w:r>
        <w:rPr>
          <w:szCs w:val="24"/>
        </w:rPr>
        <w:t xml:space="preserve"> </w:t>
      </w:r>
      <w:r w:rsidRPr="00DC470A">
        <w:rPr>
          <w:szCs w:val="24"/>
        </w:rPr>
        <w:t>nitrite concentration.  It is noteworthy that these three springs are located in areas that include agricultur</w:t>
      </w:r>
      <w:r>
        <w:rPr>
          <w:szCs w:val="24"/>
        </w:rPr>
        <w:t>al</w:t>
      </w:r>
      <w:r w:rsidRPr="00DC470A">
        <w:rPr>
          <w:szCs w:val="24"/>
        </w:rPr>
        <w:t xml:space="preserve"> and/or former agricultural areas undergoing urbanization. </w:t>
      </w:r>
    </w:p>
    <w:p w:rsidR="00485094" w:rsidRPr="00DC470A" w:rsidRDefault="00485094" w:rsidP="00EE77CC">
      <w:pPr>
        <w:pStyle w:val="Bodytext"/>
        <w:rPr>
          <w:szCs w:val="24"/>
        </w:rPr>
      </w:pPr>
      <w:r w:rsidRPr="00DC470A">
        <w:rPr>
          <w:szCs w:val="24"/>
        </w:rPr>
        <w:t xml:space="preserve"> </w:t>
      </w:r>
    </w:p>
    <w:p w:rsidR="00485094" w:rsidRPr="002A60B6" w:rsidRDefault="00485094" w:rsidP="00EE77CC">
      <w:pPr>
        <w:pStyle w:val="Bodytext"/>
      </w:pPr>
      <w:r w:rsidRPr="002A60B6">
        <w:t xml:space="preserve">Based on data from multiple sources, </w:t>
      </w:r>
      <w:r>
        <w:t xml:space="preserve">currently </w:t>
      </w:r>
      <w:r w:rsidRPr="002A60B6">
        <w:t>only a small number of springs in the state exhibit nitrate concentrations close to background conditions.  The concentrations of nitrate</w:t>
      </w:r>
      <w:r>
        <w:t xml:space="preserve"> </w:t>
      </w:r>
      <w:r w:rsidRPr="002A60B6">
        <w:t>+</w:t>
      </w:r>
      <w:r>
        <w:t xml:space="preserve"> </w:t>
      </w:r>
      <w:r w:rsidRPr="002A60B6">
        <w:t>nitrite in these springs may be primarily due to atmospheric deposition, since they are mostly located in remote settings such as national forests or away from land use</w:t>
      </w:r>
      <w:r>
        <w:t>s</w:t>
      </w:r>
      <w:r w:rsidRPr="002A60B6">
        <w:t xml:space="preserve"> considered as nitrogen sources.  Some springs previously considered as background springs have had increases in their nitrate concentrations to the point that they are no longer considered as such.  This may be due to increase</w:t>
      </w:r>
      <w:r>
        <w:t>d</w:t>
      </w:r>
      <w:r w:rsidRPr="002A60B6">
        <w:t xml:space="preserve"> atmospheric deposition or other factors.  </w:t>
      </w:r>
    </w:p>
    <w:p w:rsidR="00485094" w:rsidRDefault="00485094" w:rsidP="00EE77CC">
      <w:pPr>
        <w:pStyle w:val="Heading3"/>
        <w:spacing w:before="100" w:beforeAutospacing="1"/>
      </w:pPr>
      <w:bookmarkStart w:id="740" w:name="_Toc245183401"/>
      <w:bookmarkStart w:id="741" w:name="_Toc252525670"/>
      <w:bookmarkStart w:id="742" w:name="_Toc255822586"/>
      <w:bookmarkStart w:id="743" w:name="_Toc262484202"/>
      <w:bookmarkStart w:id="744" w:name="_Toc271794403"/>
      <w:r>
        <w:t>Phosphorus</w:t>
      </w:r>
      <w:bookmarkEnd w:id="740"/>
      <w:bookmarkEnd w:id="741"/>
      <w:bookmarkEnd w:id="742"/>
      <w:bookmarkEnd w:id="743"/>
      <w:bookmarkEnd w:id="744"/>
    </w:p>
    <w:p w:rsidR="00485094" w:rsidRPr="002A60B6" w:rsidRDefault="00485094" w:rsidP="00EE77CC">
      <w:pPr>
        <w:pStyle w:val="Bodytext"/>
      </w:pPr>
      <w:r w:rsidRPr="002A60B6">
        <w:t xml:space="preserve">Phosphorus is measured as both </w:t>
      </w:r>
      <w:r w:rsidR="008C37FA">
        <w:t>TP</w:t>
      </w:r>
      <w:r w:rsidRPr="002A60B6">
        <w:t xml:space="preserve"> and orthophosphate by the spring monitoring program.  T</w:t>
      </w:r>
      <w:r w:rsidR="008C37FA">
        <w:t>P</w:t>
      </w:r>
      <w:r w:rsidRPr="002A60B6">
        <w:t xml:space="preserve"> consists of organic and inorganic fractions.  The soluble inorganic form of phosphorus is orthophosphate.  </w:t>
      </w:r>
      <w:r>
        <w:t>T</w:t>
      </w:r>
      <w:r w:rsidRPr="002A60B6">
        <w:t xml:space="preserve">here is very little organic phosphorus in ground water, </w:t>
      </w:r>
      <w:r>
        <w:t xml:space="preserve">and, </w:t>
      </w:r>
      <w:r w:rsidRPr="002A60B6">
        <w:t xml:space="preserve">with few exceptions only inorganic (orthophosphate) is found in springs.  Orthophosphate is also the natural form of phosphorus found in geologic material and the form of phosphorus found in conventional fertilizers.  Throughout much of Florida, the Miocene-age Hawthorn Group </w:t>
      </w:r>
      <w:r>
        <w:t>comprises</w:t>
      </w:r>
      <w:r w:rsidRPr="002A60B6">
        <w:t xml:space="preserve"> a massive geologic unit that is naturally rich in phosphorus.  This material lies on top of the porous and permeable limestone in which spring systems occur</w:t>
      </w:r>
      <w:r>
        <w:t>,</w:t>
      </w:r>
      <w:r w:rsidRPr="002A60B6">
        <w:t xml:space="preserve"> and it can provide a continuing source of phosphorus to ground water.  </w:t>
      </w:r>
    </w:p>
    <w:p w:rsidR="00485094" w:rsidRDefault="00485094" w:rsidP="00EE77CC">
      <w:pPr>
        <w:pStyle w:val="Bodytextreduced"/>
      </w:pPr>
    </w:p>
    <w:p w:rsidR="00485094" w:rsidRPr="002A60B6" w:rsidRDefault="00485094" w:rsidP="00EE77CC">
      <w:pPr>
        <w:pStyle w:val="Bodytext"/>
        <w:rPr>
          <w:rFonts w:cs="Arial"/>
        </w:rPr>
      </w:pPr>
      <w:r w:rsidRPr="002A60B6">
        <w:t>The natural abundance of phosphorus varies across the state</w:t>
      </w:r>
      <w:r>
        <w:t>,</w:t>
      </w:r>
      <w:r w:rsidRPr="002A60B6">
        <w:t xml:space="preserve"> and as a result background ground water concentrations vary.  </w:t>
      </w:r>
      <w:r w:rsidRPr="00FE7836">
        <w:rPr>
          <w:b/>
          <w:i/>
        </w:rPr>
        <w:t>Table 10.3</w:t>
      </w:r>
      <w:r w:rsidRPr="002A60B6">
        <w:t xml:space="preserve"> </w:t>
      </w:r>
      <w:r>
        <w:t>summarizes the</w:t>
      </w:r>
      <w:r w:rsidRPr="002A60B6">
        <w:t xml:space="preserve"> median phosphorus concentrations in ground water of the </w:t>
      </w:r>
      <w:r>
        <w:t>nine basins that have springs.</w:t>
      </w:r>
    </w:p>
    <w:p w:rsidR="00485094" w:rsidRDefault="00485094" w:rsidP="00EE77CC">
      <w:pPr>
        <w:pStyle w:val="Bodytext"/>
        <w:rPr>
          <w:rFonts w:cs="Arial"/>
        </w:rPr>
      </w:pPr>
    </w:p>
    <w:p w:rsidR="00485094" w:rsidRPr="00FC5774" w:rsidRDefault="00485094" w:rsidP="00EE77CC">
      <w:pPr>
        <w:pStyle w:val="Bodytext"/>
      </w:pPr>
      <w:r w:rsidRPr="002A60B6">
        <w:rPr>
          <w:rFonts w:cs="Arial"/>
        </w:rPr>
        <w:t>Springs in the Suwannee and Middle St. Johns River Basins have the highest orthophosphate concentrations</w:t>
      </w:r>
      <w:r>
        <w:rPr>
          <w:rFonts w:cs="Arial"/>
        </w:rPr>
        <w:t>, with m</w:t>
      </w:r>
      <w:r w:rsidRPr="002A60B6">
        <w:rPr>
          <w:rFonts w:cs="Arial"/>
        </w:rPr>
        <w:t xml:space="preserve">any </w:t>
      </w:r>
      <w:r>
        <w:rPr>
          <w:rFonts w:cs="Arial"/>
        </w:rPr>
        <w:t>springs in these basins having</w:t>
      </w:r>
      <w:r w:rsidRPr="002A60B6">
        <w:rPr>
          <w:rFonts w:cs="Arial"/>
        </w:rPr>
        <w:t xml:space="preserve"> phosphorus concentrations </w:t>
      </w:r>
      <w:r>
        <w:rPr>
          <w:rFonts w:cs="Arial"/>
        </w:rPr>
        <w:t xml:space="preserve">significantly </w:t>
      </w:r>
      <w:r w:rsidRPr="002A60B6">
        <w:rPr>
          <w:rFonts w:cs="Arial"/>
        </w:rPr>
        <w:t xml:space="preserve">higher than the </w:t>
      </w:r>
      <w:r>
        <w:rPr>
          <w:rFonts w:cs="Arial"/>
        </w:rPr>
        <w:t xml:space="preserve">median value of </w:t>
      </w:r>
      <w:r w:rsidRPr="002A60B6">
        <w:rPr>
          <w:rFonts w:cs="Arial"/>
        </w:rPr>
        <w:t xml:space="preserve">0.03 mg/L </w:t>
      </w:r>
      <w:r>
        <w:rPr>
          <w:rFonts w:cs="Arial"/>
        </w:rPr>
        <w:t xml:space="preserve">in </w:t>
      </w:r>
      <w:r w:rsidRPr="002A60B6">
        <w:rPr>
          <w:rFonts w:cs="Arial"/>
        </w:rPr>
        <w:t>FDEP</w:t>
      </w:r>
      <w:r>
        <w:rPr>
          <w:rFonts w:cs="Arial"/>
        </w:rPr>
        <w:t>’s</w:t>
      </w:r>
      <w:r w:rsidRPr="002A60B6">
        <w:rPr>
          <w:rFonts w:cs="Arial"/>
        </w:rPr>
        <w:t xml:space="preserve"> network</w:t>
      </w:r>
      <w:r>
        <w:rPr>
          <w:rFonts w:cs="Arial"/>
        </w:rPr>
        <w:t xml:space="preserve"> (</w:t>
      </w:r>
      <w:r w:rsidRPr="00DC470A">
        <w:rPr>
          <w:rFonts w:cs="Arial"/>
          <w:b/>
          <w:i/>
        </w:rPr>
        <w:t xml:space="preserve">Figure </w:t>
      </w:r>
      <w:r>
        <w:rPr>
          <w:rFonts w:cs="Arial"/>
          <w:b/>
          <w:i/>
        </w:rPr>
        <w:t>10.</w:t>
      </w:r>
      <w:r w:rsidRPr="00DC470A">
        <w:rPr>
          <w:rFonts w:cs="Arial"/>
          <w:b/>
          <w:i/>
        </w:rPr>
        <w:t>3</w:t>
      </w:r>
      <w:r w:rsidRPr="00FE7836">
        <w:rPr>
          <w:rFonts w:cs="Arial"/>
        </w:rPr>
        <w:t>)</w:t>
      </w:r>
      <w:r w:rsidRPr="00FE7836">
        <w:t xml:space="preserve">. </w:t>
      </w:r>
      <w:r w:rsidRPr="002A60B6">
        <w:t xml:space="preserve"> </w:t>
      </w:r>
      <w:r w:rsidRPr="002A60B6">
        <w:rPr>
          <w:rFonts w:cs="Arial"/>
        </w:rPr>
        <w:t xml:space="preserve">The springs in the network with the highest orthophosphate concentrations are </w:t>
      </w:r>
      <w:proofErr w:type="spellStart"/>
      <w:r w:rsidRPr="002A60B6">
        <w:rPr>
          <w:rFonts w:cs="Arial"/>
        </w:rPr>
        <w:t>Wekiwa</w:t>
      </w:r>
      <w:proofErr w:type="spellEnd"/>
      <w:r w:rsidRPr="002A60B6">
        <w:rPr>
          <w:rFonts w:cs="Arial"/>
        </w:rPr>
        <w:t xml:space="preserve">, Rock, Hornsby, Volusia Blue, Fanning, Lithia Springs Major, </w:t>
      </w:r>
      <w:proofErr w:type="spellStart"/>
      <w:r w:rsidRPr="002A60B6">
        <w:rPr>
          <w:rFonts w:cs="Arial"/>
        </w:rPr>
        <w:t>Ichetucknee</w:t>
      </w:r>
      <w:proofErr w:type="spellEnd"/>
      <w:r w:rsidRPr="002A60B6">
        <w:rPr>
          <w:rFonts w:cs="Arial"/>
        </w:rPr>
        <w:t xml:space="preserve"> Group, </w:t>
      </w:r>
      <w:proofErr w:type="spellStart"/>
      <w:r w:rsidRPr="002A60B6">
        <w:rPr>
          <w:rFonts w:cs="Arial"/>
        </w:rPr>
        <w:t>DeLeon</w:t>
      </w:r>
      <w:proofErr w:type="spellEnd"/>
      <w:r w:rsidRPr="002A60B6">
        <w:rPr>
          <w:rFonts w:cs="Arial"/>
        </w:rPr>
        <w:t xml:space="preserve">, Alexander, </w:t>
      </w:r>
      <w:r w:rsidRPr="002A60B6">
        <w:rPr>
          <w:rFonts w:cs="Arial"/>
        </w:rPr>
        <w:lastRenderedPageBreak/>
        <w:t xml:space="preserve">Lafayette, and Big Springs.  </w:t>
      </w:r>
      <w:r>
        <w:rPr>
          <w:rFonts w:cs="Arial"/>
        </w:rPr>
        <w:t>In contrast, s</w:t>
      </w:r>
      <w:r w:rsidRPr="002A60B6">
        <w:rPr>
          <w:rFonts w:cs="Arial"/>
        </w:rPr>
        <w:t>prings in the Choctawhatchee</w:t>
      </w:r>
      <w:r>
        <w:rPr>
          <w:rFonts w:cs="Arial"/>
        </w:rPr>
        <w:t>–</w:t>
      </w:r>
      <w:r w:rsidRPr="002A60B6">
        <w:rPr>
          <w:rFonts w:cs="Arial"/>
        </w:rPr>
        <w:t xml:space="preserve">St. Andrew Basin, have low concentrations of phosphorus.  </w:t>
      </w:r>
    </w:p>
    <w:p w:rsidR="00485094" w:rsidRDefault="00485094" w:rsidP="00EE77CC">
      <w:pPr>
        <w:pStyle w:val="Bodytext"/>
        <w:rPr>
          <w:rFonts w:cs="Arial"/>
        </w:rPr>
      </w:pPr>
      <w:bookmarkStart w:id="745" w:name="_Toc245115633"/>
      <w:bookmarkStart w:id="746" w:name="_Toc245183532"/>
      <w:bookmarkStart w:id="747" w:name="_Toc252525705"/>
    </w:p>
    <w:p w:rsidR="00485094" w:rsidRDefault="00485094" w:rsidP="00EE77CC">
      <w:pPr>
        <w:pStyle w:val="Bodytext"/>
        <w:rPr>
          <w:rFonts w:cs="Arial"/>
        </w:rPr>
      </w:pPr>
    </w:p>
    <w:p w:rsidR="00485094" w:rsidRDefault="00485094" w:rsidP="00EE77CC">
      <w:pPr>
        <w:pStyle w:val="Caption"/>
      </w:pPr>
      <w:bookmarkStart w:id="748" w:name="_Toc262484327"/>
      <w:bookmarkStart w:id="749" w:name="_Toc271280188"/>
      <w:r>
        <w:t xml:space="preserve">Figure 10.2.  Median Concentrations of </w:t>
      </w:r>
      <w:r w:rsidRPr="00601BB9">
        <w:t>Nitrate</w:t>
      </w:r>
      <w:r>
        <w:t xml:space="preserve"> </w:t>
      </w:r>
      <w:r w:rsidRPr="00601BB9">
        <w:t>+</w:t>
      </w:r>
      <w:r>
        <w:t xml:space="preserve"> </w:t>
      </w:r>
      <w:r w:rsidRPr="00601BB9">
        <w:t xml:space="preserve">Nitrite </w:t>
      </w:r>
      <w:r>
        <w:t>in FDEP’s Spring Network (</w:t>
      </w:r>
      <w:r w:rsidRPr="00601BB9">
        <w:t>2001</w:t>
      </w:r>
      <w:r>
        <w:t>–</w:t>
      </w:r>
      <w:r w:rsidRPr="00601BB9">
        <w:t>06</w:t>
      </w:r>
      <w:r>
        <w:t>)</w:t>
      </w:r>
      <w:bookmarkEnd w:id="745"/>
      <w:bookmarkEnd w:id="746"/>
      <w:bookmarkEnd w:id="747"/>
      <w:bookmarkEnd w:id="748"/>
      <w:bookmarkEnd w:id="749"/>
    </w:p>
    <w:p w:rsidR="00485094" w:rsidRPr="00DC470A" w:rsidRDefault="001717CD" w:rsidP="00EE77CC">
      <w:pPr>
        <w:pStyle w:val="Bodytextreduced"/>
        <w:rPr>
          <w:szCs w:val="22"/>
        </w:rPr>
      </w:pPr>
      <w:r>
        <w:rPr>
          <w:noProof/>
        </w:rPr>
        <w:drawing>
          <wp:anchor distT="0" distB="0" distL="114300" distR="114300" simplePos="0" relativeHeight="251670016" behindDoc="0" locked="0" layoutInCell="1" allowOverlap="1">
            <wp:simplePos x="0" y="0"/>
            <wp:positionH relativeFrom="column">
              <wp:align>center</wp:align>
            </wp:positionH>
            <wp:positionV relativeFrom="paragraph">
              <wp:posOffset>102235</wp:posOffset>
            </wp:positionV>
            <wp:extent cx="5800725" cy="4608830"/>
            <wp:effectExtent l="19050" t="0" r="9525" b="0"/>
            <wp:wrapTopAndBottom/>
            <wp:docPr id="44" name="Picture 11" descr="Figure 10.2.  Median Concentrations of Nitrate + Nitrite in FDEP’s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Figure 10.2.  Median Concentrations of Nitrate + Nitrite in FDEP’s Spring Network (2001–06)"/>
                    <pic:cNvPicPr>
                      <a:picLocks noChangeAspect="1" noChangeArrowheads="1"/>
                    </pic:cNvPicPr>
                  </pic:nvPicPr>
                  <pic:blipFill>
                    <a:blip r:embed="rId165"/>
                    <a:srcRect r="2182"/>
                    <a:stretch>
                      <a:fillRect/>
                    </a:stretch>
                  </pic:blipFill>
                  <pic:spPr bwMode="auto">
                    <a:xfrm>
                      <a:off x="0" y="0"/>
                      <a:ext cx="5800725" cy="4608830"/>
                    </a:xfrm>
                    <a:prstGeom prst="rect">
                      <a:avLst/>
                    </a:prstGeom>
                    <a:noFill/>
                    <a:ln w="9525">
                      <a:noFill/>
                      <a:miter lim="800000"/>
                      <a:headEnd/>
                      <a:tailEnd/>
                    </a:ln>
                  </pic:spPr>
                </pic:pic>
              </a:graphicData>
            </a:graphic>
          </wp:anchor>
        </w:drawing>
      </w:r>
    </w:p>
    <w:p w:rsidR="00485094" w:rsidRPr="00DC470A" w:rsidRDefault="00485094" w:rsidP="00EE77CC">
      <w:pPr>
        <w:pStyle w:val="Bodytextreduced"/>
        <w:rPr>
          <w:szCs w:val="22"/>
        </w:rPr>
      </w:pPr>
    </w:p>
    <w:p w:rsidR="00485094" w:rsidRDefault="00485094" w:rsidP="00EE77CC">
      <w:pPr>
        <w:pStyle w:val="Bodytext"/>
      </w:pPr>
    </w:p>
    <w:p w:rsidR="00485094" w:rsidRDefault="00485094" w:rsidP="00EE77CC">
      <w:pPr>
        <w:pStyle w:val="Bodytextreduced"/>
      </w:pPr>
      <w:r>
        <w:br w:type="page"/>
      </w:r>
    </w:p>
    <w:p w:rsidR="00485094" w:rsidRPr="00601BB9" w:rsidRDefault="00485094" w:rsidP="00EE77CC">
      <w:pPr>
        <w:pStyle w:val="Caption"/>
        <w:rPr>
          <w:rFonts w:cs="Arial"/>
          <w:szCs w:val="22"/>
        </w:rPr>
      </w:pPr>
      <w:bookmarkStart w:id="750" w:name="_Toc245115634"/>
      <w:bookmarkStart w:id="751" w:name="_Toc245183533"/>
      <w:bookmarkStart w:id="752" w:name="_Toc252525706"/>
      <w:bookmarkStart w:id="753" w:name="_Toc262484328"/>
      <w:bookmarkStart w:id="754" w:name="_Toc271280189"/>
      <w:r>
        <w:lastRenderedPageBreak/>
        <w:t>Figure 10.3.  Median Orthophosphate Concentrations in the Spring Network, 2001–06</w:t>
      </w:r>
      <w:bookmarkEnd w:id="750"/>
      <w:bookmarkEnd w:id="751"/>
      <w:bookmarkEnd w:id="752"/>
      <w:bookmarkEnd w:id="753"/>
      <w:bookmarkEnd w:id="754"/>
    </w:p>
    <w:p w:rsidR="00485094" w:rsidRPr="00FE7836" w:rsidRDefault="001717CD" w:rsidP="00EE77CC">
      <w:pPr>
        <w:pStyle w:val="Bodytextreduced"/>
      </w:pPr>
      <w:r>
        <w:rPr>
          <w:noProof/>
        </w:rPr>
        <w:drawing>
          <wp:anchor distT="0" distB="0" distL="114300" distR="114300" simplePos="0" relativeHeight="251671040" behindDoc="0" locked="0" layoutInCell="1" allowOverlap="1">
            <wp:simplePos x="0" y="0"/>
            <wp:positionH relativeFrom="column">
              <wp:align>center</wp:align>
            </wp:positionH>
            <wp:positionV relativeFrom="paragraph">
              <wp:posOffset>116205</wp:posOffset>
            </wp:positionV>
            <wp:extent cx="5815330" cy="4484370"/>
            <wp:effectExtent l="19050" t="0" r="0" b="0"/>
            <wp:wrapTopAndBottom/>
            <wp:docPr id="45" name="Picture 12" descr="Figure 10.3.  Median Orthophosphate Concentrations in the Spring Network, 200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Figure 10.3.  Median Orthophosphate Concentrations in the Spring Network, 2001–06"/>
                    <pic:cNvPicPr>
                      <a:picLocks noChangeAspect="1" noChangeArrowheads="1"/>
                    </pic:cNvPicPr>
                  </pic:nvPicPr>
                  <pic:blipFill>
                    <a:blip r:embed="rId166"/>
                    <a:srcRect t="2597" r="2008"/>
                    <a:stretch>
                      <a:fillRect/>
                    </a:stretch>
                  </pic:blipFill>
                  <pic:spPr bwMode="auto">
                    <a:xfrm>
                      <a:off x="0" y="0"/>
                      <a:ext cx="5815330" cy="4484370"/>
                    </a:xfrm>
                    <a:prstGeom prst="rect">
                      <a:avLst/>
                    </a:prstGeom>
                    <a:noFill/>
                    <a:ln w="9525">
                      <a:noFill/>
                      <a:miter lim="800000"/>
                      <a:headEnd/>
                      <a:tailEnd/>
                    </a:ln>
                  </pic:spPr>
                </pic:pic>
              </a:graphicData>
            </a:graphic>
          </wp:anchor>
        </w:drawing>
      </w:r>
      <w:r w:rsidR="00485094">
        <w:rPr>
          <w:i/>
          <w:color w:val="000000"/>
        </w:rPr>
        <w:br w:type="page"/>
      </w:r>
    </w:p>
    <w:p w:rsidR="007B7214" w:rsidRDefault="007B7214" w:rsidP="007B7214">
      <w:pPr>
        <w:pStyle w:val="Bodytextreduced"/>
      </w:pPr>
      <w:bookmarkStart w:id="755" w:name="_Chapter_11:_"/>
      <w:bookmarkStart w:id="756" w:name="_Ref263768464"/>
      <w:bookmarkStart w:id="757" w:name="_Ref263768482"/>
      <w:bookmarkStart w:id="758" w:name="_Ref263768550"/>
      <w:bookmarkStart w:id="759" w:name="_Ref263768640"/>
      <w:bookmarkEnd w:id="755"/>
    </w:p>
    <w:p w:rsidR="00485094" w:rsidRDefault="00485094" w:rsidP="00B215C8">
      <w:pPr>
        <w:pStyle w:val="Heading1"/>
      </w:pPr>
      <w:bookmarkStart w:id="760" w:name="_Toc271794404"/>
      <w:r>
        <w:t>Chapter 11</w:t>
      </w:r>
      <w:r w:rsidRPr="005B02A6">
        <w:t xml:space="preserve">:  </w:t>
      </w:r>
      <w:r>
        <w:t>Water Protection and Restoration Programs</w:t>
      </w:r>
      <w:bookmarkEnd w:id="756"/>
      <w:bookmarkEnd w:id="757"/>
      <w:bookmarkEnd w:id="758"/>
      <w:bookmarkEnd w:id="759"/>
      <w:bookmarkEnd w:id="760"/>
    </w:p>
    <w:p w:rsidR="00485094" w:rsidRDefault="00485094" w:rsidP="00B215C8">
      <w:pPr>
        <w:pStyle w:val="Bodytextreduced"/>
      </w:pPr>
    </w:p>
    <w:p w:rsidR="00485094" w:rsidRDefault="00485094">
      <w:pPr>
        <w:pStyle w:val="Bodytext"/>
      </w:pPr>
      <w:r w:rsidRPr="00595B30">
        <w:t>Maintaining overall water quality and supplies, protecting p</w:t>
      </w:r>
      <w:r>
        <w:t xml:space="preserve">otable water supplies, </w:t>
      </w:r>
      <w:r w:rsidRPr="00595B30">
        <w:t xml:space="preserve">satisfying competing and rapidly increasing demands for finite quantities of fresh water, minimizing damage to future water reserves, </w:t>
      </w:r>
      <w:r>
        <w:t xml:space="preserve">addressing habitat loss and associated aquatic life use, </w:t>
      </w:r>
      <w:r w:rsidRPr="00595B30">
        <w:t xml:space="preserve">and ensuring healthy populations of fish and wildlife are </w:t>
      </w:r>
      <w:r>
        <w:t xml:space="preserve">major </w:t>
      </w:r>
      <w:r w:rsidRPr="00595B30">
        <w:t>o</w:t>
      </w:r>
      <w:r>
        <w:t xml:space="preserve">bjectives of </w:t>
      </w:r>
      <w:r w:rsidRPr="00595B30">
        <w:t xml:space="preserve">water resource management and protection.  </w:t>
      </w:r>
      <w:r>
        <w:t>To meet these objectives, many d</w:t>
      </w:r>
      <w:r w:rsidRPr="00595B30">
        <w:t>ifferent programs and agencies throughout the state</w:t>
      </w:r>
      <w:r>
        <w:t>, including FDEP,</w:t>
      </w:r>
      <w:r w:rsidRPr="00595B30">
        <w:t xml:space="preserve"> address activities </w:t>
      </w:r>
      <w:r>
        <w:t xml:space="preserve">and problems </w:t>
      </w:r>
      <w:r w:rsidRPr="00595B30">
        <w:t>that affect surface water and ground</w:t>
      </w:r>
      <w:r>
        <w:t xml:space="preserve"> </w:t>
      </w:r>
      <w:r w:rsidRPr="00595B30">
        <w:t xml:space="preserve">water quality and quantity.  </w:t>
      </w:r>
      <w:r>
        <w:rPr>
          <w:rFonts w:cs="Arial"/>
          <w:szCs w:val="22"/>
        </w:rPr>
        <w:t>I</w:t>
      </w:r>
      <w:r w:rsidRPr="000A1EAC">
        <w:rPr>
          <w:rFonts w:cs="Arial"/>
          <w:szCs w:val="22"/>
        </w:rPr>
        <w:t xml:space="preserve">n cooperation with other agencies and stakeholders, </w:t>
      </w:r>
      <w:r>
        <w:rPr>
          <w:rFonts w:cs="Arial"/>
          <w:szCs w:val="22"/>
        </w:rPr>
        <w:t xml:space="preserve">FDEP </w:t>
      </w:r>
      <w:r w:rsidRPr="000A1EAC">
        <w:rPr>
          <w:rFonts w:cs="Arial"/>
          <w:szCs w:val="22"/>
        </w:rPr>
        <w:t xml:space="preserve">has </w:t>
      </w:r>
      <w:r>
        <w:rPr>
          <w:rFonts w:cs="Arial"/>
          <w:szCs w:val="22"/>
        </w:rPr>
        <w:t xml:space="preserve">also </w:t>
      </w:r>
      <w:r w:rsidRPr="000A1EAC">
        <w:rPr>
          <w:rFonts w:cs="Arial"/>
          <w:szCs w:val="22"/>
        </w:rPr>
        <w:t>initiated a number of programs and activities</w:t>
      </w:r>
      <w:r>
        <w:rPr>
          <w:rFonts w:cs="Arial"/>
          <w:szCs w:val="22"/>
        </w:rPr>
        <w:t xml:space="preserve">, which are discussed in this chapter, </w:t>
      </w:r>
      <w:r w:rsidRPr="000A1EAC">
        <w:rPr>
          <w:rFonts w:cs="Arial"/>
          <w:szCs w:val="22"/>
        </w:rPr>
        <w:t>to expand the scientific understanding of Florida’s water resources and improve the protection, management, and restoration of surface water and ground water</w:t>
      </w:r>
      <w:r>
        <w:rPr>
          <w:rFonts w:cs="Arial"/>
          <w:szCs w:val="22"/>
        </w:rPr>
        <w:t xml:space="preserve">.  </w:t>
      </w:r>
    </w:p>
    <w:p w:rsidR="00485094" w:rsidRDefault="00485094">
      <w:pPr>
        <w:pStyle w:val="Bodytext"/>
        <w:rPr>
          <w:rFonts w:cs="Arial"/>
          <w:szCs w:val="22"/>
        </w:rPr>
      </w:pPr>
    </w:p>
    <w:p w:rsidR="00485094" w:rsidRDefault="00485094" w:rsidP="00B215C8">
      <w:pPr>
        <w:pStyle w:val="Heading2"/>
      </w:pPr>
      <w:bookmarkStart w:id="761" w:name="_Toc271794405"/>
      <w:r w:rsidRPr="00D67E69">
        <w:t xml:space="preserve">Florida’s Water </w:t>
      </w:r>
      <w:r>
        <w:t>Resource Management Programs</w:t>
      </w:r>
      <w:bookmarkEnd w:id="761"/>
    </w:p>
    <w:p w:rsidR="00485094" w:rsidRDefault="00485094" w:rsidP="00B215C8">
      <w:pPr>
        <w:pStyle w:val="Bodytext"/>
      </w:pPr>
      <w:r w:rsidRPr="00DB609F">
        <w:t xml:space="preserve">In 1972, the Florida </w:t>
      </w:r>
      <w:r>
        <w:t>Legislature</w:t>
      </w:r>
      <w:r w:rsidRPr="00DB609F">
        <w:t xml:space="preserve">, recognizing the importance of the state’s water resources, passed the </w:t>
      </w:r>
      <w:r>
        <w:t>Florida Water Resources Act,</w:t>
      </w:r>
      <w:r w:rsidRPr="00DB609F">
        <w:t xml:space="preserve"> 373, F.S., and the Florida Air and Water Pollution Control Act, Chapter 403, F.S.  Many goals and policies in the State Comprehensive Plan, Chapter 187, F.S., also address water resources and natural systems protection. </w:t>
      </w:r>
    </w:p>
    <w:p w:rsidR="00485094" w:rsidRDefault="00485094" w:rsidP="00B215C8">
      <w:pPr>
        <w:pStyle w:val="Bodytext"/>
      </w:pPr>
    </w:p>
    <w:p w:rsidR="00485094" w:rsidRDefault="00485094" w:rsidP="00B215C8">
      <w:pPr>
        <w:pStyle w:val="Bodytext"/>
      </w:pPr>
      <w:r>
        <w:t xml:space="preserve">In addition to the FDEP district offices around the state, Florida is unique in that there are also </w:t>
      </w:r>
      <w:r w:rsidRPr="00D67E69">
        <w:t xml:space="preserve">five regional water management districts </w:t>
      </w:r>
      <w:r>
        <w:t xml:space="preserve">broadly </w:t>
      </w:r>
      <w:r w:rsidRPr="00D67E69">
        <w:t>established along natural watershed</w:t>
      </w:r>
      <w:r>
        <w:t xml:space="preserve"> boundarie</w:t>
      </w:r>
      <w:r w:rsidRPr="00D67E69">
        <w:t>s:</w:t>
      </w:r>
    </w:p>
    <w:p w:rsidR="00485094" w:rsidRDefault="00485094" w:rsidP="00B215C8">
      <w:pPr>
        <w:pStyle w:val="Bodytext"/>
      </w:pPr>
    </w:p>
    <w:p w:rsidR="00485094" w:rsidRDefault="00485094" w:rsidP="00B215C8">
      <w:pPr>
        <w:pStyle w:val="Bullet"/>
      </w:pPr>
      <w:r w:rsidRPr="00D67E69">
        <w:t>Northwest Florida</w:t>
      </w:r>
      <w:r>
        <w:t>;</w:t>
      </w:r>
    </w:p>
    <w:p w:rsidR="00485094" w:rsidRDefault="00485094" w:rsidP="00B215C8">
      <w:pPr>
        <w:pStyle w:val="Bullet"/>
      </w:pPr>
      <w:r w:rsidRPr="00D67E69">
        <w:t>St. Johns River</w:t>
      </w:r>
      <w:r>
        <w:t>;</w:t>
      </w:r>
    </w:p>
    <w:p w:rsidR="00485094" w:rsidRDefault="00485094" w:rsidP="00B215C8">
      <w:pPr>
        <w:pStyle w:val="Bullet"/>
      </w:pPr>
      <w:r w:rsidRPr="00D67E69">
        <w:t>Southwest Florida</w:t>
      </w:r>
      <w:r>
        <w:t>;</w:t>
      </w:r>
    </w:p>
    <w:p w:rsidR="00485094" w:rsidRDefault="00485094" w:rsidP="00B215C8">
      <w:pPr>
        <w:pStyle w:val="Bullet"/>
      </w:pPr>
      <w:r w:rsidRPr="00D67E69">
        <w:t>South Florida</w:t>
      </w:r>
      <w:r>
        <w:t>; and</w:t>
      </w:r>
    </w:p>
    <w:p w:rsidR="00485094" w:rsidRDefault="00485094" w:rsidP="00B215C8">
      <w:pPr>
        <w:pStyle w:val="Bullet"/>
      </w:pPr>
      <w:r w:rsidRPr="00D67E69">
        <w:t>Suwannee River</w:t>
      </w:r>
      <w:r>
        <w:t>.</w:t>
      </w:r>
    </w:p>
    <w:p w:rsidR="00485094" w:rsidRDefault="00485094" w:rsidP="00B215C8">
      <w:pPr>
        <w:pStyle w:val="Bodytextreduced"/>
      </w:pPr>
    </w:p>
    <w:p w:rsidR="00485094" w:rsidRDefault="00485094" w:rsidP="00B215C8">
      <w:pPr>
        <w:pStyle w:val="Bodytext"/>
      </w:pPr>
      <w:r w:rsidRPr="00D67E69">
        <w:t xml:space="preserve">The statute gives </w:t>
      </w:r>
      <w:r>
        <w:t>FDEP</w:t>
      </w:r>
      <w:r w:rsidRPr="00D67E69">
        <w:t xml:space="preserve"> “general supervisory authority” over the districts and the authority to exercise any power authorized to be exercised by the districts.  </w:t>
      </w:r>
      <w:r>
        <w:t>FDEP</w:t>
      </w:r>
      <w:r w:rsidRPr="00D67E69">
        <w:t xml:space="preserve"> exercises its general supervisory authority through</w:t>
      </w:r>
      <w:r>
        <w:t xml:space="preserve"> several means, including</w:t>
      </w:r>
      <w:r w:rsidRPr="00D67E69">
        <w:t xml:space="preserve"> </w:t>
      </w:r>
      <w:r>
        <w:t>reviewing</w:t>
      </w:r>
      <w:r w:rsidRPr="00D67E69">
        <w:t xml:space="preserve"> and approv</w:t>
      </w:r>
      <w:r>
        <w:t>ing</w:t>
      </w:r>
      <w:r w:rsidRPr="00D67E69">
        <w:t xml:space="preserve"> district rules, </w:t>
      </w:r>
      <w:r>
        <w:t xml:space="preserve">carrying out </w:t>
      </w:r>
      <w:r w:rsidRPr="00D67E69">
        <w:t xml:space="preserve">coordinated planning, and </w:t>
      </w:r>
      <w:r>
        <w:t xml:space="preserve">providing </w:t>
      </w:r>
      <w:r w:rsidRPr="00D67E69">
        <w:t>program, policy</w:t>
      </w:r>
      <w:r>
        <w:t>,</w:t>
      </w:r>
      <w:r w:rsidRPr="00D67E69">
        <w:t xml:space="preserve"> and rule guidance through the Water Resource Implementation Rule (</w:t>
      </w:r>
      <w:r>
        <w:t>Chapter</w:t>
      </w:r>
      <w:r w:rsidRPr="00D67E69">
        <w:t xml:space="preserve"> 62-40, F.A.C.).</w:t>
      </w:r>
    </w:p>
    <w:p w:rsidR="00485094" w:rsidRDefault="00485094" w:rsidP="00B215C8">
      <w:pPr>
        <w:pStyle w:val="Bodytext"/>
      </w:pPr>
    </w:p>
    <w:p w:rsidR="00485094" w:rsidRDefault="00485094" w:rsidP="00B215C8">
      <w:pPr>
        <w:pStyle w:val="Bodytext"/>
      </w:pPr>
      <w:r>
        <w:t>This approach</w:t>
      </w:r>
      <w:r w:rsidRPr="00D67E69">
        <w:t xml:space="preserve"> combines state-level oversight with regional decision making.  </w:t>
      </w:r>
      <w:r>
        <w:t>It</w:t>
      </w:r>
      <w:r w:rsidRPr="00D67E69">
        <w:t xml:space="preserve"> facilitates </w:t>
      </w:r>
      <w:r>
        <w:t xml:space="preserve">appropriate </w:t>
      </w:r>
      <w:r w:rsidRPr="00D67E69">
        <w:t>statewide consistency in the application of Florida water law</w:t>
      </w:r>
      <w:r>
        <w:t xml:space="preserve">, </w:t>
      </w:r>
      <w:r w:rsidRPr="00D67E69">
        <w:t>while maintaining regional flexibility where necessary to accommodate the wide-ranging climatic, geological, and environmental conditions that affect the state’s water resources.</w:t>
      </w:r>
    </w:p>
    <w:p w:rsidR="00485094" w:rsidRDefault="00485094" w:rsidP="00B215C8">
      <w:pPr>
        <w:pStyle w:val="Bodytext"/>
      </w:pPr>
    </w:p>
    <w:p w:rsidR="00485094" w:rsidRDefault="00485094" w:rsidP="00B215C8">
      <w:pPr>
        <w:pStyle w:val="Bodytext"/>
      </w:pPr>
      <w:r w:rsidRPr="00D67E69">
        <w:t xml:space="preserve">The water management activities of </w:t>
      </w:r>
      <w:r>
        <w:t>FDEP</w:t>
      </w:r>
      <w:r w:rsidRPr="00D67E69">
        <w:t xml:space="preserve"> and </w:t>
      </w:r>
      <w:r>
        <w:t xml:space="preserve">the </w:t>
      </w:r>
      <w:r w:rsidRPr="00D67E69">
        <w:t xml:space="preserve">water management districts are divided into </w:t>
      </w:r>
      <w:r>
        <w:t xml:space="preserve">the following </w:t>
      </w:r>
      <w:r w:rsidRPr="00D67E69">
        <w:t>four areas of responsibility:</w:t>
      </w:r>
    </w:p>
    <w:p w:rsidR="00485094" w:rsidRDefault="00485094" w:rsidP="00B215C8">
      <w:pPr>
        <w:pStyle w:val="Bodytext"/>
      </w:pPr>
    </w:p>
    <w:p w:rsidR="00485094" w:rsidRDefault="00485094" w:rsidP="00B215C8">
      <w:pPr>
        <w:pStyle w:val="Bullet"/>
      </w:pPr>
      <w:r w:rsidRPr="00313FDB">
        <w:rPr>
          <w:b/>
        </w:rPr>
        <w:t>Water Supply:</w:t>
      </w:r>
      <w:r w:rsidRPr="00D67E69">
        <w:t xml:space="preserve"> </w:t>
      </w:r>
      <w:r>
        <w:t xml:space="preserve"> Promoting the availability of sufficient water for all existing and future reasonable and beneficial uses and natural systems.</w:t>
      </w:r>
    </w:p>
    <w:p w:rsidR="00485094" w:rsidRDefault="00485094" w:rsidP="00B215C8">
      <w:pPr>
        <w:pStyle w:val="Bullet"/>
      </w:pPr>
      <w:r w:rsidRPr="00313FDB">
        <w:rPr>
          <w:b/>
        </w:rPr>
        <w:t>Flood Protection and Flood</w:t>
      </w:r>
      <w:r>
        <w:rPr>
          <w:b/>
        </w:rPr>
        <w:t>p</w:t>
      </w:r>
      <w:r w:rsidRPr="00313FDB">
        <w:rPr>
          <w:b/>
        </w:rPr>
        <w:t>lain Management:</w:t>
      </w:r>
      <w:r>
        <w:t xml:space="preserve">  Preventing or minimizing damage from floods, and protecting and enhancing the natural system values of floodplains.</w:t>
      </w:r>
    </w:p>
    <w:p w:rsidR="00485094" w:rsidRDefault="00485094" w:rsidP="00B215C8">
      <w:pPr>
        <w:pStyle w:val="Bullet"/>
      </w:pPr>
      <w:r w:rsidRPr="00313FDB">
        <w:rPr>
          <w:b/>
        </w:rPr>
        <w:t>Water Quality Management:</w:t>
      </w:r>
      <w:r w:rsidRPr="00D67E69">
        <w:t xml:space="preserve"> </w:t>
      </w:r>
      <w:r>
        <w:t xml:space="preserve"> Improving, protecting, and maintaining the quality of surface and ground water.  </w:t>
      </w:r>
    </w:p>
    <w:p w:rsidR="00485094" w:rsidRDefault="00485094" w:rsidP="00B215C8">
      <w:pPr>
        <w:pStyle w:val="Bullet"/>
      </w:pPr>
      <w:r w:rsidRPr="00313FDB">
        <w:rPr>
          <w:b/>
        </w:rPr>
        <w:t>Natural System Management:</w:t>
      </w:r>
      <w:r>
        <w:t xml:space="preserve"> </w:t>
      </w:r>
      <w:r w:rsidRPr="00D67E69">
        <w:t xml:space="preserve"> </w:t>
      </w:r>
      <w:r>
        <w:t>P</w:t>
      </w:r>
      <w:r w:rsidRPr="00D67E69">
        <w:t>reserv</w:t>
      </w:r>
      <w:r>
        <w:t>ing</w:t>
      </w:r>
      <w:r w:rsidRPr="00D67E69">
        <w:t>, prot</w:t>
      </w:r>
      <w:r>
        <w:t>ecting, and restoring natural systems.</w:t>
      </w:r>
    </w:p>
    <w:p w:rsidR="00485094" w:rsidRDefault="00485094" w:rsidP="00B215C8">
      <w:pPr>
        <w:pStyle w:val="Bodytextreduced"/>
      </w:pPr>
    </w:p>
    <w:p w:rsidR="00485094" w:rsidRDefault="00485094" w:rsidP="00B215C8">
      <w:pPr>
        <w:pStyle w:val="Bodytext"/>
      </w:pPr>
      <w:r w:rsidRPr="00F25BB5">
        <w:t xml:space="preserve">These </w:t>
      </w:r>
      <w:r>
        <w:t>responsibilities are carried out through a variety of activities, including planning</w:t>
      </w:r>
      <w:r w:rsidRPr="00F25BB5">
        <w:t>, watershed manag</w:t>
      </w:r>
      <w:r>
        <w:t xml:space="preserve">ement, assessment through application of water quality standards, the </w:t>
      </w:r>
      <w:r w:rsidRPr="00F25BB5">
        <w:t xml:space="preserve">management of nonpoint source pollution, wastewater facilities permitting, ambient </w:t>
      </w:r>
      <w:r>
        <w:t xml:space="preserve">water quality </w:t>
      </w:r>
      <w:r w:rsidRPr="00F25BB5">
        <w:t>monitoring, ground</w:t>
      </w:r>
      <w:r>
        <w:t xml:space="preserve"> </w:t>
      </w:r>
      <w:r w:rsidRPr="00F25BB5">
        <w:t>water protection, educational pro</w:t>
      </w:r>
      <w:r>
        <w:t>grams, and land management.</w:t>
      </w:r>
      <w:r w:rsidRPr="00F25BB5">
        <w:t xml:space="preserve"> </w:t>
      </w:r>
    </w:p>
    <w:p w:rsidR="00485094" w:rsidRDefault="00485094" w:rsidP="00B215C8">
      <w:pPr>
        <w:pStyle w:val="Bodytext"/>
        <w:rPr>
          <w:b/>
          <w:bCs/>
        </w:rPr>
      </w:pPr>
    </w:p>
    <w:p w:rsidR="00485094" w:rsidRDefault="00485094" w:rsidP="00DF1A46">
      <w:pPr>
        <w:pStyle w:val="Heading2"/>
      </w:pPr>
      <w:bookmarkStart w:id="762" w:name="_Toc271794406"/>
      <w:r>
        <w:t>Overview of Surface Water Monitoring Programs</w:t>
      </w:r>
      <w:bookmarkEnd w:id="762"/>
    </w:p>
    <w:p w:rsidR="00485094" w:rsidRPr="004367B3" w:rsidRDefault="00485094" w:rsidP="00DF1A46">
      <w:pPr>
        <w:pStyle w:val="Heading3"/>
      </w:pPr>
      <w:bookmarkStart w:id="763" w:name="_Toc271794407"/>
      <w:r w:rsidRPr="004367B3">
        <w:t>Watershed-based Monitoring and Reporting</w:t>
      </w:r>
      <w:bookmarkEnd w:id="763"/>
    </w:p>
    <w:p w:rsidR="00485094" w:rsidRPr="004367B3" w:rsidRDefault="00485094" w:rsidP="00B215C8">
      <w:pPr>
        <w:pStyle w:val="Bodytext"/>
      </w:pPr>
      <w:r w:rsidRPr="004367B3">
        <w:t xml:space="preserve">Different </w:t>
      </w:r>
      <w:r>
        <w:t>types</w:t>
      </w:r>
      <w:r w:rsidRPr="004367B3">
        <w:t xml:space="preserve"> of monitoring, ranging from the general to the specific, are needed </w:t>
      </w:r>
      <w:r>
        <w:t xml:space="preserve">to answer questions about water quality </w:t>
      </w:r>
      <w:r w:rsidRPr="004367B3">
        <w:t xml:space="preserve">at </w:t>
      </w:r>
      <w:r>
        <w:t>varying</w:t>
      </w:r>
      <w:r w:rsidRPr="004367B3">
        <w:t xml:space="preserve"> scales.  Questions may pertain to larger national, statewide</w:t>
      </w:r>
      <w:r>
        <w:t>,</w:t>
      </w:r>
      <w:r w:rsidRPr="004367B3">
        <w:t xml:space="preserve"> or regional/local conditions</w:t>
      </w:r>
      <w:r>
        <w:t>;</w:t>
      </w:r>
      <w:r w:rsidRPr="004367B3">
        <w:t xml:space="preserve"> whether trends exist in water quality over time</w:t>
      </w:r>
      <w:r>
        <w:t>;</w:t>
      </w:r>
      <w:r w:rsidRPr="004367B3">
        <w:t xml:space="preserve"> or </w:t>
      </w:r>
      <w:r>
        <w:t>whether</w:t>
      </w:r>
      <w:r w:rsidRPr="004367B3">
        <w:t xml:space="preserve"> there are problems in individual surface or ground waters.  Other monitoring may include gathering project-specific information to develop standards or to fill data gaps if there is </w:t>
      </w:r>
      <w:r>
        <w:t xml:space="preserve">a </w:t>
      </w:r>
      <w:r w:rsidRPr="004367B3">
        <w:t xml:space="preserve">need to address specific regulatory problems.  To that end, FDEP has developed diverse monitoring programs to resolve questions in response to these needs. </w:t>
      </w:r>
    </w:p>
    <w:p w:rsidR="00485094" w:rsidRPr="004367B3" w:rsidRDefault="00485094" w:rsidP="00B215C8">
      <w:pPr>
        <w:pStyle w:val="Bodytext"/>
      </w:pPr>
    </w:p>
    <w:p w:rsidR="00485094" w:rsidRPr="00174C25" w:rsidRDefault="00485094" w:rsidP="00B215C8">
      <w:pPr>
        <w:pStyle w:val="Bodytext"/>
      </w:pPr>
      <w:r w:rsidRPr="00174C25">
        <w:t xml:space="preserve">FDEP has embraced a tiered monitoring approach and is reporting the results of statewide ambient monitoring networks (Tier I; </w:t>
      </w:r>
      <w:hyperlink r:id="rId167" w:anchor="_Chapter_5._" w:history="1">
        <w:r w:rsidRPr="00174C25">
          <w:rPr>
            <w:rStyle w:val="Hyperlink"/>
          </w:rPr>
          <w:t>Chapter 5</w:t>
        </w:r>
      </w:hyperlink>
      <w:r w:rsidRPr="00174C25">
        <w:t xml:space="preserve"> and </w:t>
      </w:r>
      <w:hyperlink r:id="rId168" w:anchor="_Chapter_6:_" w:history="1">
        <w:r w:rsidRPr="00174C25">
          <w:rPr>
            <w:rStyle w:val="Hyperlink"/>
          </w:rPr>
          <w:t>Chapter 6</w:t>
        </w:r>
      </w:hyperlink>
      <w:r>
        <w:t xml:space="preserve">), </w:t>
      </w:r>
      <w:r w:rsidRPr="00174C25">
        <w:rPr>
          <w:snapToGrid w:val="0"/>
        </w:rPr>
        <w:t>strategic monitoring for verification of impairment and identification of causative pollutants</w:t>
      </w:r>
      <w:r>
        <w:rPr>
          <w:snapToGrid w:val="0"/>
        </w:rPr>
        <w:t xml:space="preserve">, </w:t>
      </w:r>
      <w:r>
        <w:t>(</w:t>
      </w:r>
      <w:r w:rsidRPr="00174C25">
        <w:t xml:space="preserve">Tier II; </w:t>
      </w:r>
      <w:hyperlink r:id="rId169" w:anchor="_Chapter_7._" w:history="1">
        <w:r w:rsidRPr="00174C25">
          <w:rPr>
            <w:rStyle w:val="Hyperlink"/>
          </w:rPr>
          <w:t>Chapter 7</w:t>
        </w:r>
      </w:hyperlink>
      <w:r w:rsidRPr="00174C25">
        <w:t xml:space="preserve"> and </w:t>
      </w:r>
      <w:hyperlink r:id="rId170" w:anchor="_Chapter_8:_" w:history="1">
        <w:r w:rsidRPr="00174C25">
          <w:rPr>
            <w:rStyle w:val="Hyperlink"/>
          </w:rPr>
          <w:t>Chapter 8</w:t>
        </w:r>
      </w:hyperlink>
      <w:r w:rsidRPr="00174C25">
        <w:t>,) and specialized, site-specific monitoring (Tier III).  Tier I consist</w:t>
      </w:r>
      <w:r>
        <w:t>s</w:t>
      </w:r>
      <w:r w:rsidRPr="00174C25">
        <w:t xml:space="preserve"> of FDEP’s statewide surface water Status Monitoring (probabilistic) and Trend Monitoring Networks, TMDL basin</w:t>
      </w:r>
      <w:r>
        <w:t>-</w:t>
      </w:r>
      <w:r w:rsidRPr="00174C25">
        <w:t xml:space="preserve"> and waterbody</w:t>
      </w:r>
      <w:r>
        <w:t>-</w:t>
      </w:r>
      <w:r w:rsidRPr="00174C25">
        <w:t>specific monitoring, and site</w:t>
      </w:r>
      <w:r>
        <w:t>-</w:t>
      </w:r>
      <w:r w:rsidRPr="00174C25">
        <w:t xml:space="preserve">specific monitoring for special projects and regulatory needs, such as statewide </w:t>
      </w:r>
      <w:r>
        <w:t>DO</w:t>
      </w:r>
      <w:r w:rsidRPr="00174C25">
        <w:t xml:space="preserve"> and nutrient criteria monitoring.</w:t>
      </w:r>
    </w:p>
    <w:p w:rsidR="00485094" w:rsidRPr="00174C25" w:rsidRDefault="00485094" w:rsidP="00B215C8">
      <w:pPr>
        <w:pStyle w:val="Bodytext"/>
      </w:pPr>
    </w:p>
    <w:p w:rsidR="00485094" w:rsidRPr="00174C25" w:rsidRDefault="00485094" w:rsidP="00B215C8">
      <w:pPr>
        <w:pStyle w:val="Bodytext"/>
      </w:pPr>
      <w:r w:rsidRPr="00174C25">
        <w:t>The Tier I Status Network used a rotating</w:t>
      </w:r>
      <w:r>
        <w:t xml:space="preserve"> </w:t>
      </w:r>
      <w:r w:rsidRPr="00174C25">
        <w:t xml:space="preserve">basin, probabilistic monitoring design to estimate water quality across the entire state during 2004–08, based on a representative subsample of water resource types.  These estimates are based on a variety of threshold values, including water quality standards, water quality indices, and other appropriate ecological indicators.  The Trend Network uses a fixed station design to examine changes in water quality over time in select river and stream sites throughout the state.  </w:t>
      </w:r>
    </w:p>
    <w:p w:rsidR="00485094" w:rsidRDefault="00485094" w:rsidP="00B215C8">
      <w:pPr>
        <w:pStyle w:val="Bodytext"/>
      </w:pPr>
    </w:p>
    <w:p w:rsidR="00485094" w:rsidRPr="004367B3" w:rsidRDefault="00485094" w:rsidP="00B215C8">
      <w:pPr>
        <w:pStyle w:val="Bodytext"/>
      </w:pPr>
      <w:r>
        <w:t xml:space="preserve">Strategic monitoring </w:t>
      </w:r>
      <w:r w:rsidRPr="004367B3">
        <w:t xml:space="preserve">(Tier II) includes </w:t>
      </w:r>
      <w:r>
        <w:t xml:space="preserve">monitoring </w:t>
      </w:r>
      <w:r w:rsidRPr="004367B3">
        <w:t xml:space="preserve">designed to address data gaps in order to verify impairment in </w:t>
      </w:r>
      <w:r>
        <w:t xml:space="preserve">potentially impaired </w:t>
      </w:r>
      <w:r w:rsidRPr="004367B3">
        <w:t>waterbod</w:t>
      </w:r>
      <w:r>
        <w:t>ies</w:t>
      </w:r>
      <w:r w:rsidRPr="004367B3">
        <w:t xml:space="preserve"> and monitoring in response to citizen concerns and environmental emergencies.  The Springs Initiative</w:t>
      </w:r>
      <w:r>
        <w:t xml:space="preserve"> monitoring is another example, and</w:t>
      </w:r>
      <w:r w:rsidRPr="004367B3">
        <w:t xml:space="preserve"> encompasses all of the extensive monitoring activities begun in 1999 to address the needs of Florida’s freshwater spring systems, a fragile and unique resource type that is at risk.</w:t>
      </w:r>
    </w:p>
    <w:p w:rsidR="00485094" w:rsidRPr="004367B3" w:rsidRDefault="00485094" w:rsidP="00B215C8">
      <w:pPr>
        <w:pStyle w:val="Bodytext"/>
      </w:pPr>
    </w:p>
    <w:p w:rsidR="00485094" w:rsidRPr="004367B3" w:rsidRDefault="00485094" w:rsidP="00B215C8">
      <w:pPr>
        <w:pStyle w:val="Bodytext"/>
      </w:pPr>
      <w:r w:rsidRPr="004367B3">
        <w:t xml:space="preserve">Tier III monitoring addresses questions that are regulatory in nature, or that support specific program needs and quality objectives.  Examples include monitoring to determine whether </w:t>
      </w:r>
      <w:r w:rsidRPr="004367B3">
        <w:lastRenderedPageBreak/>
        <w:t xml:space="preserve">moderating provisions such as SSACs should apply to certain waters, monitoring tied to regulatory permits issued by FDEP (including fifth-year inspections of wastewater facilities under the </w:t>
      </w:r>
      <w:r>
        <w:t>National Pollutant Discharge Elimination System (</w:t>
      </w:r>
      <w:r w:rsidRPr="004367B3">
        <w:t>NPDES</w:t>
      </w:r>
      <w:r>
        <w:t>)</w:t>
      </w:r>
      <w:r w:rsidRPr="004367B3">
        <w:t xml:space="preserve"> Program, intensive surveys for the development of TMDLs, monitoring to evaluate the effectiveness of </w:t>
      </w:r>
      <w:r>
        <w:t>best management practices (</w:t>
      </w:r>
      <w:r w:rsidRPr="004367B3">
        <w:t>BMPs</w:t>
      </w:r>
      <w:r>
        <w:t>)</w:t>
      </w:r>
      <w:r w:rsidRPr="004367B3">
        <w:t>, and, monitoring to establish or revise state water quality standards.</w:t>
      </w:r>
    </w:p>
    <w:p w:rsidR="00485094" w:rsidRPr="004367B3" w:rsidRDefault="00485094" w:rsidP="00B215C8">
      <w:pPr>
        <w:pStyle w:val="Bodytext"/>
      </w:pPr>
    </w:p>
    <w:p w:rsidR="00485094" w:rsidRDefault="00485094" w:rsidP="00B215C8">
      <w:pPr>
        <w:pStyle w:val="Bodytext"/>
      </w:pPr>
      <w:r w:rsidRPr="004367B3">
        <w:t xml:space="preserve">Each of FDEP’s core monitoring programs has a monitoring design, a list of core and supplemental water quality indicators, and specific procedures for quality assurance, data management, data analysis and assessment, reporting, and programmatic evaluation.  FDEP relies on both chemical and biological sampling in all of its monitoring programs and conducts the bulk of the biological sampling statewide.  </w:t>
      </w:r>
      <w:r>
        <w:t>T</w:t>
      </w:r>
      <w:r w:rsidRPr="004367B3">
        <w:t xml:space="preserve">he remainder of this report </w:t>
      </w:r>
      <w:r>
        <w:t xml:space="preserve">contains information </w:t>
      </w:r>
      <w:r w:rsidRPr="004367B3">
        <w:t>about the programs, their objectives</w:t>
      </w:r>
      <w:r>
        <w:t>,</w:t>
      </w:r>
      <w:r w:rsidRPr="004367B3">
        <w:t xml:space="preserve"> and </w:t>
      </w:r>
      <w:r>
        <w:t xml:space="preserve">the </w:t>
      </w:r>
      <w:r w:rsidRPr="004367B3">
        <w:t xml:space="preserve">results </w:t>
      </w:r>
      <w:r>
        <w:t>of each of their efforts.</w:t>
      </w:r>
    </w:p>
    <w:p w:rsidR="00485094" w:rsidRDefault="00485094" w:rsidP="00B215C8">
      <w:pPr>
        <w:pStyle w:val="Bodytext"/>
      </w:pPr>
    </w:p>
    <w:p w:rsidR="00485094" w:rsidRDefault="00485094" w:rsidP="00DF1A46">
      <w:pPr>
        <w:pStyle w:val="Heading2"/>
      </w:pPr>
      <w:bookmarkStart w:id="764" w:name="_Toc271794408"/>
      <w:r>
        <w:t>Overview of Surface Water Protection Programs</w:t>
      </w:r>
      <w:bookmarkEnd w:id="764"/>
    </w:p>
    <w:p w:rsidR="00485094" w:rsidRDefault="00485094" w:rsidP="00DF1A46">
      <w:pPr>
        <w:pStyle w:val="Heading3"/>
      </w:pPr>
      <w:bookmarkStart w:id="765" w:name="_Toc271794409"/>
      <w:r>
        <w:t>Water Quality Standards Program</w:t>
      </w:r>
      <w:bookmarkEnd w:id="765"/>
    </w:p>
    <w:p w:rsidR="00485094" w:rsidRPr="000615B5" w:rsidRDefault="00485094" w:rsidP="00B215C8">
      <w:pPr>
        <w:pStyle w:val="Bodytext"/>
      </w:pPr>
      <w:r w:rsidRPr="000615B5">
        <w:t xml:space="preserve">Florida’s surface water quality standards </w:t>
      </w:r>
      <w:r>
        <w:t xml:space="preserve">are described </w:t>
      </w:r>
      <w:r w:rsidRPr="000615B5">
        <w:t xml:space="preserve">in </w:t>
      </w:r>
      <w:r>
        <w:t xml:space="preserve">Chapter </w:t>
      </w:r>
      <w:r w:rsidRPr="000615B5">
        <w:t xml:space="preserve">62-302, F.A.C.  The components of this system, which are described below, include water quality classifications; </w:t>
      </w:r>
      <w:r>
        <w:t xml:space="preserve">water quality </w:t>
      </w:r>
      <w:r w:rsidRPr="000615B5">
        <w:t>criteria; an anti</w:t>
      </w:r>
      <w:r>
        <w:t>-</w:t>
      </w:r>
      <w:r w:rsidRPr="000615B5">
        <w:t xml:space="preserve">degradation policy; </w:t>
      </w:r>
      <w:r>
        <w:t xml:space="preserve">and </w:t>
      </w:r>
      <w:r w:rsidRPr="000615B5">
        <w:t>moderating provisions.</w:t>
      </w:r>
    </w:p>
    <w:p w:rsidR="00485094" w:rsidRPr="000615B5" w:rsidRDefault="00485094" w:rsidP="00B215C8">
      <w:pPr>
        <w:pStyle w:val="Bodytext"/>
      </w:pPr>
    </w:p>
    <w:p w:rsidR="00485094" w:rsidRDefault="00485094" w:rsidP="00DF1A46">
      <w:pPr>
        <w:pStyle w:val="Heading4"/>
      </w:pPr>
      <w:r w:rsidRPr="00D116D2">
        <w:t>Water Quality Classifications</w:t>
      </w:r>
    </w:p>
    <w:p w:rsidR="00485094" w:rsidRPr="000615B5" w:rsidRDefault="00485094" w:rsidP="00B215C8">
      <w:pPr>
        <w:pStyle w:val="Bodytext"/>
      </w:pPr>
      <w:r w:rsidRPr="000615B5">
        <w:t xml:space="preserve">Florida’s </w:t>
      </w:r>
      <w:r>
        <w:t>W</w:t>
      </w:r>
      <w:r w:rsidRPr="000615B5">
        <w:t xml:space="preserve">ater </w:t>
      </w:r>
      <w:r>
        <w:t>Q</w:t>
      </w:r>
      <w:r w:rsidRPr="000615B5">
        <w:t xml:space="preserve">uality </w:t>
      </w:r>
      <w:r>
        <w:t>S</w:t>
      </w:r>
      <w:r w:rsidRPr="000615B5">
        <w:t xml:space="preserve">tandards </w:t>
      </w:r>
      <w:r>
        <w:t>P</w:t>
      </w:r>
      <w:r w:rsidRPr="000615B5">
        <w:t>rogram, the foundation of the state’s program of water quality management, designates the “present and future most beneficial uses” of the waters of the state (Subsection 403.061[10], F.S.).  Florida’s surface water is protected for five designated use classifications, as follows:</w:t>
      </w:r>
    </w:p>
    <w:p w:rsidR="00485094" w:rsidRPr="000615B5" w:rsidRDefault="00485094" w:rsidP="00B215C8">
      <w:pPr>
        <w:pStyle w:val="Bodytext"/>
        <w:rPr>
          <w:rFonts w:cs="Arial"/>
          <w:bCs/>
        </w:rPr>
      </w:pP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w:t>
      </w:r>
      <w:r w:rsidRPr="00492CE5">
        <w:rPr>
          <w:rFonts w:cs="Arial"/>
          <w:bCs/>
          <w:i/>
        </w:rPr>
        <w:tab/>
        <w:t>Potable water supplies</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II</w:t>
      </w:r>
      <w:r w:rsidRPr="00492CE5">
        <w:rPr>
          <w:rFonts w:cs="Arial"/>
          <w:bCs/>
          <w:i/>
        </w:rPr>
        <w:tab/>
        <w:t>Shellfish propagation or harvesting</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III</w:t>
      </w:r>
      <w:r w:rsidRPr="00492CE5">
        <w:rPr>
          <w:rFonts w:cs="Arial"/>
          <w:bCs/>
          <w:i/>
        </w:rPr>
        <w:tab/>
        <w:t>Recreation, propagation, and maintenance of a healthy, well-balanced population of fish and wildlife</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IV</w:t>
      </w:r>
      <w:r w:rsidRPr="00492CE5">
        <w:rPr>
          <w:rFonts w:cs="Arial"/>
          <w:bCs/>
          <w:i/>
        </w:rPr>
        <w:tab/>
        <w:t>Agricultural water supplies</w:t>
      </w:r>
      <w:r>
        <w:rPr>
          <w:rFonts w:cs="Arial"/>
          <w:bCs/>
          <w:i/>
        </w:rPr>
        <w:t xml:space="preserve"> (large agricultural lands, located mainly around Lake Okeechobee)</w:t>
      </w:r>
    </w:p>
    <w:p w:rsidR="00485094" w:rsidRPr="00492CE5" w:rsidRDefault="00485094" w:rsidP="00B215C8">
      <w:pPr>
        <w:pStyle w:val="Bodytext"/>
        <w:ind w:left="1440" w:right="720" w:hanging="1440"/>
        <w:rPr>
          <w:rFonts w:cs="Arial"/>
          <w:bCs/>
          <w:i/>
        </w:rPr>
      </w:pPr>
      <w:r>
        <w:rPr>
          <w:rFonts w:cs="Arial"/>
          <w:bCs/>
          <w:i/>
        </w:rPr>
        <w:t xml:space="preserve">     </w:t>
      </w:r>
      <w:r w:rsidRPr="00492CE5">
        <w:rPr>
          <w:rFonts w:cs="Arial"/>
          <w:bCs/>
          <w:i/>
        </w:rPr>
        <w:t>Class V</w:t>
      </w:r>
      <w:r w:rsidRPr="00492CE5">
        <w:rPr>
          <w:rFonts w:cs="Arial"/>
          <w:bCs/>
          <w:i/>
        </w:rPr>
        <w:tab/>
        <w:t>Navigation, utility, and industrial use (there are no state waters currently in this class)</w:t>
      </w:r>
    </w:p>
    <w:p w:rsidR="00485094" w:rsidRDefault="00485094" w:rsidP="00B215C8">
      <w:pPr>
        <w:pStyle w:val="Bodytextreduced"/>
      </w:pPr>
    </w:p>
    <w:p w:rsidR="00485094" w:rsidRDefault="00485094" w:rsidP="00B215C8">
      <w:pPr>
        <w:pStyle w:val="Bodytext"/>
      </w:pPr>
      <w:r>
        <w:t>Class I waters generally have the most stringent water quality criteria and Class V the least.  However, Class I, II, and III surface waters share water quality criteria established to protect recreation and the propagation and maintenance of a healthy, well-balanced population of fish and wildlife.  All waters of the state are considered to be Class III, except for those specifically identified in Section 62-302.600, F.A.C.  All waters of the state are required to meet the “Minimum Criteria for Surface Waters,” as identified in Section 62-302.500, F.A.C.</w:t>
      </w:r>
    </w:p>
    <w:p w:rsidR="00485094" w:rsidRPr="000615B5" w:rsidRDefault="00485094" w:rsidP="00B215C8">
      <w:pPr>
        <w:pStyle w:val="Bodytext"/>
        <w:rPr>
          <w:rFonts w:cs="Arial"/>
          <w:bCs/>
        </w:rPr>
      </w:pPr>
    </w:p>
    <w:p w:rsidR="00485094" w:rsidRDefault="00485094" w:rsidP="00B215C8">
      <w:pPr>
        <w:pStyle w:val="Bodytext"/>
      </w:pPr>
      <w:r>
        <w:t xml:space="preserve">FDEP has proposed the establishment of a Class III subclassification (Class III Limited) for some wholly artificial and altered waters, in acknowledgment that many of these waters have physical or habitat limitations that preclude support of the same type of aquatic ecosystem as a natural stream or lake.  </w:t>
      </w:r>
      <w:hyperlink r:id="rId171" w:anchor="_Chapter_7._" w:history="1">
        <w:r w:rsidRPr="00E82400">
          <w:rPr>
            <w:rStyle w:val="Hyperlink"/>
          </w:rPr>
          <w:t>Chapter 7</w:t>
        </w:r>
      </w:hyperlink>
      <w:r>
        <w:t xml:space="preserve"> discusses the relationship between the state and the EPA’s designated use classifications.</w:t>
      </w:r>
    </w:p>
    <w:p w:rsidR="00485094" w:rsidRDefault="00485094" w:rsidP="00B215C8">
      <w:pPr>
        <w:rPr>
          <w:rFonts w:ascii="Arial" w:hAnsi="Arial"/>
          <w:b/>
          <w:i/>
          <w:sz w:val="22"/>
          <w:szCs w:val="20"/>
        </w:rPr>
      </w:pPr>
      <w:r>
        <w:br w:type="page"/>
      </w:r>
    </w:p>
    <w:p w:rsidR="00485094" w:rsidRDefault="00485094" w:rsidP="00DF1A46">
      <w:pPr>
        <w:pStyle w:val="Heading4"/>
      </w:pPr>
      <w:r w:rsidRPr="00D116D2">
        <w:lastRenderedPageBreak/>
        <w:t>Water Quality Criteria</w:t>
      </w:r>
    </w:p>
    <w:p w:rsidR="00485094" w:rsidRDefault="00485094" w:rsidP="00B215C8">
      <w:pPr>
        <w:pStyle w:val="Bodytext"/>
      </w:pPr>
      <w:r w:rsidRPr="000615B5">
        <w:t xml:space="preserve">Water quality criteria, expressed as numeric or narrative limits for specific parameters, describe the water quality necessary to maintain </w:t>
      </w:r>
      <w:r>
        <w:t>designated uses (such as fishing, swimming, and drinking water)</w:t>
      </w:r>
      <w:r w:rsidRPr="000615B5">
        <w:t xml:space="preserve"> for surface water and ground water.  </w:t>
      </w:r>
      <w:r>
        <w:t>These criteria are presented in Chapter 62-302, F.A.C., and specifically in Section 62-302.530, F.A.C.</w:t>
      </w:r>
    </w:p>
    <w:p w:rsidR="00485094" w:rsidRDefault="00485094" w:rsidP="00B215C8">
      <w:pPr>
        <w:pStyle w:val="Bodytext"/>
      </w:pPr>
    </w:p>
    <w:p w:rsidR="00485094" w:rsidRDefault="00485094" w:rsidP="00DF1A46">
      <w:pPr>
        <w:pStyle w:val="Heading4"/>
      </w:pPr>
      <w:r w:rsidRPr="00D116D2">
        <w:t>Anti</w:t>
      </w:r>
      <w:r>
        <w:t>-</w:t>
      </w:r>
      <w:r w:rsidRPr="00D116D2">
        <w:t>degradation Policy</w:t>
      </w:r>
    </w:p>
    <w:p w:rsidR="00485094" w:rsidRPr="000615B5" w:rsidRDefault="00485094" w:rsidP="00B215C8">
      <w:pPr>
        <w:pStyle w:val="Bodytext"/>
      </w:pPr>
      <w:r w:rsidRPr="000615B5">
        <w:t>The Florida Anti</w:t>
      </w:r>
      <w:r>
        <w:t>-</w:t>
      </w:r>
      <w:r w:rsidRPr="000615B5">
        <w:t>degradation Policy (Sections 62-302.300 and 62-4.242, F.A.C.) recognizes that pollution that causes or contributes to new violations of water quality standards or to the continuation of existing violations is harmful to the waters of the state.  Under this policy, the permitting of new or previously unpermitted existing discharges is prohibited where the discharge is expected to reduce the quality of a receiving water below the classification established for it.  Any lowering of water quality caused by a new or expanded discharge to surface waters must be in the public interest (that is, the benefits of the discharge to public health, safety, and welfare must outweigh any adverse impacts on fish and wildlife or recreation).  Further, the permittee must demonstrate that other disposal alternatives (for example, reuse) or pollution prevention are not economically and technologically reasonable alternatives to the surface water discharge.</w:t>
      </w:r>
    </w:p>
    <w:p w:rsidR="00485094" w:rsidRPr="000615B5" w:rsidRDefault="00485094" w:rsidP="00B215C8">
      <w:pPr>
        <w:pStyle w:val="Bodytext"/>
        <w:rPr>
          <w:rFonts w:cs="Arial"/>
          <w:bCs/>
        </w:rPr>
      </w:pPr>
    </w:p>
    <w:p w:rsidR="00485094" w:rsidRDefault="00485094" w:rsidP="00DF1A46">
      <w:pPr>
        <w:pStyle w:val="Heading4"/>
      </w:pPr>
      <w:r w:rsidRPr="00D116D2">
        <w:t>Moderating Provisions</w:t>
      </w:r>
    </w:p>
    <w:p w:rsidR="00485094" w:rsidRPr="000615B5" w:rsidRDefault="00485094" w:rsidP="00B215C8">
      <w:pPr>
        <w:pStyle w:val="Bodytext"/>
      </w:pPr>
      <w:r>
        <w:t>Florida’s water quality standards include a variety of m</w:t>
      </w:r>
      <w:r w:rsidRPr="000615B5">
        <w:t>oderating</w:t>
      </w:r>
      <w:r>
        <w:t xml:space="preserve"> </w:t>
      </w:r>
      <w:r w:rsidRPr="000615B5">
        <w:t>provisions (provided in Subsection 62-302.300</w:t>
      </w:r>
      <w:r>
        <w:t>(</w:t>
      </w:r>
      <w:r w:rsidRPr="000615B5">
        <w:t>10</w:t>
      </w:r>
      <w:r>
        <w:t>)</w:t>
      </w:r>
      <w:r w:rsidRPr="000615B5">
        <w:t xml:space="preserve"> and </w:t>
      </w:r>
      <w:r>
        <w:t>Chapters</w:t>
      </w:r>
      <w:r w:rsidRPr="000615B5">
        <w:t xml:space="preserve"> 62-4 and 62-6, F.A.C., and described in Sections 62-302.300, 62-4.244, 62-302.800, 62-4.243, F.A.C., and Sections 403.201 and 373.414, F.S.) include mixing zones, zones of discharge, </w:t>
      </w:r>
      <w:r>
        <w:t>SSACs</w:t>
      </w:r>
      <w:r w:rsidRPr="000615B5">
        <w:t>, exemptions, and variances.  These provisions are intended to moderate the applicability of water quality standards where it has been determined that, under certain special circumstances, the social, economic, and environmental costs of such applicability outweigh the benefits.</w:t>
      </w:r>
    </w:p>
    <w:p w:rsidR="00485094" w:rsidRDefault="00485094" w:rsidP="00B215C8"/>
    <w:p w:rsidR="00485094" w:rsidRDefault="00485094" w:rsidP="00DF1A46">
      <w:pPr>
        <w:pStyle w:val="Heading3"/>
      </w:pPr>
      <w:bookmarkStart w:id="766" w:name="_Toc271794410"/>
      <w:r>
        <w:t>Watershed Assessment Program</w:t>
      </w:r>
      <w:bookmarkEnd w:id="766"/>
    </w:p>
    <w:p w:rsidR="00485094" w:rsidRDefault="00485094" w:rsidP="00B215C8">
      <w:pPr>
        <w:pStyle w:val="Bodytext"/>
      </w:pPr>
      <w:r w:rsidRPr="00225AAC">
        <w:t xml:space="preserve">The primary tasks of the </w:t>
      </w:r>
      <w:hyperlink r:id="rId172" w:history="1">
        <w:r w:rsidRPr="00FA7EAD">
          <w:rPr>
            <w:rStyle w:val="Hyperlink"/>
            <w:szCs w:val="22"/>
          </w:rPr>
          <w:t>Watershed Assessment Program</w:t>
        </w:r>
      </w:hyperlink>
      <w:r w:rsidRPr="00225AAC">
        <w:t xml:space="preserve"> include coordinating strategic monitoring; implementing </w:t>
      </w:r>
      <w:r>
        <w:t>Chapter</w:t>
      </w:r>
      <w:r w:rsidRPr="00225AAC">
        <w:t xml:space="preserve"> 62-303, F.A.C., also known as the </w:t>
      </w:r>
      <w:hyperlink r:id="rId173" w:history="1">
        <w:r w:rsidRPr="00FA7EAD">
          <w:rPr>
            <w:rStyle w:val="Hyperlink"/>
          </w:rPr>
          <w:t>Impaired Surface Waters Rule (IWR)</w:t>
        </w:r>
      </w:hyperlink>
      <w:r w:rsidRPr="00225AAC">
        <w:t>; ensuring the completion of the biannual Integrated Report; and</w:t>
      </w:r>
      <w:r>
        <w:t xml:space="preserve"> </w:t>
      </w:r>
      <w:r w:rsidRPr="00225AAC">
        <w:t>submitting annual updates of Florida’s 303(d) list to the EPA</w:t>
      </w:r>
      <w:r w:rsidRPr="00225AAC" w:rsidDel="00A06CD6">
        <w:t xml:space="preserve"> </w:t>
      </w:r>
      <w:r w:rsidRPr="00225AAC">
        <w:t>.</w:t>
      </w:r>
      <w:r>
        <w:t xml:space="preserve">  Section 303(d) of the federal CWA requires States to submit to the EPA lists of surface waters that do not meet applicable water quality standards (i.e., their designated uses or water quality criteria) and establish TMDLs for each of these waters on a schedule.  Pollution limits are then allocated to each pollutant source in an individual river basin.  A waterbody that does not meet its designated use is defined as </w:t>
      </w:r>
      <w:r>
        <w:rPr>
          <w:i/>
        </w:rPr>
        <w:t>impaired</w:t>
      </w:r>
      <w:r>
        <w:t>.</w:t>
      </w:r>
    </w:p>
    <w:p w:rsidR="00485094" w:rsidRDefault="00485094" w:rsidP="00B215C8">
      <w:pPr>
        <w:pStyle w:val="Bodytext"/>
      </w:pPr>
    </w:p>
    <w:p w:rsidR="00485094" w:rsidRDefault="00485094" w:rsidP="00802638">
      <w:pPr>
        <w:pStyle w:val="Heading4"/>
      </w:pPr>
      <w:r w:rsidRPr="00802638">
        <w:t>Florida Watershed Restoration Act</w:t>
      </w:r>
    </w:p>
    <w:p w:rsidR="00485094" w:rsidRDefault="00485094" w:rsidP="00B215C8">
      <w:pPr>
        <w:pStyle w:val="Bodytext"/>
      </w:pPr>
      <w:r>
        <w:t xml:space="preserve">The 1999 FWRA (Section 403.067, F.S.) clarified FDEP’s statutory authority to establish TMDLs, required FDEP to develop a scientifically sound methodology for identifying impaired waters, specified that FDEP could develop TMDLs only for waters identified as impaired using this new methodology, and directed FDEP to establish an Allocation Technical Advisory Committee (ATAC) to assure the equitable allocation of load reductions when implementing TMDLs.  </w:t>
      </w:r>
    </w:p>
    <w:p w:rsidR="00485094" w:rsidRDefault="00485094" w:rsidP="00B215C8">
      <w:pPr>
        <w:rPr>
          <w:rFonts w:ascii="Arial" w:hAnsi="Arial"/>
          <w:sz w:val="22"/>
          <w:szCs w:val="20"/>
        </w:rPr>
      </w:pPr>
    </w:p>
    <w:p w:rsidR="00485094" w:rsidRDefault="00485094" w:rsidP="00B215C8">
      <w:pPr>
        <w:rPr>
          <w:rFonts w:ascii="Arial" w:hAnsi="Arial"/>
          <w:sz w:val="22"/>
          <w:szCs w:val="20"/>
        </w:rPr>
      </w:pPr>
      <w:r w:rsidRPr="00427548">
        <w:rPr>
          <w:rFonts w:ascii="Arial" w:hAnsi="Arial"/>
          <w:sz w:val="22"/>
          <w:szCs w:val="20"/>
        </w:rPr>
        <w:t xml:space="preserve">Another significant component of the FWRA was the requirement for FDEP and FDACS to adopt, by rule, </w:t>
      </w:r>
      <w:r>
        <w:rPr>
          <w:rFonts w:ascii="Arial" w:hAnsi="Arial"/>
          <w:sz w:val="22"/>
          <w:szCs w:val="20"/>
        </w:rPr>
        <w:t xml:space="preserve">BMPs </w:t>
      </w:r>
      <w:r w:rsidRPr="00427548">
        <w:rPr>
          <w:rFonts w:ascii="Arial" w:hAnsi="Arial"/>
          <w:sz w:val="22"/>
          <w:szCs w:val="20"/>
        </w:rPr>
        <w:t xml:space="preserve">to reduce urban and agricultural nonpoint sources of pollution.  </w:t>
      </w:r>
      <w:r>
        <w:rPr>
          <w:rFonts w:ascii="Arial" w:hAnsi="Arial"/>
          <w:sz w:val="22"/>
          <w:szCs w:val="20"/>
        </w:rPr>
        <w:t>As</w:t>
      </w:r>
      <w:r w:rsidRPr="00427548">
        <w:rPr>
          <w:rFonts w:ascii="Arial" w:hAnsi="Arial"/>
          <w:sz w:val="22"/>
          <w:szCs w:val="20"/>
        </w:rPr>
        <w:t xml:space="preserve"> Florida already has an urban stormwater regulatory program, this new authority was particularly important in strengthening Florida’s agricultural nonpoint source management program.  This section of the law requires FDACS to adopt, by rule, BMPs to reduce agricultural nonpoint source pollution</w:t>
      </w:r>
      <w:r>
        <w:rPr>
          <w:rFonts w:ascii="Arial" w:hAnsi="Arial"/>
          <w:sz w:val="22"/>
          <w:szCs w:val="20"/>
        </w:rPr>
        <w:t>,</w:t>
      </w:r>
      <w:r w:rsidRPr="00427548">
        <w:rPr>
          <w:rFonts w:ascii="Arial" w:hAnsi="Arial"/>
          <w:sz w:val="22"/>
          <w:szCs w:val="20"/>
        </w:rPr>
        <w:t xml:space="preserve"> and </w:t>
      </w:r>
      <w:r>
        <w:rPr>
          <w:rFonts w:ascii="Arial" w:hAnsi="Arial"/>
          <w:sz w:val="22"/>
          <w:szCs w:val="20"/>
        </w:rPr>
        <w:t>for F</w:t>
      </w:r>
      <w:r w:rsidRPr="00427548">
        <w:rPr>
          <w:rFonts w:ascii="Arial" w:hAnsi="Arial"/>
          <w:sz w:val="22"/>
          <w:szCs w:val="20"/>
        </w:rPr>
        <w:t>DEP to verify the effectiveness of the BMPs in reducing pollutant loads</w:t>
      </w:r>
      <w:r>
        <w:rPr>
          <w:rFonts w:ascii="Arial" w:hAnsi="Arial"/>
          <w:sz w:val="22"/>
          <w:szCs w:val="20"/>
        </w:rPr>
        <w:t>.</w:t>
      </w:r>
    </w:p>
    <w:p w:rsidR="00485094" w:rsidRDefault="00485094" w:rsidP="00B215C8">
      <w:pPr>
        <w:rPr>
          <w:rFonts w:ascii="Arial" w:hAnsi="Arial"/>
          <w:sz w:val="22"/>
          <w:szCs w:val="20"/>
        </w:rPr>
      </w:pPr>
    </w:p>
    <w:p w:rsidR="00485094" w:rsidRDefault="00485094" w:rsidP="00B215C8">
      <w:pPr>
        <w:rPr>
          <w:rFonts w:ascii="Arial" w:hAnsi="Arial"/>
          <w:sz w:val="22"/>
          <w:szCs w:val="20"/>
        </w:rPr>
      </w:pPr>
      <w:r w:rsidRPr="00427548">
        <w:rPr>
          <w:rFonts w:ascii="Arial" w:hAnsi="Arial"/>
          <w:sz w:val="22"/>
          <w:szCs w:val="20"/>
        </w:rPr>
        <w:t xml:space="preserve">Once </w:t>
      </w:r>
      <w:r>
        <w:rPr>
          <w:rFonts w:ascii="Arial" w:hAnsi="Arial"/>
          <w:sz w:val="22"/>
          <w:szCs w:val="20"/>
        </w:rPr>
        <w:t>FDACS adopts the BMPs</w:t>
      </w:r>
      <w:r w:rsidRPr="00427548">
        <w:rPr>
          <w:rFonts w:ascii="Arial" w:hAnsi="Arial"/>
          <w:sz w:val="22"/>
          <w:szCs w:val="20"/>
        </w:rPr>
        <w:t>, landowners must submit a Notice of Intent</w:t>
      </w:r>
      <w:r>
        <w:rPr>
          <w:rFonts w:ascii="Arial" w:hAnsi="Arial"/>
          <w:sz w:val="22"/>
          <w:szCs w:val="20"/>
        </w:rPr>
        <w:t xml:space="preserve"> </w:t>
      </w:r>
      <w:r w:rsidR="00EE4CFE">
        <w:rPr>
          <w:rFonts w:ascii="Arial" w:hAnsi="Arial"/>
          <w:sz w:val="22"/>
          <w:szCs w:val="20"/>
        </w:rPr>
        <w:t xml:space="preserve">(NOI) </w:t>
      </w:r>
      <w:r w:rsidRPr="00427548">
        <w:rPr>
          <w:rFonts w:ascii="Arial" w:hAnsi="Arial"/>
          <w:sz w:val="22"/>
          <w:szCs w:val="20"/>
        </w:rPr>
        <w:t>to FDACS</w:t>
      </w:r>
      <w:r>
        <w:rPr>
          <w:rFonts w:ascii="Arial" w:hAnsi="Arial"/>
          <w:sz w:val="22"/>
          <w:szCs w:val="20"/>
        </w:rPr>
        <w:t>,</w:t>
      </w:r>
      <w:r w:rsidRPr="00427548">
        <w:rPr>
          <w:rFonts w:ascii="Arial" w:hAnsi="Arial"/>
          <w:sz w:val="22"/>
          <w:szCs w:val="20"/>
        </w:rPr>
        <w:t xml:space="preserve"> specifying the BMPs that will be applied on specific land parcels and the schedule for BMP implementation.  The landowners also must maintain records, such as fertilizer use, and allow FDACS staff to inspect the BMPs.  By submitting a N</w:t>
      </w:r>
      <w:r w:rsidR="00EE4CFE">
        <w:rPr>
          <w:rFonts w:ascii="Arial" w:hAnsi="Arial"/>
          <w:sz w:val="22"/>
          <w:szCs w:val="20"/>
        </w:rPr>
        <w:t>OI</w:t>
      </w:r>
      <w:r w:rsidRPr="00427548">
        <w:rPr>
          <w:rFonts w:ascii="Arial" w:hAnsi="Arial"/>
          <w:sz w:val="22"/>
          <w:szCs w:val="20"/>
        </w:rPr>
        <w:t xml:space="preserve">, the landowners become eligible for state and federal cost-share funding to implement BMPs and receive a presumption of compliance that they are meeting water quality standards.  The BMP rules and the associated BMP manuals that have been adopted are available </w:t>
      </w:r>
      <w:r>
        <w:rPr>
          <w:rFonts w:ascii="Arial" w:hAnsi="Arial"/>
          <w:sz w:val="22"/>
          <w:szCs w:val="20"/>
        </w:rPr>
        <w:t>from</w:t>
      </w:r>
      <w:r w:rsidRPr="00427548">
        <w:rPr>
          <w:rFonts w:ascii="Arial" w:hAnsi="Arial"/>
          <w:sz w:val="22"/>
          <w:szCs w:val="20"/>
        </w:rPr>
        <w:t xml:space="preserve"> </w:t>
      </w:r>
      <w:hyperlink r:id="rId174" w:history="1">
        <w:r>
          <w:rPr>
            <w:rStyle w:val="Hyperlink"/>
            <w:rFonts w:ascii="Arial" w:hAnsi="Arial"/>
            <w:sz w:val="22"/>
            <w:szCs w:val="20"/>
          </w:rPr>
          <w:t>FDAC’s O</w:t>
        </w:r>
        <w:r w:rsidRPr="00CA657B">
          <w:rPr>
            <w:rStyle w:val="Hyperlink"/>
            <w:rFonts w:ascii="Arial" w:hAnsi="Arial"/>
            <w:sz w:val="22"/>
            <w:szCs w:val="20"/>
          </w:rPr>
          <w:t>ffice of Agricultural Water Policy website</w:t>
        </w:r>
      </w:hyperlink>
      <w:r>
        <w:rPr>
          <w:rFonts w:ascii="Arial" w:hAnsi="Arial"/>
          <w:sz w:val="22"/>
          <w:szCs w:val="20"/>
        </w:rPr>
        <w:t>.</w:t>
      </w:r>
    </w:p>
    <w:p w:rsidR="00485094" w:rsidRPr="00427548" w:rsidRDefault="00485094" w:rsidP="00B215C8">
      <w:pPr>
        <w:rPr>
          <w:rFonts w:ascii="Arial" w:hAnsi="Arial"/>
          <w:sz w:val="22"/>
          <w:szCs w:val="20"/>
        </w:rPr>
      </w:pPr>
    </w:p>
    <w:p w:rsidR="00485094" w:rsidRDefault="00485094" w:rsidP="00B215C8">
      <w:pPr>
        <w:pStyle w:val="Bodytext"/>
      </w:pPr>
      <w:r>
        <w:t>The FWRA identifies BMAPs as the primary mechanism for implementing TMDLs to restore water quality.  BMAPs are developed cooperatively with local stakeholders over an 18- to 24-month period following TMDL development.  The strategies developed in each BMAP are implemented in NPDES permits for wastewater facilities and municipal separate storm sewer system (MS4) permits.</w:t>
      </w:r>
    </w:p>
    <w:p w:rsidR="00485094" w:rsidRDefault="00485094" w:rsidP="00B215C8">
      <w:pPr>
        <w:pStyle w:val="Bodytext"/>
      </w:pPr>
    </w:p>
    <w:p w:rsidR="00485094" w:rsidRDefault="00485094" w:rsidP="00B215C8">
      <w:pPr>
        <w:pStyle w:val="Bodytext"/>
      </w:pPr>
      <w:r>
        <w:t>The 2005 Florida Legislature’s amendments to the FWRA focused on the development and adoption of BMAPs as an appropriate method for implementing TMDLs.  The Legislature also established a long-term funding source that provided $20 million per year for urban stormwater retrofitting projects to reduce pollutant loadings to impaired waters; however, that level of funding has not been consistently provided.  Additionally, the 2005 amendments provide FDEP with the ability to take enforcement action against nonpoint sources that do not implement the BMPs that they agreed to implement in the BMAP.</w:t>
      </w:r>
    </w:p>
    <w:p w:rsidR="00485094" w:rsidRDefault="00485094" w:rsidP="00B215C8">
      <w:pPr>
        <w:pStyle w:val="Bodytext"/>
      </w:pPr>
    </w:p>
    <w:p w:rsidR="00485094" w:rsidRDefault="00485094" w:rsidP="00802638">
      <w:pPr>
        <w:pStyle w:val="Heading4"/>
      </w:pPr>
      <w:r w:rsidRPr="00802638">
        <w:t>Impaired Surface Waters Rule</w:t>
      </w:r>
    </w:p>
    <w:p w:rsidR="00485094" w:rsidRDefault="00485094" w:rsidP="00B215C8">
      <w:pPr>
        <w:pStyle w:val="Bodytext"/>
      </w:pPr>
      <w:r>
        <w:t>Waterbodies are assessed and TMDLs are developed and implemented using the methodology in Florida</w:t>
      </w:r>
      <w:r w:rsidRPr="00AC4F94">
        <w:t xml:space="preserve">’s </w:t>
      </w:r>
      <w:r>
        <w:t>IWR</w:t>
      </w:r>
      <w:r w:rsidRPr="00AC4F94">
        <w:t xml:space="preserve"> (</w:t>
      </w:r>
      <w:r>
        <w:t>Chapter</w:t>
      </w:r>
      <w:r w:rsidRPr="00AC4F94">
        <w:t xml:space="preserve"> 62-303, F.A.C.)</w:t>
      </w:r>
      <w:r>
        <w:t>.  This is</w:t>
      </w:r>
      <w:r w:rsidRPr="00AC4F94">
        <w:t xml:space="preserve"> </w:t>
      </w:r>
      <w:r>
        <w:t xml:space="preserve">a </w:t>
      </w:r>
      <w:r w:rsidRPr="00AC4F94">
        <w:t>science-based methodology for evaluating water quality data in order to identify impaired waters, and establishes specific criteria for impairment based on chemical parameters, the interpretation of narrative nutrient criteria, biological impairment, fish consumption advisories, and ecological impairment.  The IWR also establishes thresholds for data sufficiency and data quality, including the minimum sample size required and the number of exceedances of the applicable water quality standard for a given sample size that identify a waterbody as impaired.  The number of exceedances is based on a statistical approach designed to provide greater confidence that the outcome of the water quality assessment is correct.  Waters that are identified as impaired through the IWR are prioritized for TMDL development and implementation.</w:t>
      </w:r>
    </w:p>
    <w:p w:rsidR="00485094" w:rsidRDefault="00485094" w:rsidP="00B215C8">
      <w:pPr>
        <w:pStyle w:val="Bodytext"/>
      </w:pPr>
    </w:p>
    <w:p w:rsidR="00485094" w:rsidRDefault="00485094" w:rsidP="0036430D">
      <w:pPr>
        <w:pStyle w:val="Bodytext"/>
      </w:pPr>
      <w:r w:rsidRPr="0087255F">
        <w:t xml:space="preserve">In 2006, and again in 2007, the IWR was amended to address legal challenges that arose following the original adoption in 2001.  After </w:t>
      </w:r>
      <w:r>
        <w:t>t</w:t>
      </w:r>
      <w:r w:rsidRPr="0087255F">
        <w:t>he state rulemaking process</w:t>
      </w:r>
      <w:r>
        <w:t xml:space="preserve"> was completed</w:t>
      </w:r>
      <w:r w:rsidRPr="0087255F">
        <w:t xml:space="preserve">, the revised IWR was submitted to </w:t>
      </w:r>
      <w:r>
        <w:t>the EPA</w:t>
      </w:r>
      <w:r w:rsidRPr="0087255F">
        <w:t xml:space="preserve"> on </w:t>
      </w:r>
      <w:r>
        <w:t xml:space="preserve">September 14, 2007, </w:t>
      </w:r>
      <w:r w:rsidRPr="0087255F">
        <w:t xml:space="preserve">as a change to water quality standards.  On February 19, 2008, </w:t>
      </w:r>
      <w:r>
        <w:t xml:space="preserve">the </w:t>
      </w:r>
      <w:r w:rsidRPr="0087255F">
        <w:t xml:space="preserve">EPA sent </w:t>
      </w:r>
      <w:r>
        <w:t>a</w:t>
      </w:r>
      <w:r w:rsidRPr="0087255F">
        <w:t xml:space="preserve"> letter of approval to FDEP acknowledging </w:t>
      </w:r>
      <w:r>
        <w:t xml:space="preserve">that </w:t>
      </w:r>
      <w:r w:rsidRPr="0087255F">
        <w:t>the IWR was an approved change to water quality standards.</w:t>
      </w:r>
    </w:p>
    <w:p w:rsidR="0036430D" w:rsidRDefault="0036430D" w:rsidP="0036430D">
      <w:pPr>
        <w:pStyle w:val="Bodytext"/>
        <w:rPr>
          <w:b/>
          <w:i/>
        </w:rPr>
      </w:pPr>
    </w:p>
    <w:p w:rsidR="00485094" w:rsidRDefault="00485094" w:rsidP="00DF1A46">
      <w:pPr>
        <w:pStyle w:val="Heading4"/>
      </w:pPr>
      <w:r>
        <w:t>Watershed Management Approach</w:t>
      </w:r>
    </w:p>
    <w:p w:rsidR="00485094" w:rsidRDefault="00485094" w:rsidP="00B215C8">
      <w:pPr>
        <w:pStyle w:val="Bodytext"/>
      </w:pPr>
      <w:r w:rsidRPr="00934827">
        <w:t>FDEP's statewide</w:t>
      </w:r>
      <w:r>
        <w:t xml:space="preserve"> tactic to water resource management, called the watershed management approach, is the framework for developing and implementing the provisions of Section 303(d) of the CWA, including the development of TMDLs, as required by federal and state laws.</w:t>
      </w:r>
    </w:p>
    <w:p w:rsidR="00485094" w:rsidRDefault="00485094" w:rsidP="00B215C8">
      <w:pPr>
        <w:pStyle w:val="Bodytext"/>
      </w:pPr>
    </w:p>
    <w:p w:rsidR="00485094" w:rsidRDefault="00485094" w:rsidP="00B215C8">
      <w:pPr>
        <w:pStyle w:val="Bodytext"/>
      </w:pPr>
      <w:r>
        <w:t>Watershed management is a comprehensive approach to managing water resources on the basis of hydrologic units—which are natural boundaries such as river basins—rather than arbitrary political or regulatory boundaries.  It does not focus on individual causes of pollution.  Instead, each basin is assessed as an entire functioning system, and aquatic resources are evaluated from a basin-wide perspective that considers the cumulative effects of human activities.</w:t>
      </w:r>
    </w:p>
    <w:p w:rsidR="00485094" w:rsidRDefault="00485094" w:rsidP="00B215C8">
      <w:pPr>
        <w:pStyle w:val="Bodytext"/>
      </w:pPr>
    </w:p>
    <w:p w:rsidR="00485094" w:rsidRDefault="00485094" w:rsidP="00B215C8">
      <w:pPr>
        <w:pStyle w:val="Bodytext"/>
        <w:rPr>
          <w:b/>
        </w:rPr>
      </w:pPr>
      <w:r>
        <w:t xml:space="preserve">On a simple level, Florida’s watershed management approach provides a mechanism to focus resources on specific units (river or estuary basins), rather than trying to work on all state waters at one time.  An important feature is the involvement of all the stakeholders who have an interest in an individual basin (including federal, state, regional, tribal, and local governments and individual citizens), in a cooperative effort to define, prioritize, and resolve water quality problems.  Existing programs are coordinated to manage basin resources without duplicated effort.  </w:t>
      </w:r>
      <w:r>
        <w:rPr>
          <w:color w:val="000000"/>
        </w:rPr>
        <w:t xml:space="preserve">The watershed management approach is not new, nor does it compete with or replace existing programs.  Rather than relying on single solutions to water resource issues, it is intended to improve the health of surface water and ground water resources by strengthening coordination among such activities as monitoring, stormwater management, wastewater treatment, wetland restoration, land acquisition, and public involvement.  </w:t>
      </w:r>
    </w:p>
    <w:p w:rsidR="00485094" w:rsidRDefault="00485094" w:rsidP="00B215C8">
      <w:pPr>
        <w:pStyle w:val="Bodytext"/>
      </w:pPr>
    </w:p>
    <w:p w:rsidR="00485094" w:rsidRPr="00776983" w:rsidRDefault="00485094" w:rsidP="00B215C8">
      <w:pPr>
        <w:pStyle w:val="Bodytext"/>
      </w:pPr>
      <w:r w:rsidRPr="00776983">
        <w:t xml:space="preserve">Florida’s watershed management approach </w:t>
      </w:r>
      <w:r>
        <w:t xml:space="preserve">involves a multiple-phase, </w:t>
      </w:r>
      <w:r w:rsidRPr="00776983">
        <w:t>five-year, rotating basin cycle.</w:t>
      </w:r>
      <w:r>
        <w:t xml:space="preserve">  </w:t>
      </w:r>
      <w:r w:rsidRPr="00776983">
        <w:t>During Phase 1, a Planning List of potentially impaired waters is prepared in a collaborative process with stakeholders.  During this phase, FDEP works closely with local monitoring staff to determine when and where additional monitoring is needed to verify the impairments.  This culminates in the preparation of a Strategic Monitoring Plan that is implemented the following year, during Phase 2 of the cycle.</w:t>
      </w:r>
    </w:p>
    <w:p w:rsidR="00485094" w:rsidRPr="00776983" w:rsidRDefault="00485094" w:rsidP="00B215C8">
      <w:pPr>
        <w:pStyle w:val="Bodytext"/>
      </w:pPr>
    </w:p>
    <w:p w:rsidR="00485094" w:rsidRPr="00776983" w:rsidRDefault="00485094" w:rsidP="00B215C8">
      <w:pPr>
        <w:pStyle w:val="Bodytext"/>
      </w:pPr>
      <w:r w:rsidRPr="00776983">
        <w:t xml:space="preserve">The key product of Phase 2 is the Verified List of impaired waters.  </w:t>
      </w:r>
      <w:r>
        <w:t>These lists are developed through applying the water quality standards in Chapter 62-302 F.A.C., as well as the methodologies provided in Chapter 62-303</w:t>
      </w:r>
      <w:r w:rsidR="00A03A97">
        <w:t>,</w:t>
      </w:r>
      <w:r>
        <w:t xml:space="preserve"> F.A.C.  There are generally draft lists developed which are provided to stakeholders for comment.  Lists are finalized based on public comment and any additional information received throughout the process.</w:t>
      </w:r>
    </w:p>
    <w:p w:rsidR="00485094" w:rsidRPr="00776983" w:rsidRDefault="00485094" w:rsidP="00B215C8">
      <w:pPr>
        <w:pStyle w:val="Bodytext"/>
      </w:pPr>
    </w:p>
    <w:p w:rsidR="00485094" w:rsidRPr="00776983" w:rsidRDefault="00485094" w:rsidP="00B215C8">
      <w:pPr>
        <w:pStyle w:val="Bodytext"/>
      </w:pPr>
      <w:r w:rsidRPr="00776983">
        <w:t xml:space="preserve">During Phase 3 of the cycle, watershed and waterbody modeling are carried out to develop TMDLs for impaired waters and the preliminary allocations to point and nonpoint sources.  Typically, a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 xml:space="preserve">is formalized during this phase and begins the process of developing the BMAP that will guide TMDL implementation activities.  FDEP works closely with the </w:t>
      </w:r>
      <w:r w:rsidR="00A03A97">
        <w:t>B</w:t>
      </w:r>
      <w:r w:rsidR="00A03A97" w:rsidRPr="00776983">
        <w:t xml:space="preserve">asin </w:t>
      </w:r>
      <w:r w:rsidR="00A03A97">
        <w:t>W</w:t>
      </w:r>
      <w:r w:rsidR="00A03A97" w:rsidRPr="00776983">
        <w:t xml:space="preserve">orking </w:t>
      </w:r>
      <w:r w:rsidR="00A03A97">
        <w:t>G</w:t>
      </w:r>
      <w:r w:rsidR="00A03A97" w:rsidRPr="00776983">
        <w:t xml:space="preserve">roup </w:t>
      </w:r>
      <w:r w:rsidRPr="00776983">
        <w:t>and other watershed stakeholders to ensure that they understand and support the approaches being undertaken to develop the TMDL.</w:t>
      </w:r>
      <w:r>
        <w:t xml:space="preserve">  To date, </w:t>
      </w:r>
      <w:r w:rsidR="00A03A97">
        <w:t>FDEP has adopted</w:t>
      </w:r>
      <w:r>
        <w:t xml:space="preserve"> a total of 234 TMDLs.  Of those 234, 138 were developed for DO and/or </w:t>
      </w:r>
      <w:r w:rsidR="00550C22">
        <w:t>nutrients</w:t>
      </w:r>
      <w:r>
        <w:t>, 92 were developed for bacteria, and 4 are for other parameters such as un</w:t>
      </w:r>
      <w:r w:rsidR="00A03A97">
        <w:t>-</w:t>
      </w:r>
      <w:r>
        <w:t>ionized ammonia.  These TMDLs represent areas in all basin groups and cover many of the largest watersheds within the state (e.g.</w:t>
      </w:r>
      <w:r w:rsidR="00550C22">
        <w:t>,</w:t>
      </w:r>
      <w:r>
        <w:t xml:space="preserve"> St. Johns River, St. Lucie </w:t>
      </w:r>
      <w:r w:rsidR="00550C22">
        <w:t>Estuary</w:t>
      </w:r>
      <w:r>
        <w:t xml:space="preserve">).  Many more TMDLs have been drafted or are in various stages of development.  </w:t>
      </w:r>
    </w:p>
    <w:p w:rsidR="00485094" w:rsidRPr="00776983" w:rsidRDefault="00485094" w:rsidP="00B215C8">
      <w:pPr>
        <w:pStyle w:val="Bodytext"/>
      </w:pPr>
    </w:p>
    <w:p w:rsidR="00485094" w:rsidRPr="00776983" w:rsidRDefault="00485094" w:rsidP="00B215C8">
      <w:pPr>
        <w:pStyle w:val="Bodytext"/>
      </w:pPr>
      <w:r w:rsidRPr="00776983">
        <w:lastRenderedPageBreak/>
        <w:t>During Phase 4 of the cycle, the basin working group and other stakeholders—especially representatives of local governments, including local elected officials—develop the BMAP.  This process typically takes about two years and culminates in the adoption of the BMAP by FDEP’s Secretary.</w:t>
      </w:r>
    </w:p>
    <w:p w:rsidR="00485094" w:rsidRPr="00776983" w:rsidRDefault="00485094" w:rsidP="00B215C8">
      <w:pPr>
        <w:pStyle w:val="Bodytext"/>
      </w:pPr>
    </w:p>
    <w:p w:rsidR="00485094" w:rsidRPr="00776983" w:rsidRDefault="00485094" w:rsidP="00B215C8">
      <w:pPr>
        <w:pStyle w:val="Bodytext"/>
      </w:pPr>
      <w:r w:rsidRPr="00776983">
        <w:t xml:space="preserve">Both the BMAP and the Verified List of impaired waters are adopted by Secretarial Order, while all TMDLs are adopted by rule.  Like all official agency actions, these adoptions are subject to state administrative procedures set forth in Chapter 120, F.S.  Once a BMAP, Verified List, or TMDL is adopted, a notice is published in the </w:t>
      </w:r>
      <w:hyperlink r:id="rId175" w:history="1">
        <w:r w:rsidRPr="00776983">
          <w:rPr>
            <w:rStyle w:val="Hyperlink"/>
            <w:i/>
          </w:rPr>
          <w:t>Florida Administrative Weekly</w:t>
        </w:r>
      </w:hyperlink>
      <w:r w:rsidRPr="00776983">
        <w:rPr>
          <w:i/>
        </w:rPr>
        <w:t xml:space="preserve"> and</w:t>
      </w:r>
      <w:r w:rsidRPr="00776983">
        <w:t xml:space="preserve"> any affected party has the opportunity to request an administrative hearing to challenge the adoption.</w:t>
      </w:r>
    </w:p>
    <w:p w:rsidR="00485094" w:rsidRPr="00776983" w:rsidRDefault="00485094" w:rsidP="00B215C8">
      <w:pPr>
        <w:pStyle w:val="Bodytext"/>
      </w:pPr>
    </w:p>
    <w:p w:rsidR="00485094" w:rsidRDefault="00485094" w:rsidP="00B215C8">
      <w:pPr>
        <w:pStyle w:val="Bodytext"/>
      </w:pPr>
      <w:smartTag w:uri="urn:schemas-microsoft-com:office:smarttags" w:element="State">
        <w:smartTag w:uri="urn:schemas-microsoft-com:office:smarttags" w:element="place">
          <w:r w:rsidRPr="00776983">
            <w:t>Florida</w:t>
          </w:r>
        </w:smartTag>
      </w:smartTag>
      <w:r w:rsidRPr="00776983">
        <w:t xml:space="preserve"> continues to develop an integrated database of assessment information that reflects whether water quality standards are being attained.  The Verified Lists of impaired waters, lists of waters to be delisted, Basin Status and Water Quality Assessment Reports, BMAPs, TMDL reports, and other information are available on the </w:t>
      </w:r>
      <w:hyperlink r:id="rId176" w:history="1">
        <w:r w:rsidRPr="00776983">
          <w:rPr>
            <w:rStyle w:val="Hyperlink"/>
          </w:rPr>
          <w:t>FDEP Watershed Assessment Program website</w:t>
        </w:r>
      </w:hyperlink>
      <w:r w:rsidRPr="00776983">
        <w:t>.</w:t>
      </w:r>
    </w:p>
    <w:p w:rsidR="00485094" w:rsidRDefault="00485094" w:rsidP="00B215C8">
      <w:pPr>
        <w:pStyle w:val="Bodytext"/>
      </w:pPr>
    </w:p>
    <w:p w:rsidR="00485094" w:rsidRPr="00531ADE" w:rsidRDefault="00485094" w:rsidP="00802638">
      <w:pPr>
        <w:pStyle w:val="Heading4"/>
      </w:pPr>
      <w:r w:rsidRPr="00802638">
        <w:t>BMAP Development Activities to Date</w:t>
      </w:r>
    </w:p>
    <w:p w:rsidR="00485094" w:rsidRPr="003917BD" w:rsidRDefault="00485094" w:rsidP="003917BD">
      <w:pPr>
        <w:pStyle w:val="Bodytextreduced"/>
        <w:rPr>
          <w:sz w:val="22"/>
          <w:szCs w:val="22"/>
        </w:rPr>
      </w:pPr>
      <w:r w:rsidRPr="003917BD">
        <w:rPr>
          <w:sz w:val="22"/>
          <w:szCs w:val="22"/>
        </w:rPr>
        <w:t xml:space="preserve">To date seven BMAPs have been fully adopted and </w:t>
      </w:r>
      <w:r>
        <w:rPr>
          <w:sz w:val="22"/>
          <w:szCs w:val="22"/>
        </w:rPr>
        <w:t xml:space="preserve">are </w:t>
      </w:r>
      <w:r w:rsidRPr="003917BD">
        <w:rPr>
          <w:sz w:val="22"/>
          <w:szCs w:val="22"/>
        </w:rPr>
        <w:t xml:space="preserve">under implementation in the following basins: </w:t>
      </w:r>
      <w:r>
        <w:rPr>
          <w:sz w:val="22"/>
          <w:szCs w:val="22"/>
        </w:rPr>
        <w:t xml:space="preserve"> </w:t>
      </w:r>
      <w:r w:rsidRPr="003917BD">
        <w:rPr>
          <w:sz w:val="22"/>
          <w:szCs w:val="22"/>
        </w:rPr>
        <w:t xml:space="preserve">Upper Ocklawaha, Orange Creek, Long Branch, Lower St. Johns River </w:t>
      </w:r>
      <w:proofErr w:type="spellStart"/>
      <w:r w:rsidRPr="003917BD">
        <w:rPr>
          <w:sz w:val="22"/>
          <w:szCs w:val="22"/>
        </w:rPr>
        <w:t>Mainstem</w:t>
      </w:r>
      <w:proofErr w:type="spellEnd"/>
      <w:r w:rsidRPr="003917BD">
        <w:rPr>
          <w:sz w:val="22"/>
          <w:szCs w:val="22"/>
        </w:rPr>
        <w:t xml:space="preserve">, Lower St. Johns River Tributaries, Hillsborough River and Lake </w:t>
      </w:r>
      <w:proofErr w:type="spellStart"/>
      <w:r w:rsidRPr="003917BD">
        <w:rPr>
          <w:sz w:val="22"/>
          <w:szCs w:val="22"/>
        </w:rPr>
        <w:t>Jesup</w:t>
      </w:r>
      <w:proofErr w:type="spellEnd"/>
      <w:r w:rsidRPr="003917BD">
        <w:rPr>
          <w:sz w:val="22"/>
          <w:szCs w:val="22"/>
        </w:rPr>
        <w:t>.</w:t>
      </w:r>
      <w:r>
        <w:rPr>
          <w:sz w:val="22"/>
          <w:szCs w:val="22"/>
        </w:rPr>
        <w:t xml:space="preserve"> </w:t>
      </w:r>
      <w:r w:rsidRPr="003917BD">
        <w:rPr>
          <w:sz w:val="22"/>
          <w:szCs w:val="22"/>
        </w:rPr>
        <w:t xml:space="preserve"> An </w:t>
      </w:r>
      <w:r w:rsidR="0011748B">
        <w:rPr>
          <w:sz w:val="22"/>
          <w:szCs w:val="22"/>
        </w:rPr>
        <w:t>eighth</w:t>
      </w:r>
      <w:r w:rsidRPr="003917BD">
        <w:rPr>
          <w:sz w:val="22"/>
          <w:szCs w:val="22"/>
        </w:rPr>
        <w:t xml:space="preserve"> BMAP for additional Lower St. Johns River Tributaries is expected to be adopted shortly.</w:t>
      </w:r>
      <w:r>
        <w:rPr>
          <w:sz w:val="22"/>
          <w:szCs w:val="22"/>
        </w:rPr>
        <w:t xml:space="preserve"> </w:t>
      </w:r>
      <w:r w:rsidRPr="003917BD">
        <w:rPr>
          <w:sz w:val="22"/>
          <w:szCs w:val="22"/>
        </w:rPr>
        <w:t xml:space="preserve"> BMAP development activities are currently under</w:t>
      </w:r>
      <w:r w:rsidR="0011748B">
        <w:rPr>
          <w:sz w:val="22"/>
          <w:szCs w:val="22"/>
        </w:rPr>
        <w:t xml:space="preserve"> </w:t>
      </w:r>
      <w:r w:rsidRPr="003917BD">
        <w:rPr>
          <w:sz w:val="22"/>
          <w:szCs w:val="22"/>
        </w:rPr>
        <w:t>way and in various stages of completion in an additional eight basins around the state</w:t>
      </w:r>
      <w:r w:rsidR="0011748B">
        <w:rPr>
          <w:sz w:val="22"/>
          <w:szCs w:val="22"/>
        </w:rPr>
        <w:t xml:space="preserve">:  </w:t>
      </w:r>
      <w:r>
        <w:rPr>
          <w:sz w:val="22"/>
          <w:szCs w:val="22"/>
        </w:rPr>
        <w:t xml:space="preserve">the </w:t>
      </w:r>
      <w:r w:rsidRPr="003917BD">
        <w:rPr>
          <w:sz w:val="22"/>
          <w:szCs w:val="22"/>
        </w:rPr>
        <w:t xml:space="preserve">Upper Peace River </w:t>
      </w:r>
      <w:r>
        <w:rPr>
          <w:sz w:val="22"/>
          <w:szCs w:val="22"/>
        </w:rPr>
        <w:t>and</w:t>
      </w:r>
      <w:r w:rsidRPr="003917BD">
        <w:rPr>
          <w:sz w:val="22"/>
          <w:szCs w:val="22"/>
        </w:rPr>
        <w:t xml:space="preserve"> Winter Haven Chain of Lakes, Wekiva, Suwannee, Bayou Chico, Indian River Lagoon </w:t>
      </w:r>
      <w:proofErr w:type="spellStart"/>
      <w:r w:rsidRPr="003917BD">
        <w:rPr>
          <w:sz w:val="22"/>
          <w:szCs w:val="22"/>
        </w:rPr>
        <w:t>Mainstem</w:t>
      </w:r>
      <w:proofErr w:type="spellEnd"/>
      <w:r w:rsidRPr="003917BD">
        <w:rPr>
          <w:sz w:val="22"/>
          <w:szCs w:val="22"/>
        </w:rPr>
        <w:t xml:space="preserve">, Caloosahatchee, Everglades West Coast, St. Lucie, and Wakulla/Lake Munson. </w:t>
      </w:r>
      <w:r>
        <w:rPr>
          <w:sz w:val="22"/>
          <w:szCs w:val="22"/>
        </w:rPr>
        <w:t xml:space="preserve"> </w:t>
      </w:r>
      <w:r w:rsidRPr="003917BD">
        <w:rPr>
          <w:b/>
          <w:bCs/>
          <w:sz w:val="22"/>
          <w:szCs w:val="22"/>
        </w:rPr>
        <w:t>Table 11.1</w:t>
      </w:r>
      <w:r w:rsidRPr="003917BD">
        <w:rPr>
          <w:sz w:val="22"/>
          <w:szCs w:val="22"/>
        </w:rPr>
        <w:t xml:space="preserve"> descri</w:t>
      </w:r>
      <w:r w:rsidR="00805B69">
        <w:rPr>
          <w:sz w:val="22"/>
          <w:szCs w:val="22"/>
        </w:rPr>
        <w:t>bes</w:t>
      </w:r>
      <w:r w:rsidRPr="003917BD">
        <w:rPr>
          <w:sz w:val="22"/>
          <w:szCs w:val="22"/>
        </w:rPr>
        <w:t xml:space="preserve"> the current status of these ongoing BMAP efforts.  In addition to these BMAPs, local governments and water management districts are concurrently carrying out restoration activities in many other waterbodies statewide.</w:t>
      </w:r>
    </w:p>
    <w:p w:rsidR="00485094" w:rsidRPr="003917BD"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BMAPs are Florida’s primary mechanism for implementing TMDLs adopted through </w:t>
      </w:r>
      <w:r w:rsidR="0011748B">
        <w:rPr>
          <w:sz w:val="22"/>
          <w:szCs w:val="22"/>
        </w:rPr>
        <w:t xml:space="preserve">Chapter </w:t>
      </w:r>
      <w:r w:rsidRPr="003917BD">
        <w:rPr>
          <w:sz w:val="22"/>
          <w:szCs w:val="22"/>
        </w:rPr>
        <w:t>403.067, F.S.</w:t>
      </w:r>
      <w:r>
        <w:rPr>
          <w:sz w:val="22"/>
          <w:szCs w:val="22"/>
        </w:rPr>
        <w:t xml:space="preserve"> </w:t>
      </w:r>
      <w:r w:rsidRPr="003917BD">
        <w:rPr>
          <w:sz w:val="22"/>
          <w:szCs w:val="22"/>
        </w:rPr>
        <w:t xml:space="preserve"> </w:t>
      </w:r>
      <w:r>
        <w:rPr>
          <w:sz w:val="22"/>
          <w:szCs w:val="22"/>
        </w:rPr>
        <w:t>They</w:t>
      </w:r>
      <w:r w:rsidRPr="003917BD">
        <w:rPr>
          <w:sz w:val="22"/>
          <w:szCs w:val="22"/>
        </w:rPr>
        <w:t xml:space="preserve"> are developed in collaboration with groups of stakeholders</w:t>
      </w:r>
      <w:r w:rsidR="0011748B">
        <w:rPr>
          <w:sz w:val="22"/>
          <w:szCs w:val="22"/>
        </w:rPr>
        <w:t>,</w:t>
      </w:r>
      <w:r w:rsidRPr="003917BD">
        <w:rPr>
          <w:sz w:val="22"/>
          <w:szCs w:val="22"/>
        </w:rPr>
        <w:t xml:space="preserve"> including other state agencies, water management districts, county and municipal governments</w:t>
      </w:r>
      <w:r w:rsidR="0011748B">
        <w:rPr>
          <w:sz w:val="22"/>
          <w:szCs w:val="22"/>
        </w:rPr>
        <w:t>,</w:t>
      </w:r>
      <w:r w:rsidRPr="003917BD">
        <w:rPr>
          <w:sz w:val="22"/>
          <w:szCs w:val="22"/>
        </w:rPr>
        <w:t xml:space="preserve"> and other local stakeholders.</w:t>
      </w:r>
      <w:r>
        <w:rPr>
          <w:sz w:val="22"/>
          <w:szCs w:val="22"/>
        </w:rPr>
        <w:t xml:space="preserve"> </w:t>
      </w:r>
      <w:r w:rsidRPr="003917BD">
        <w:rPr>
          <w:sz w:val="22"/>
          <w:szCs w:val="22"/>
        </w:rPr>
        <w:t xml:space="preserve"> BMAPs are then adopted by </w:t>
      </w:r>
      <w:r>
        <w:rPr>
          <w:sz w:val="22"/>
          <w:szCs w:val="22"/>
        </w:rPr>
        <w:t>F</w:t>
      </w:r>
      <w:r w:rsidRPr="003917BD">
        <w:rPr>
          <w:sz w:val="22"/>
          <w:szCs w:val="22"/>
        </w:rPr>
        <w:t>DEP Secretarial Order.</w:t>
      </w:r>
      <w:r>
        <w:rPr>
          <w:sz w:val="22"/>
          <w:szCs w:val="22"/>
        </w:rPr>
        <w:t xml:space="preserve"> </w:t>
      </w:r>
      <w:r w:rsidRPr="003917BD">
        <w:rPr>
          <w:sz w:val="22"/>
          <w:szCs w:val="22"/>
        </w:rPr>
        <w:t xml:space="preserve"> </w:t>
      </w:r>
      <w:r>
        <w:rPr>
          <w:sz w:val="22"/>
          <w:szCs w:val="22"/>
        </w:rPr>
        <w:t xml:space="preserve">The </w:t>
      </w:r>
      <w:r w:rsidRPr="003917BD">
        <w:rPr>
          <w:sz w:val="22"/>
          <w:szCs w:val="22"/>
        </w:rPr>
        <w:t xml:space="preserve">goals </w:t>
      </w:r>
      <w:r>
        <w:rPr>
          <w:sz w:val="22"/>
          <w:szCs w:val="22"/>
        </w:rPr>
        <w:t xml:space="preserve">of the BMAP </w:t>
      </w:r>
      <w:r w:rsidRPr="003917BD">
        <w:rPr>
          <w:sz w:val="22"/>
          <w:szCs w:val="22"/>
        </w:rPr>
        <w:t xml:space="preserve">are to reach consensus on the scientific foundation of the TMDL, determine detailed allocations as appropriate, and </w:t>
      </w:r>
      <w:r w:rsidR="0011748B">
        <w:rPr>
          <w:sz w:val="22"/>
          <w:szCs w:val="22"/>
        </w:rPr>
        <w:t xml:space="preserve">reach </w:t>
      </w:r>
      <w:r w:rsidRPr="003917BD">
        <w:rPr>
          <w:sz w:val="22"/>
          <w:szCs w:val="22"/>
        </w:rPr>
        <w:t xml:space="preserve">agreement on how </w:t>
      </w:r>
      <w:r w:rsidR="0011748B">
        <w:rPr>
          <w:sz w:val="22"/>
          <w:szCs w:val="22"/>
        </w:rPr>
        <w:t xml:space="preserve">the </w:t>
      </w:r>
      <w:r w:rsidRPr="003917BD">
        <w:rPr>
          <w:sz w:val="22"/>
          <w:szCs w:val="22"/>
        </w:rPr>
        <w:t>required load reductions will be accomplished.</w:t>
      </w:r>
      <w:r>
        <w:rPr>
          <w:sz w:val="22"/>
          <w:szCs w:val="22"/>
        </w:rPr>
        <w:t xml:space="preserve"> </w:t>
      </w:r>
      <w:r w:rsidRPr="003917BD">
        <w:rPr>
          <w:sz w:val="22"/>
          <w:szCs w:val="22"/>
        </w:rPr>
        <w:t xml:space="preserve"> A BMAP include</w:t>
      </w:r>
      <w:r w:rsidR="0011748B">
        <w:rPr>
          <w:sz w:val="22"/>
          <w:szCs w:val="22"/>
        </w:rPr>
        <w:t>s</w:t>
      </w:r>
      <w:r w:rsidRPr="003917BD">
        <w:rPr>
          <w:sz w:val="22"/>
          <w:szCs w:val="22"/>
        </w:rPr>
        <w:t xml:space="preserve"> defined water quality restoration goals, refined source identification, detailed allocations by entity where appropriate, load reduction projects, a monitoring plan, and local commitments.</w:t>
      </w:r>
      <w:r>
        <w:rPr>
          <w:sz w:val="22"/>
          <w:szCs w:val="22"/>
        </w:rPr>
        <w:t xml:space="preserve"> </w:t>
      </w:r>
      <w:r w:rsidRPr="003917BD">
        <w:rPr>
          <w:sz w:val="22"/>
          <w:szCs w:val="22"/>
        </w:rPr>
        <w:t xml:space="preserve"> Implementation projects may include structural and </w:t>
      </w:r>
      <w:r>
        <w:rPr>
          <w:sz w:val="22"/>
          <w:szCs w:val="22"/>
        </w:rPr>
        <w:t>nonstructural BMPs, education and</w:t>
      </w:r>
      <w:r w:rsidRPr="003917BD">
        <w:rPr>
          <w:sz w:val="22"/>
          <w:szCs w:val="22"/>
        </w:rPr>
        <w:t xml:space="preserve"> outreach activities, additional research </w:t>
      </w:r>
      <w:r>
        <w:rPr>
          <w:sz w:val="22"/>
          <w:szCs w:val="22"/>
        </w:rPr>
        <w:t>and</w:t>
      </w:r>
      <w:r w:rsidRPr="003917BD">
        <w:rPr>
          <w:sz w:val="22"/>
          <w:szCs w:val="22"/>
        </w:rPr>
        <w:t xml:space="preserve"> studies, changes to programs and permits, and changes to local ordinances </w:t>
      </w:r>
      <w:r>
        <w:rPr>
          <w:sz w:val="22"/>
          <w:szCs w:val="22"/>
        </w:rPr>
        <w:t>and</w:t>
      </w:r>
      <w:r w:rsidRPr="003917BD">
        <w:rPr>
          <w:sz w:val="22"/>
          <w:szCs w:val="22"/>
        </w:rPr>
        <w:t xml:space="preserve"> policies.</w:t>
      </w:r>
    </w:p>
    <w:p w:rsidR="00485094" w:rsidRPr="003917BD" w:rsidRDefault="00485094" w:rsidP="003917BD">
      <w:pPr>
        <w:pStyle w:val="Bodytextreduced"/>
        <w:rPr>
          <w:sz w:val="22"/>
          <w:szCs w:val="22"/>
        </w:rPr>
      </w:pPr>
    </w:p>
    <w:p w:rsidR="00485094" w:rsidRDefault="00485094" w:rsidP="003917BD">
      <w:pPr>
        <w:pStyle w:val="Bodytextreduced"/>
        <w:rPr>
          <w:sz w:val="22"/>
          <w:szCs w:val="22"/>
        </w:rPr>
      </w:pPr>
      <w:r w:rsidRPr="003917BD">
        <w:rPr>
          <w:sz w:val="22"/>
          <w:szCs w:val="22"/>
        </w:rPr>
        <w:t xml:space="preserve">The Lower St. Johns River </w:t>
      </w:r>
      <w:proofErr w:type="spellStart"/>
      <w:r w:rsidRPr="003917BD">
        <w:rPr>
          <w:sz w:val="22"/>
          <w:szCs w:val="22"/>
        </w:rPr>
        <w:t>Mainstem</w:t>
      </w:r>
      <w:proofErr w:type="spellEnd"/>
      <w:r w:rsidRPr="003917BD">
        <w:rPr>
          <w:sz w:val="22"/>
          <w:szCs w:val="22"/>
        </w:rPr>
        <w:t xml:space="preserve"> BMAP provides an excellent example of both the extent of the efforts required to address TMDL requirements </w:t>
      </w:r>
      <w:r>
        <w:rPr>
          <w:sz w:val="22"/>
          <w:szCs w:val="22"/>
        </w:rPr>
        <w:t>and</w:t>
      </w:r>
      <w:r w:rsidRPr="003917BD">
        <w:rPr>
          <w:sz w:val="22"/>
          <w:szCs w:val="22"/>
        </w:rPr>
        <w:t xml:space="preserve"> mov</w:t>
      </w:r>
      <w:r>
        <w:rPr>
          <w:sz w:val="22"/>
          <w:szCs w:val="22"/>
        </w:rPr>
        <w:t>e</w:t>
      </w:r>
      <w:r w:rsidRPr="003917BD">
        <w:rPr>
          <w:sz w:val="22"/>
          <w:szCs w:val="22"/>
        </w:rPr>
        <w:t xml:space="preserve"> forward </w:t>
      </w:r>
      <w:r w:rsidR="00E22C45">
        <w:rPr>
          <w:sz w:val="22"/>
          <w:szCs w:val="22"/>
        </w:rPr>
        <w:t xml:space="preserve">in </w:t>
      </w:r>
      <w:r w:rsidRPr="003917BD">
        <w:rPr>
          <w:sz w:val="22"/>
          <w:szCs w:val="22"/>
        </w:rPr>
        <w:t>carry</w:t>
      </w:r>
      <w:r>
        <w:rPr>
          <w:sz w:val="22"/>
          <w:szCs w:val="22"/>
        </w:rPr>
        <w:t>ing</w:t>
      </w:r>
      <w:r w:rsidRPr="003917BD">
        <w:rPr>
          <w:sz w:val="22"/>
          <w:szCs w:val="22"/>
        </w:rPr>
        <w:t xml:space="preserve"> the</w:t>
      </w:r>
      <w:r>
        <w:rPr>
          <w:sz w:val="22"/>
          <w:szCs w:val="22"/>
        </w:rPr>
        <w:t>m out</w:t>
      </w:r>
      <w:r w:rsidRPr="003917BD">
        <w:rPr>
          <w:sz w:val="22"/>
          <w:szCs w:val="22"/>
        </w:rPr>
        <w:t xml:space="preserve">. </w:t>
      </w:r>
      <w:r>
        <w:rPr>
          <w:sz w:val="22"/>
          <w:szCs w:val="22"/>
        </w:rPr>
        <w:t xml:space="preserve"> </w:t>
      </w:r>
      <w:r w:rsidRPr="003917BD">
        <w:rPr>
          <w:sz w:val="22"/>
          <w:szCs w:val="22"/>
        </w:rPr>
        <w:t xml:space="preserve">The TMDL required a reduction of 1,076,403 </w:t>
      </w:r>
      <w:r w:rsidR="00E22C45">
        <w:rPr>
          <w:sz w:val="22"/>
          <w:szCs w:val="22"/>
        </w:rPr>
        <w:t>kilograms per year (</w:t>
      </w:r>
      <w:r w:rsidRPr="003917BD">
        <w:rPr>
          <w:sz w:val="22"/>
          <w:szCs w:val="22"/>
        </w:rPr>
        <w:t>kg/yr</w:t>
      </w:r>
      <w:r w:rsidR="00E22C45">
        <w:rPr>
          <w:sz w:val="22"/>
          <w:szCs w:val="22"/>
        </w:rPr>
        <w:t>)</w:t>
      </w:r>
      <w:r w:rsidRPr="003917BD">
        <w:rPr>
          <w:sz w:val="22"/>
          <w:szCs w:val="22"/>
        </w:rPr>
        <w:t xml:space="preserve"> TN in the marine portion of the river. </w:t>
      </w:r>
      <w:r>
        <w:rPr>
          <w:sz w:val="22"/>
          <w:szCs w:val="22"/>
        </w:rPr>
        <w:t xml:space="preserve"> </w:t>
      </w:r>
      <w:r w:rsidRPr="003917BD">
        <w:rPr>
          <w:sz w:val="22"/>
          <w:szCs w:val="22"/>
        </w:rPr>
        <w:t>Through 2009</w:t>
      </w:r>
      <w:r w:rsidR="00E22C45">
        <w:rPr>
          <w:sz w:val="22"/>
          <w:szCs w:val="22"/>
        </w:rPr>
        <w:t>,</w:t>
      </w:r>
      <w:r w:rsidRPr="003917BD">
        <w:rPr>
          <w:sz w:val="22"/>
          <w:szCs w:val="22"/>
        </w:rPr>
        <w:t xml:space="preserve"> </w:t>
      </w:r>
      <w:r w:rsidR="00E22C45">
        <w:rPr>
          <w:sz w:val="22"/>
          <w:szCs w:val="22"/>
        </w:rPr>
        <w:t xml:space="preserve">the </w:t>
      </w:r>
      <w:r w:rsidRPr="003917BD">
        <w:rPr>
          <w:sz w:val="22"/>
          <w:szCs w:val="22"/>
        </w:rPr>
        <w:t>responsible entities have achieved reductions of 543,525 kg/yr.</w:t>
      </w:r>
      <w:r>
        <w:rPr>
          <w:sz w:val="22"/>
          <w:szCs w:val="22"/>
        </w:rPr>
        <w:t xml:space="preserve"> </w:t>
      </w:r>
      <w:r w:rsidRPr="003917BD">
        <w:rPr>
          <w:sz w:val="22"/>
          <w:szCs w:val="22"/>
        </w:rPr>
        <w:t xml:space="preserve"> In the freshwater section, the TMDL required reductions of 1,543,989 kg/yr </w:t>
      </w:r>
      <w:r w:rsidR="00E22C45">
        <w:rPr>
          <w:sz w:val="22"/>
          <w:szCs w:val="22"/>
        </w:rPr>
        <w:t xml:space="preserve">of </w:t>
      </w:r>
      <w:r w:rsidRPr="003917BD">
        <w:rPr>
          <w:sz w:val="22"/>
          <w:szCs w:val="22"/>
        </w:rPr>
        <w:t xml:space="preserve">TN and 99.285 kg/yr </w:t>
      </w:r>
      <w:r w:rsidR="00E22C45">
        <w:rPr>
          <w:sz w:val="22"/>
          <w:szCs w:val="22"/>
        </w:rPr>
        <w:t xml:space="preserve">of </w:t>
      </w:r>
      <w:r w:rsidRPr="003917BD">
        <w:rPr>
          <w:sz w:val="22"/>
          <w:szCs w:val="22"/>
        </w:rPr>
        <w:t xml:space="preserve">TP. </w:t>
      </w:r>
      <w:r>
        <w:rPr>
          <w:sz w:val="22"/>
          <w:szCs w:val="22"/>
        </w:rPr>
        <w:t xml:space="preserve"> </w:t>
      </w:r>
      <w:r w:rsidRPr="003917BD">
        <w:rPr>
          <w:sz w:val="22"/>
          <w:szCs w:val="22"/>
        </w:rPr>
        <w:t xml:space="preserve">Through 2009, the entities have achieved reductions of 134,289 kg/yr </w:t>
      </w:r>
      <w:r w:rsidR="00E22C45">
        <w:rPr>
          <w:sz w:val="22"/>
          <w:szCs w:val="22"/>
        </w:rPr>
        <w:t xml:space="preserve">of </w:t>
      </w:r>
      <w:r w:rsidRPr="003917BD">
        <w:rPr>
          <w:sz w:val="22"/>
          <w:szCs w:val="22"/>
        </w:rPr>
        <w:t xml:space="preserve">TN and 37,403 kg/yr </w:t>
      </w:r>
      <w:r w:rsidR="00E22C45">
        <w:rPr>
          <w:sz w:val="22"/>
          <w:szCs w:val="22"/>
        </w:rPr>
        <w:t xml:space="preserve">of </w:t>
      </w:r>
      <w:r w:rsidRPr="003917BD">
        <w:rPr>
          <w:sz w:val="22"/>
          <w:szCs w:val="22"/>
        </w:rPr>
        <w:t>TP.</w:t>
      </w:r>
    </w:p>
    <w:p w:rsidR="00485094" w:rsidRPr="003917BD" w:rsidRDefault="00485094" w:rsidP="003917BD">
      <w:pPr>
        <w:pStyle w:val="Bodytextreduced"/>
        <w:rPr>
          <w:sz w:val="22"/>
          <w:szCs w:val="22"/>
        </w:rPr>
      </w:pPr>
    </w:p>
    <w:p w:rsidR="00485094" w:rsidRDefault="00485094" w:rsidP="003917BD">
      <w:pPr>
        <w:pStyle w:val="Bodytextreduced"/>
        <w:rPr>
          <w:sz w:val="22"/>
          <w:szCs w:val="22"/>
        </w:rPr>
      </w:pPr>
      <w:r w:rsidRPr="003917BD">
        <w:rPr>
          <w:sz w:val="22"/>
          <w:szCs w:val="22"/>
        </w:rPr>
        <w:lastRenderedPageBreak/>
        <w:t xml:space="preserve">During 2009, three </w:t>
      </w:r>
      <w:r w:rsidR="00E22C45">
        <w:rPr>
          <w:sz w:val="22"/>
          <w:szCs w:val="22"/>
        </w:rPr>
        <w:t xml:space="preserve">wastewater treatment facility </w:t>
      </w:r>
      <w:r>
        <w:rPr>
          <w:sz w:val="22"/>
          <w:szCs w:val="22"/>
        </w:rPr>
        <w:t>(</w:t>
      </w:r>
      <w:r w:rsidRPr="003917BD">
        <w:rPr>
          <w:sz w:val="22"/>
          <w:szCs w:val="22"/>
        </w:rPr>
        <w:t>WWTF</w:t>
      </w:r>
      <w:r>
        <w:rPr>
          <w:sz w:val="22"/>
          <w:szCs w:val="22"/>
        </w:rPr>
        <w:t>)</w:t>
      </w:r>
      <w:r w:rsidRPr="003917BD">
        <w:rPr>
          <w:sz w:val="22"/>
          <w:szCs w:val="22"/>
        </w:rPr>
        <w:t xml:space="preserve"> projects in the freshwater section were completed</w:t>
      </w:r>
      <w:r w:rsidR="00E22C45">
        <w:rPr>
          <w:sz w:val="22"/>
          <w:szCs w:val="22"/>
        </w:rPr>
        <w:t>,</w:t>
      </w:r>
      <w:r w:rsidRPr="003917BD">
        <w:rPr>
          <w:sz w:val="22"/>
          <w:szCs w:val="22"/>
        </w:rPr>
        <w:t xml:space="preserve"> with a total reduction of </w:t>
      </w:r>
      <w:r w:rsidRPr="00E9612C">
        <w:rPr>
          <w:sz w:val="22"/>
          <w:szCs w:val="22"/>
        </w:rPr>
        <w:t xml:space="preserve">26,045 kg/yr of TN </w:t>
      </w:r>
      <w:r>
        <w:rPr>
          <w:sz w:val="22"/>
          <w:szCs w:val="22"/>
        </w:rPr>
        <w:t xml:space="preserve">and </w:t>
      </w:r>
      <w:r w:rsidRPr="003917BD">
        <w:rPr>
          <w:sz w:val="22"/>
          <w:szCs w:val="22"/>
        </w:rPr>
        <w:t xml:space="preserve">3,451 kg/yr of TP. </w:t>
      </w:r>
      <w:r>
        <w:rPr>
          <w:sz w:val="22"/>
          <w:szCs w:val="22"/>
        </w:rPr>
        <w:t xml:space="preserve"> </w:t>
      </w:r>
      <w:r w:rsidRPr="003917BD">
        <w:rPr>
          <w:sz w:val="22"/>
          <w:szCs w:val="22"/>
        </w:rPr>
        <w:t xml:space="preserve">While no WWTF projects were completed in the marine section this past year, FDEP issued the majority of the </w:t>
      </w:r>
      <w:r>
        <w:rPr>
          <w:sz w:val="22"/>
          <w:szCs w:val="22"/>
        </w:rPr>
        <w:t xml:space="preserve">aggregate and </w:t>
      </w:r>
      <w:r w:rsidRPr="003917BD">
        <w:rPr>
          <w:sz w:val="22"/>
          <w:szCs w:val="22"/>
        </w:rPr>
        <w:t xml:space="preserve">individual facility permits </w:t>
      </w:r>
      <w:r>
        <w:rPr>
          <w:sz w:val="22"/>
          <w:szCs w:val="22"/>
        </w:rPr>
        <w:t>to initiate the reductions needed from wastewater point sources discharging to the marine portion of the river</w:t>
      </w:r>
      <w:r w:rsidRPr="003917BD">
        <w:rPr>
          <w:sz w:val="22"/>
          <w:szCs w:val="22"/>
        </w:rPr>
        <w:t xml:space="preserve">. </w:t>
      </w:r>
      <w:r>
        <w:rPr>
          <w:sz w:val="22"/>
          <w:szCs w:val="22"/>
        </w:rPr>
        <w:t xml:space="preserve"> </w:t>
      </w:r>
      <w:r w:rsidRPr="003917BD">
        <w:rPr>
          <w:sz w:val="22"/>
          <w:szCs w:val="22"/>
        </w:rPr>
        <w:t xml:space="preserve">During 2009, </w:t>
      </w:r>
      <w:r w:rsidR="00E22C45">
        <w:rPr>
          <w:sz w:val="22"/>
          <w:szCs w:val="22"/>
        </w:rPr>
        <w:t>3</w:t>
      </w:r>
      <w:r w:rsidR="00E22C45" w:rsidRPr="003917BD">
        <w:rPr>
          <w:sz w:val="22"/>
          <w:szCs w:val="22"/>
        </w:rPr>
        <w:t xml:space="preserve"> </w:t>
      </w:r>
      <w:r w:rsidRPr="003917BD">
        <w:rPr>
          <w:sz w:val="22"/>
          <w:szCs w:val="22"/>
        </w:rPr>
        <w:t>MS4 projects were completed in the freshwater section</w:t>
      </w:r>
      <w:r w:rsidR="00E22C45">
        <w:rPr>
          <w:sz w:val="22"/>
          <w:szCs w:val="22"/>
        </w:rPr>
        <w:t>,</w:t>
      </w:r>
      <w:r w:rsidRPr="003917BD">
        <w:rPr>
          <w:sz w:val="22"/>
          <w:szCs w:val="22"/>
        </w:rPr>
        <w:t xml:space="preserve"> for a total reduction of 111.5 kg/yr of TN</w:t>
      </w:r>
      <w:r>
        <w:rPr>
          <w:sz w:val="22"/>
          <w:szCs w:val="22"/>
        </w:rPr>
        <w:t xml:space="preserve"> and 189.6 kg/yr of TP</w:t>
      </w:r>
      <w:r w:rsidRPr="003917BD">
        <w:rPr>
          <w:sz w:val="22"/>
          <w:szCs w:val="22"/>
        </w:rPr>
        <w:t>.</w:t>
      </w:r>
      <w:r>
        <w:rPr>
          <w:sz w:val="22"/>
          <w:szCs w:val="22"/>
        </w:rPr>
        <w:t xml:space="preserve"> </w:t>
      </w:r>
      <w:r w:rsidRPr="003917BD">
        <w:rPr>
          <w:sz w:val="22"/>
          <w:szCs w:val="22"/>
        </w:rPr>
        <w:t xml:space="preserve"> The reductions in TP that were accomplished this year</w:t>
      </w:r>
      <w:r>
        <w:rPr>
          <w:sz w:val="22"/>
          <w:szCs w:val="22"/>
        </w:rPr>
        <w:t>,</w:t>
      </w:r>
      <w:r w:rsidRPr="003917BD">
        <w:rPr>
          <w:sz w:val="22"/>
          <w:szCs w:val="22"/>
        </w:rPr>
        <w:t xml:space="preserve"> in combination with the completed projects in the BMAP</w:t>
      </w:r>
      <w:r>
        <w:rPr>
          <w:sz w:val="22"/>
          <w:szCs w:val="22"/>
        </w:rPr>
        <w:t>,</w:t>
      </w:r>
      <w:r w:rsidRPr="003917BD">
        <w:rPr>
          <w:sz w:val="22"/>
          <w:szCs w:val="22"/>
        </w:rPr>
        <w:t xml:space="preserve"> have achieved the TP reductions required for the MS4s in the freshwater section. </w:t>
      </w:r>
      <w:r>
        <w:rPr>
          <w:sz w:val="22"/>
          <w:szCs w:val="22"/>
        </w:rPr>
        <w:t xml:space="preserve"> </w:t>
      </w:r>
      <w:r w:rsidRPr="003917BD">
        <w:rPr>
          <w:sz w:val="22"/>
          <w:szCs w:val="22"/>
        </w:rPr>
        <w:t xml:space="preserve">An additional </w:t>
      </w:r>
      <w:r w:rsidR="00E22C45">
        <w:rPr>
          <w:sz w:val="22"/>
          <w:szCs w:val="22"/>
        </w:rPr>
        <w:t>10</w:t>
      </w:r>
      <w:r w:rsidR="00E22C45" w:rsidRPr="003917BD">
        <w:rPr>
          <w:sz w:val="22"/>
          <w:szCs w:val="22"/>
        </w:rPr>
        <w:t xml:space="preserve"> </w:t>
      </w:r>
      <w:r w:rsidRPr="003917BD">
        <w:rPr>
          <w:sz w:val="22"/>
          <w:szCs w:val="22"/>
        </w:rPr>
        <w:t>MS4 projects were completed in the marine section</w:t>
      </w:r>
      <w:r w:rsidR="00E22C45">
        <w:rPr>
          <w:sz w:val="22"/>
          <w:szCs w:val="22"/>
        </w:rPr>
        <w:t>,</w:t>
      </w:r>
      <w:r w:rsidRPr="003917BD">
        <w:rPr>
          <w:sz w:val="22"/>
          <w:szCs w:val="22"/>
        </w:rPr>
        <w:t xml:space="preserve"> for a reduction of 3,685 kg/yr of TN.</w:t>
      </w:r>
      <w:r>
        <w:rPr>
          <w:sz w:val="22"/>
          <w:szCs w:val="22"/>
        </w:rPr>
        <w:t xml:space="preserve"> </w:t>
      </w:r>
      <w:r w:rsidRPr="003917BD">
        <w:rPr>
          <w:sz w:val="22"/>
          <w:szCs w:val="22"/>
        </w:rPr>
        <w:t xml:space="preserve"> </w:t>
      </w:r>
    </w:p>
    <w:p w:rsidR="00485094" w:rsidRDefault="00485094" w:rsidP="003917BD">
      <w:pPr>
        <w:pStyle w:val="Bodytextreduced"/>
        <w:rPr>
          <w:sz w:val="22"/>
          <w:szCs w:val="22"/>
        </w:rPr>
      </w:pPr>
    </w:p>
    <w:p w:rsidR="00485094" w:rsidRDefault="00485094" w:rsidP="003917BD">
      <w:pPr>
        <w:pStyle w:val="Bodytextreduced"/>
        <w:rPr>
          <w:sz w:val="22"/>
          <w:szCs w:val="22"/>
        </w:rPr>
      </w:pPr>
      <w:r>
        <w:rPr>
          <w:sz w:val="22"/>
          <w:szCs w:val="22"/>
        </w:rPr>
        <w:t xml:space="preserve">Progress was also made towards addressing nutrient loads from nonpoint sources.  </w:t>
      </w:r>
      <w:r w:rsidRPr="003917BD">
        <w:rPr>
          <w:sz w:val="22"/>
          <w:szCs w:val="22"/>
        </w:rPr>
        <w:t xml:space="preserve">In the freshwater section, </w:t>
      </w:r>
      <w:r w:rsidR="00E22C45">
        <w:rPr>
          <w:sz w:val="22"/>
          <w:szCs w:val="22"/>
        </w:rPr>
        <w:t>6</w:t>
      </w:r>
      <w:r w:rsidR="00E22C45" w:rsidRPr="003917BD">
        <w:rPr>
          <w:sz w:val="22"/>
          <w:szCs w:val="22"/>
        </w:rPr>
        <w:t xml:space="preserve"> </w:t>
      </w:r>
      <w:r w:rsidRPr="003917BD">
        <w:rPr>
          <w:sz w:val="22"/>
          <w:szCs w:val="22"/>
        </w:rPr>
        <w:t xml:space="preserve">non-MS4 projects were completed this year, yielding 1,763 kg/yr of TN </w:t>
      </w:r>
      <w:r>
        <w:rPr>
          <w:sz w:val="22"/>
          <w:szCs w:val="22"/>
        </w:rPr>
        <w:t xml:space="preserve">and </w:t>
      </w:r>
      <w:r w:rsidRPr="00E9612C">
        <w:rPr>
          <w:sz w:val="22"/>
          <w:szCs w:val="22"/>
        </w:rPr>
        <w:t xml:space="preserve">769.2 kg/yr of TP </w:t>
      </w:r>
      <w:r w:rsidRPr="003917BD">
        <w:rPr>
          <w:sz w:val="22"/>
          <w:szCs w:val="22"/>
        </w:rPr>
        <w:t>reductions.</w:t>
      </w:r>
      <w:r>
        <w:rPr>
          <w:sz w:val="22"/>
          <w:szCs w:val="22"/>
        </w:rPr>
        <w:t xml:space="preserve">  </w:t>
      </w:r>
      <w:r w:rsidRPr="003917BD">
        <w:rPr>
          <w:sz w:val="22"/>
          <w:szCs w:val="22"/>
        </w:rPr>
        <w:t xml:space="preserve">There were also </w:t>
      </w:r>
      <w:r w:rsidR="00E22C45">
        <w:rPr>
          <w:sz w:val="22"/>
          <w:szCs w:val="22"/>
        </w:rPr>
        <w:t>3</w:t>
      </w:r>
      <w:r w:rsidR="00E22C45" w:rsidRPr="003917BD">
        <w:rPr>
          <w:sz w:val="22"/>
          <w:szCs w:val="22"/>
        </w:rPr>
        <w:t xml:space="preserve"> </w:t>
      </w:r>
      <w:r w:rsidRPr="003917BD">
        <w:rPr>
          <w:sz w:val="22"/>
          <w:szCs w:val="22"/>
        </w:rPr>
        <w:t>non-MS4 projects completed in the marine section</w:t>
      </w:r>
      <w:r w:rsidR="00EE4CFE">
        <w:rPr>
          <w:sz w:val="22"/>
          <w:szCs w:val="22"/>
        </w:rPr>
        <w:t>,</w:t>
      </w:r>
      <w:r w:rsidRPr="003917BD">
        <w:rPr>
          <w:sz w:val="22"/>
          <w:szCs w:val="22"/>
        </w:rPr>
        <w:t xml:space="preserve"> for 993 kg/yr of TN reduction.</w:t>
      </w:r>
      <w:r>
        <w:rPr>
          <w:sz w:val="22"/>
          <w:szCs w:val="22"/>
        </w:rPr>
        <w:t xml:space="preserve"> </w:t>
      </w:r>
      <w:r w:rsidRPr="003917BD">
        <w:rPr>
          <w:sz w:val="22"/>
          <w:szCs w:val="22"/>
        </w:rPr>
        <w:t xml:space="preserve"> FDACS continued to sign up growers under the vegetable and agronomic crop BMP manual. </w:t>
      </w:r>
      <w:r>
        <w:rPr>
          <w:sz w:val="22"/>
          <w:szCs w:val="22"/>
        </w:rPr>
        <w:t xml:space="preserve"> </w:t>
      </w:r>
      <w:r w:rsidRPr="003917BD">
        <w:rPr>
          <w:sz w:val="22"/>
          <w:szCs w:val="22"/>
        </w:rPr>
        <w:t>The sod and cow/calf manuals were adopted this year</w:t>
      </w:r>
      <w:r w:rsidR="00E22C45">
        <w:rPr>
          <w:sz w:val="22"/>
          <w:szCs w:val="22"/>
        </w:rPr>
        <w:t>,</w:t>
      </w:r>
      <w:r w:rsidRPr="003917BD">
        <w:rPr>
          <w:sz w:val="22"/>
          <w:szCs w:val="22"/>
        </w:rPr>
        <w:t xml:space="preserve"> and FDACS held workshops to inform producers about the manuals and to begin the enrollment process. </w:t>
      </w:r>
      <w:r>
        <w:rPr>
          <w:sz w:val="22"/>
          <w:szCs w:val="22"/>
        </w:rPr>
        <w:t xml:space="preserve"> </w:t>
      </w:r>
      <w:r w:rsidRPr="003917BD">
        <w:rPr>
          <w:sz w:val="22"/>
          <w:szCs w:val="22"/>
        </w:rPr>
        <w:t>To date, no producers have opted to monitor water quality instead of implementing BMPs.</w:t>
      </w:r>
      <w:r>
        <w:rPr>
          <w:sz w:val="22"/>
          <w:szCs w:val="22"/>
        </w:rPr>
        <w:t xml:space="preserve"> </w:t>
      </w:r>
      <w:r w:rsidRPr="003917BD">
        <w:rPr>
          <w:sz w:val="22"/>
          <w:szCs w:val="22"/>
        </w:rPr>
        <w:t xml:space="preserve"> In addition, </w:t>
      </w:r>
      <w:r w:rsidR="00E22C45">
        <w:rPr>
          <w:sz w:val="22"/>
          <w:szCs w:val="22"/>
        </w:rPr>
        <w:t>the St. Johns River Water Management District</w:t>
      </w:r>
      <w:r w:rsidRPr="003917BD">
        <w:rPr>
          <w:sz w:val="22"/>
          <w:szCs w:val="22"/>
        </w:rPr>
        <w:t xml:space="preserve"> is currently assessing the most </w:t>
      </w:r>
      <w:r w:rsidR="00E22C45" w:rsidRPr="003917BD">
        <w:rPr>
          <w:sz w:val="22"/>
          <w:szCs w:val="22"/>
        </w:rPr>
        <w:t>cost</w:t>
      </w:r>
      <w:r w:rsidR="00E22C45">
        <w:rPr>
          <w:sz w:val="22"/>
          <w:szCs w:val="22"/>
        </w:rPr>
        <w:t>-</w:t>
      </w:r>
      <w:r w:rsidRPr="003917BD">
        <w:rPr>
          <w:sz w:val="22"/>
          <w:szCs w:val="22"/>
        </w:rPr>
        <w:t xml:space="preserve">effective means of meeting the remainder of the agricultural allocation through improved BMPs, land buffers, and regional treatment. </w:t>
      </w:r>
      <w:r>
        <w:rPr>
          <w:sz w:val="22"/>
          <w:szCs w:val="22"/>
        </w:rPr>
        <w:t xml:space="preserve"> </w:t>
      </w:r>
    </w:p>
    <w:p w:rsidR="00485094"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BMAP monitoring plan efforts have started in the freshwater section, marine section, and tributaries. </w:t>
      </w:r>
      <w:r>
        <w:rPr>
          <w:sz w:val="22"/>
          <w:szCs w:val="22"/>
        </w:rPr>
        <w:t xml:space="preserve"> </w:t>
      </w:r>
      <w:r w:rsidRPr="003917BD">
        <w:rPr>
          <w:sz w:val="22"/>
          <w:szCs w:val="22"/>
        </w:rPr>
        <w:t xml:space="preserve">The river transect sampling in the freshwater section occurred on schedule </w:t>
      </w:r>
      <w:r w:rsidR="00EE4CFE">
        <w:rPr>
          <w:sz w:val="22"/>
          <w:szCs w:val="22"/>
        </w:rPr>
        <w:t>from</w:t>
      </w:r>
      <w:r w:rsidR="00EE4CFE" w:rsidRPr="003917BD">
        <w:rPr>
          <w:sz w:val="22"/>
          <w:szCs w:val="22"/>
        </w:rPr>
        <w:t xml:space="preserve"> </w:t>
      </w:r>
      <w:r w:rsidRPr="003917BD">
        <w:rPr>
          <w:sz w:val="22"/>
          <w:szCs w:val="22"/>
        </w:rPr>
        <w:t xml:space="preserve">April through October. </w:t>
      </w:r>
      <w:r>
        <w:rPr>
          <w:sz w:val="22"/>
          <w:szCs w:val="22"/>
        </w:rPr>
        <w:t xml:space="preserve"> </w:t>
      </w:r>
      <w:r w:rsidRPr="003917BD">
        <w:rPr>
          <w:sz w:val="22"/>
          <w:szCs w:val="22"/>
        </w:rPr>
        <w:t xml:space="preserve">The two new continuous DO </w:t>
      </w:r>
      <w:r>
        <w:rPr>
          <w:sz w:val="22"/>
          <w:szCs w:val="22"/>
        </w:rPr>
        <w:t xml:space="preserve">monitoring </w:t>
      </w:r>
      <w:r w:rsidRPr="003917BD">
        <w:rPr>
          <w:sz w:val="22"/>
          <w:szCs w:val="22"/>
        </w:rPr>
        <w:t xml:space="preserve">stations were added in the marine section. </w:t>
      </w:r>
      <w:r>
        <w:rPr>
          <w:sz w:val="22"/>
          <w:szCs w:val="22"/>
        </w:rPr>
        <w:t xml:space="preserve"> </w:t>
      </w:r>
      <w:r w:rsidRPr="003917BD">
        <w:rPr>
          <w:sz w:val="22"/>
          <w:szCs w:val="22"/>
        </w:rPr>
        <w:t xml:space="preserve">The entities have started the ambient water quality sampling in the tributaries, and </w:t>
      </w:r>
      <w:r w:rsidR="00EE4CFE">
        <w:rPr>
          <w:sz w:val="22"/>
          <w:szCs w:val="22"/>
        </w:rPr>
        <w:t xml:space="preserve">the </w:t>
      </w:r>
      <w:r>
        <w:rPr>
          <w:rFonts w:cs="Arial"/>
          <w:sz w:val="22"/>
          <w:szCs w:val="22"/>
        </w:rPr>
        <w:t>Clay County Utility Authority</w:t>
      </w:r>
      <w:r w:rsidRPr="00E9612C">
        <w:rPr>
          <w:sz w:val="22"/>
          <w:szCs w:val="22"/>
        </w:rPr>
        <w:t xml:space="preserve"> </w:t>
      </w:r>
      <w:r>
        <w:rPr>
          <w:sz w:val="22"/>
          <w:szCs w:val="22"/>
        </w:rPr>
        <w:t>(</w:t>
      </w:r>
      <w:r w:rsidRPr="003917BD">
        <w:rPr>
          <w:sz w:val="22"/>
          <w:szCs w:val="22"/>
        </w:rPr>
        <w:t>CCUA</w:t>
      </w:r>
      <w:r>
        <w:rPr>
          <w:sz w:val="22"/>
          <w:szCs w:val="22"/>
        </w:rPr>
        <w:t>)</w:t>
      </w:r>
      <w:r w:rsidRPr="003917BD">
        <w:rPr>
          <w:sz w:val="22"/>
          <w:szCs w:val="22"/>
        </w:rPr>
        <w:t xml:space="preserve"> has </w:t>
      </w:r>
      <w:r w:rsidR="00EE4CFE">
        <w:rPr>
          <w:sz w:val="22"/>
          <w:szCs w:val="22"/>
        </w:rPr>
        <w:t>initiated</w:t>
      </w:r>
      <w:r w:rsidR="00EE4CFE" w:rsidRPr="003917BD">
        <w:rPr>
          <w:sz w:val="22"/>
          <w:szCs w:val="22"/>
        </w:rPr>
        <w:t xml:space="preserve"> </w:t>
      </w:r>
      <w:r w:rsidRPr="003917BD">
        <w:rPr>
          <w:sz w:val="22"/>
          <w:szCs w:val="22"/>
        </w:rPr>
        <w:t>high-flow sampling.</w:t>
      </w:r>
      <w:r>
        <w:rPr>
          <w:sz w:val="22"/>
          <w:szCs w:val="22"/>
        </w:rPr>
        <w:t xml:space="preserve"> </w:t>
      </w:r>
      <w:r w:rsidRPr="003917BD">
        <w:rPr>
          <w:sz w:val="22"/>
          <w:szCs w:val="22"/>
        </w:rPr>
        <w:t xml:space="preserve"> FDEP and </w:t>
      </w:r>
      <w:r w:rsidR="00E22C45">
        <w:rPr>
          <w:sz w:val="22"/>
          <w:szCs w:val="22"/>
        </w:rPr>
        <w:t>the St. Johns River Water Management District</w:t>
      </w:r>
      <w:r w:rsidR="00EE4CFE">
        <w:rPr>
          <w:sz w:val="22"/>
          <w:szCs w:val="22"/>
        </w:rPr>
        <w:t xml:space="preserve"> </w:t>
      </w:r>
      <w:r w:rsidRPr="003917BD">
        <w:rPr>
          <w:sz w:val="22"/>
          <w:szCs w:val="22"/>
        </w:rPr>
        <w:t>also prepared a detailed monitoring plan to support the BMAP that describes the processes for collecting and submitting data.</w:t>
      </w:r>
    </w:p>
    <w:p w:rsidR="00485094" w:rsidRPr="003917BD" w:rsidRDefault="00485094" w:rsidP="003917BD">
      <w:pPr>
        <w:pStyle w:val="Bodytextreduced"/>
        <w:rPr>
          <w:sz w:val="22"/>
          <w:szCs w:val="22"/>
        </w:rPr>
      </w:pPr>
    </w:p>
    <w:p w:rsidR="00485094" w:rsidRPr="003917BD" w:rsidRDefault="00485094" w:rsidP="003917BD">
      <w:pPr>
        <w:pStyle w:val="Bodytextreduced"/>
        <w:rPr>
          <w:sz w:val="22"/>
          <w:szCs w:val="22"/>
        </w:rPr>
      </w:pPr>
      <w:r w:rsidRPr="003917BD">
        <w:rPr>
          <w:sz w:val="22"/>
          <w:szCs w:val="22"/>
        </w:rPr>
        <w:t xml:space="preserve">The </w:t>
      </w:r>
      <w:r>
        <w:rPr>
          <w:sz w:val="22"/>
          <w:szCs w:val="22"/>
        </w:rPr>
        <w:t>L</w:t>
      </w:r>
      <w:r w:rsidRPr="003917BD">
        <w:rPr>
          <w:sz w:val="22"/>
          <w:szCs w:val="22"/>
        </w:rPr>
        <w:t xml:space="preserve">ake </w:t>
      </w:r>
      <w:proofErr w:type="spellStart"/>
      <w:r w:rsidRPr="003917BD">
        <w:rPr>
          <w:sz w:val="22"/>
          <w:szCs w:val="22"/>
        </w:rPr>
        <w:t>Jesup</w:t>
      </w:r>
      <w:proofErr w:type="spellEnd"/>
      <w:r w:rsidRPr="003917BD">
        <w:rPr>
          <w:sz w:val="22"/>
          <w:szCs w:val="22"/>
        </w:rPr>
        <w:t xml:space="preserve"> BMAP, adopted in May 2010, includes commitments for projects to reduce TP by 10,167.5 </w:t>
      </w:r>
      <w:r w:rsidR="00E22C45">
        <w:rPr>
          <w:sz w:val="22"/>
          <w:szCs w:val="22"/>
        </w:rPr>
        <w:t>pounds per year (</w:t>
      </w:r>
      <w:r w:rsidRPr="003917BD">
        <w:rPr>
          <w:sz w:val="22"/>
          <w:szCs w:val="22"/>
        </w:rPr>
        <w:t>lbs/yr</w:t>
      </w:r>
      <w:r w:rsidR="00E22C45">
        <w:rPr>
          <w:sz w:val="22"/>
          <w:szCs w:val="22"/>
        </w:rPr>
        <w:t>)</w:t>
      </w:r>
      <w:r w:rsidRPr="003917BD">
        <w:rPr>
          <w:sz w:val="22"/>
          <w:szCs w:val="22"/>
        </w:rPr>
        <w:t xml:space="preserve"> over the next </w:t>
      </w:r>
      <w:r w:rsidR="00E22C45">
        <w:rPr>
          <w:sz w:val="22"/>
          <w:szCs w:val="22"/>
        </w:rPr>
        <w:t>5</w:t>
      </w:r>
      <w:r w:rsidR="00E22C45" w:rsidRPr="003917BD">
        <w:rPr>
          <w:sz w:val="22"/>
          <w:szCs w:val="22"/>
        </w:rPr>
        <w:t xml:space="preserve"> </w:t>
      </w:r>
      <w:r w:rsidRPr="003917BD">
        <w:rPr>
          <w:sz w:val="22"/>
          <w:szCs w:val="22"/>
        </w:rPr>
        <w:t xml:space="preserve">years (approximately 54% of the total reduction required by the TMDL, which will be fully met within 15 years). </w:t>
      </w:r>
      <w:r>
        <w:rPr>
          <w:sz w:val="22"/>
          <w:szCs w:val="22"/>
        </w:rPr>
        <w:t xml:space="preserve"> </w:t>
      </w:r>
      <w:r w:rsidRPr="003917BD">
        <w:rPr>
          <w:sz w:val="22"/>
          <w:szCs w:val="22"/>
        </w:rPr>
        <w:t xml:space="preserve">Many projects have already been completed demonstrating the commitment of local stakeholders to the restoration of their local waterbodies. </w:t>
      </w:r>
    </w:p>
    <w:p w:rsidR="00485094" w:rsidRPr="003917BD" w:rsidRDefault="00485094" w:rsidP="003917BD">
      <w:pPr>
        <w:pStyle w:val="Bodytextreduced"/>
        <w:rPr>
          <w:sz w:val="22"/>
          <w:szCs w:val="22"/>
        </w:rPr>
      </w:pPr>
    </w:p>
    <w:p w:rsidR="002A4505" w:rsidRDefault="00485094" w:rsidP="003917BD">
      <w:pPr>
        <w:pStyle w:val="Bodytextreduced"/>
        <w:rPr>
          <w:sz w:val="22"/>
          <w:szCs w:val="22"/>
        </w:rPr>
      </w:pPr>
      <w:r w:rsidRPr="003917BD">
        <w:rPr>
          <w:sz w:val="22"/>
          <w:szCs w:val="22"/>
        </w:rPr>
        <w:t xml:space="preserve">Information on </w:t>
      </w:r>
      <w:r w:rsidR="00E22C45">
        <w:rPr>
          <w:sz w:val="22"/>
          <w:szCs w:val="22"/>
        </w:rPr>
        <w:t>FDEP’s</w:t>
      </w:r>
      <w:r w:rsidRPr="003917BD">
        <w:rPr>
          <w:sz w:val="22"/>
          <w:szCs w:val="22"/>
        </w:rPr>
        <w:t xml:space="preserve"> BMAP activities can be found </w:t>
      </w:r>
      <w:r w:rsidR="00E22C45">
        <w:rPr>
          <w:sz w:val="22"/>
          <w:szCs w:val="22"/>
        </w:rPr>
        <w:t xml:space="preserve">on FDEP’s </w:t>
      </w:r>
      <w:hyperlink r:id="rId177" w:history="1">
        <w:r w:rsidR="00E22C45" w:rsidRPr="00E22C45">
          <w:rPr>
            <w:rStyle w:val="Hyperlink"/>
            <w:sz w:val="22"/>
            <w:szCs w:val="22"/>
          </w:rPr>
          <w:t>Watershed Management website</w:t>
        </w:r>
      </w:hyperlink>
      <w:r w:rsidR="00E22C45">
        <w:rPr>
          <w:sz w:val="22"/>
          <w:szCs w:val="22"/>
        </w:rPr>
        <w:t xml:space="preserve">. </w:t>
      </w:r>
    </w:p>
    <w:p w:rsidR="00485094" w:rsidRPr="003917BD" w:rsidRDefault="00E22C45" w:rsidP="003917BD">
      <w:pPr>
        <w:pStyle w:val="Bodytextreduced"/>
        <w:rPr>
          <w:sz w:val="22"/>
          <w:szCs w:val="22"/>
        </w:rPr>
      </w:pPr>
      <w:r>
        <w:rPr>
          <w:sz w:val="22"/>
          <w:szCs w:val="22"/>
        </w:rPr>
        <w:t xml:space="preserve"> </w:t>
      </w:r>
    </w:p>
    <w:p w:rsidR="00485094" w:rsidRDefault="00485094" w:rsidP="00B215C8">
      <w:pPr>
        <w:pStyle w:val="Bodytext"/>
      </w:pPr>
    </w:p>
    <w:p w:rsidR="002A4505" w:rsidRDefault="002A4505" w:rsidP="003917BD">
      <w:pPr>
        <w:pStyle w:val="Tableheading"/>
      </w:pPr>
      <w:r>
        <w:br w:type="page"/>
      </w:r>
      <w:bookmarkStart w:id="767" w:name="_Toc271889879"/>
      <w:r w:rsidR="00485094" w:rsidRPr="00531ADE">
        <w:lastRenderedPageBreak/>
        <w:t xml:space="preserve">Table </w:t>
      </w:r>
      <w:r w:rsidR="00485094">
        <w:t>11.1</w:t>
      </w:r>
      <w:r w:rsidR="00485094" w:rsidRPr="00531ADE">
        <w:t>.</w:t>
      </w:r>
      <w:r>
        <w:t xml:space="preserve">  </w:t>
      </w:r>
      <w:r w:rsidR="00485094" w:rsidRPr="00531ADE">
        <w:t>Status of Ongoing BMAP Efforts</w:t>
      </w:r>
      <w:bookmarkEnd w:id="767"/>
    </w:p>
    <w:p w:rsidR="00657C91" w:rsidRDefault="000309E2">
      <w:pPr>
        <w:pStyle w:val="Tabledescription"/>
        <w:rPr>
          <w:b w:val="0"/>
        </w:rPr>
      </w:pPr>
      <w:r w:rsidRPr="000309E2">
        <w:rPr>
          <w:b w:val="0"/>
        </w:rPr>
        <w:t>This is a four-column table.  Column 1 lists the basin, Column 2 lists the status of BMAP development, Column 3 lists the impairment</w:t>
      </w:r>
      <w:r w:rsidR="00EE4CFE">
        <w:rPr>
          <w:b w:val="0"/>
        </w:rPr>
        <w:t>(</w:t>
      </w:r>
      <w:r w:rsidRPr="000309E2">
        <w:rPr>
          <w:b w:val="0"/>
        </w:rPr>
        <w:t>s</w:t>
      </w:r>
      <w:r w:rsidR="00EE4CFE">
        <w:rPr>
          <w:b w:val="0"/>
        </w:rPr>
        <w:t>)</w:t>
      </w:r>
      <w:r w:rsidRPr="000309E2">
        <w:rPr>
          <w:b w:val="0"/>
        </w:rPr>
        <w:t xml:space="preserve"> addressed by the BMAP, and Column 4 lists comments.</w:t>
      </w:r>
    </w:p>
    <w:p w:rsidR="00657C91" w:rsidRPr="0096042F" w:rsidRDefault="00657C91" w:rsidP="0096042F">
      <w:pPr>
        <w:rPr>
          <w:rFonts w:ascii="Arial" w:hAnsi="Arial" w:cs="Arial"/>
          <w:sz w:val="18"/>
          <w:szCs w:val="18"/>
        </w:rPr>
      </w:pPr>
    </w:p>
    <w:tbl>
      <w:tblPr>
        <w:tblW w:w="10179" w:type="dxa"/>
        <w:jc w:val="center"/>
        <w:tblBorders>
          <w:top w:val="single" w:sz="4" w:space="0" w:color="000000"/>
          <w:left w:val="single" w:sz="4" w:space="0" w:color="000000"/>
          <w:bottom w:val="single" w:sz="4" w:space="0" w:color="000000"/>
          <w:right w:val="single" w:sz="4" w:space="0" w:color="000000"/>
        </w:tblBorders>
        <w:tblLook w:val="04A0"/>
      </w:tblPr>
      <w:tblGrid>
        <w:gridCol w:w="2123"/>
        <w:gridCol w:w="1738"/>
        <w:gridCol w:w="2017"/>
        <w:gridCol w:w="4301"/>
      </w:tblGrid>
      <w:tr w:rsidR="00485094" w:rsidRPr="00E22C45" w:rsidTr="00EE4CFE">
        <w:trPr>
          <w:trHeight w:val="350"/>
          <w:tblHeader/>
          <w:jc w:val="center"/>
        </w:trPr>
        <w:tc>
          <w:tcPr>
            <w:tcW w:w="2123" w:type="dxa"/>
            <w:tcBorders>
              <w:top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Basin</w:t>
            </w:r>
          </w:p>
        </w:tc>
        <w:tc>
          <w:tcPr>
            <w:tcW w:w="1738" w:type="dxa"/>
            <w:tcBorders>
              <w:top w:val="single" w:sz="4" w:space="0" w:color="000000"/>
              <w:left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Status</w:t>
            </w:r>
          </w:p>
        </w:tc>
        <w:tc>
          <w:tcPr>
            <w:tcW w:w="2017" w:type="dxa"/>
            <w:tcBorders>
              <w:top w:val="single" w:sz="4" w:space="0" w:color="000000"/>
              <w:left w:val="single" w:sz="4" w:space="0" w:color="000000"/>
              <w:bottom w:val="double" w:sz="4" w:space="0" w:color="auto"/>
              <w:right w:val="single" w:sz="4" w:space="0" w:color="000000"/>
            </w:tcBorders>
            <w:shd w:val="clear" w:color="auto" w:fill="B7FFFF"/>
            <w:vAlign w:val="bottom"/>
            <w:hideMark/>
          </w:tcPr>
          <w:p w:rsidR="00657C91" w:rsidRDefault="000309E2">
            <w:pPr>
              <w:pStyle w:val="TableText"/>
              <w:jc w:val="center"/>
              <w:rPr>
                <w:b/>
                <w:i/>
              </w:rPr>
            </w:pPr>
            <w:r w:rsidRPr="000309E2">
              <w:rPr>
                <w:b/>
                <w:i/>
              </w:rPr>
              <w:t>Impairment</w:t>
            </w:r>
            <w:r w:rsidR="00EE4CFE">
              <w:rPr>
                <w:b/>
                <w:i/>
              </w:rPr>
              <w:t>(s)</w:t>
            </w:r>
            <w:r w:rsidRPr="000309E2">
              <w:rPr>
                <w:b/>
                <w:i/>
              </w:rPr>
              <w:t xml:space="preserve"> Addressed by BMAP</w:t>
            </w:r>
          </w:p>
        </w:tc>
        <w:tc>
          <w:tcPr>
            <w:tcW w:w="4301" w:type="dxa"/>
            <w:tcBorders>
              <w:top w:val="single" w:sz="4" w:space="0" w:color="000000"/>
              <w:left w:val="single" w:sz="4" w:space="0" w:color="000000"/>
              <w:bottom w:val="double" w:sz="4" w:space="0" w:color="auto"/>
            </w:tcBorders>
            <w:shd w:val="clear" w:color="auto" w:fill="B7FFFF"/>
            <w:vAlign w:val="bottom"/>
            <w:hideMark/>
          </w:tcPr>
          <w:p w:rsidR="00657C91" w:rsidRDefault="000309E2">
            <w:pPr>
              <w:pStyle w:val="TableText"/>
              <w:jc w:val="center"/>
              <w:rPr>
                <w:b/>
                <w:i/>
              </w:rPr>
            </w:pPr>
            <w:r w:rsidRPr="000309E2">
              <w:rPr>
                <w:b/>
                <w:i/>
              </w:rPr>
              <w:t>Comments</w:t>
            </w:r>
          </w:p>
        </w:tc>
      </w:tr>
      <w:tr w:rsidR="00485094" w:rsidTr="002A4505">
        <w:trPr>
          <w:jc w:val="center"/>
        </w:trPr>
        <w:tc>
          <w:tcPr>
            <w:tcW w:w="2123" w:type="dxa"/>
            <w:tcBorders>
              <w:top w:val="double" w:sz="4" w:space="0" w:color="auto"/>
              <w:bottom w:val="single" w:sz="4" w:space="0" w:color="000000"/>
              <w:right w:val="single" w:sz="4" w:space="0" w:color="000000"/>
            </w:tcBorders>
            <w:shd w:val="clear" w:color="auto" w:fill="FFFFAF"/>
            <w:vAlign w:val="center"/>
            <w:hideMark/>
          </w:tcPr>
          <w:p w:rsidR="00657C91" w:rsidRDefault="00485094">
            <w:pPr>
              <w:pStyle w:val="TableText"/>
              <w:jc w:val="center"/>
            </w:pPr>
            <w:r>
              <w:t>Lower St. Johns Tributaries</w:t>
            </w:r>
          </w:p>
        </w:tc>
        <w:tc>
          <w:tcPr>
            <w:tcW w:w="1738" w:type="dxa"/>
            <w:tcBorders>
              <w:top w:val="double" w:sz="4" w:space="0" w:color="auto"/>
              <w:left w:val="single" w:sz="4" w:space="0" w:color="000000"/>
              <w:bottom w:val="single" w:sz="4" w:space="0" w:color="000000"/>
              <w:right w:val="single" w:sz="4" w:space="0" w:color="000000"/>
            </w:tcBorders>
            <w:vAlign w:val="center"/>
            <w:hideMark/>
          </w:tcPr>
          <w:p w:rsidR="00657C91" w:rsidRDefault="00485094">
            <w:pPr>
              <w:pStyle w:val="TableText"/>
              <w:jc w:val="center"/>
            </w:pPr>
            <w:r>
              <w:t>BMAP II near adoption</w:t>
            </w:r>
          </w:p>
        </w:tc>
        <w:tc>
          <w:tcPr>
            <w:tcW w:w="2017" w:type="dxa"/>
            <w:tcBorders>
              <w:top w:val="double" w:sz="4" w:space="0" w:color="auto"/>
              <w:left w:val="single" w:sz="4" w:space="0" w:color="000000"/>
              <w:bottom w:val="single" w:sz="4" w:space="0" w:color="000000"/>
              <w:right w:val="single" w:sz="4" w:space="0" w:color="000000"/>
            </w:tcBorders>
            <w:vAlign w:val="center"/>
            <w:hideMark/>
          </w:tcPr>
          <w:p w:rsidR="00657C91" w:rsidRDefault="00485094">
            <w:pPr>
              <w:pStyle w:val="TableText"/>
              <w:jc w:val="center"/>
            </w:pPr>
            <w:r>
              <w:t>Fecal Coliform</w:t>
            </w:r>
          </w:p>
        </w:tc>
        <w:tc>
          <w:tcPr>
            <w:tcW w:w="4301" w:type="dxa"/>
            <w:tcBorders>
              <w:top w:val="double" w:sz="4" w:space="0" w:color="auto"/>
              <w:left w:val="single" w:sz="4" w:space="0" w:color="000000"/>
              <w:bottom w:val="single" w:sz="4" w:space="0" w:color="000000"/>
            </w:tcBorders>
            <w:vAlign w:val="center"/>
            <w:hideMark/>
          </w:tcPr>
          <w:p w:rsidR="00657C91" w:rsidRDefault="00485094">
            <w:pPr>
              <w:pStyle w:val="TableText"/>
              <w:jc w:val="center"/>
            </w:pPr>
            <w:r>
              <w:t xml:space="preserve">BMAP II, implementing </w:t>
            </w:r>
            <w:r w:rsidR="002A4505">
              <w:t xml:space="preserve">TMDLs for </w:t>
            </w:r>
            <w:r>
              <w:t xml:space="preserve">15 WBIDs, has been completed.  The BMAP </w:t>
            </w:r>
            <w:r w:rsidR="002A4505">
              <w:t>was</w:t>
            </w:r>
            <w:r>
              <w:t xml:space="preserve"> endorsed by </w:t>
            </w:r>
            <w:r w:rsidR="00E22C45">
              <w:t>the B</w:t>
            </w:r>
            <w:r>
              <w:t>asin Working Group</w:t>
            </w:r>
            <w:r w:rsidR="002A4505">
              <w:t>;</w:t>
            </w:r>
            <w:r>
              <w:t xml:space="preserve"> presented at a public meeting on June 9</w:t>
            </w:r>
            <w:r w:rsidR="00E22C45">
              <w:t>, 2010</w:t>
            </w:r>
            <w:r w:rsidR="002A4505">
              <w:t>;</w:t>
            </w:r>
            <w:r>
              <w:t xml:space="preserve"> and is currently running through </w:t>
            </w:r>
            <w:r w:rsidR="00E22C45">
              <w:t xml:space="preserve">the </w:t>
            </w:r>
            <w:r>
              <w:t>FDEP adoption process</w:t>
            </w:r>
            <w:r w:rsidR="00E22C45">
              <w:t>,</w:t>
            </w:r>
            <w:r>
              <w:t xml:space="preserve"> with Secretarial adoption anticipated in August 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t>Suwannee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Individual stakeholder discussions ongoing</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BMAP efforts in this basin started in November 2008.  Monthly BMAP stakeholder meetings were conducted thr</w:t>
            </w:r>
            <w:r w:rsidR="00E22C45">
              <w:t>ough</w:t>
            </w:r>
            <w:r>
              <w:t xml:space="preserve"> May 2010.  The next stage of contacting basin stakeholders (counties, cities</w:t>
            </w:r>
            <w:r w:rsidR="00E22C45">
              <w:t>, and</w:t>
            </w:r>
            <w:r>
              <w:t xml:space="preserve"> agricultural interests) is ongoing.  The BMAP effort is focusing initially on the Santa Fe sub-basin.  The Suwannee River BMAP will lag by approximately 6 to 9 months.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t>Bayou Chico</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Next technical meeting anticipated in fall 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 xml:space="preserve">This group of stakeholders has been active in restoring the basin for many years, and BMAP progress is going smoothly.  Five BMAP and/or technical meetings have been held to date.  A draft BMAP is being developed based on information provided by stakeholders, and while additional information may be necessary to fill in the data and information gaps for the draft, it appears </w:t>
            </w:r>
            <w:r w:rsidR="002A4505">
              <w:t xml:space="preserve">that the BMAP </w:t>
            </w:r>
            <w:r>
              <w:t xml:space="preserve">will remain on schedule for adoption by the end of 2010 (barring any delays as a result of the Gulf </w:t>
            </w:r>
            <w:r w:rsidR="002A4505">
              <w:t xml:space="preserve">oil </w:t>
            </w:r>
            <w:r>
              <w:t>spill, which has most stakeholders</w:t>
            </w:r>
            <w:r w:rsidR="002A4505">
              <w:t>’</w:t>
            </w:r>
            <w:r>
              <w:t xml:space="preserve"> attention at this time)</w:t>
            </w:r>
            <w:r w:rsidR="00C04E26">
              <w:t xml:space="preserve">. </w:t>
            </w:r>
            <w:r>
              <w:t xml:space="preserve"> The next step is completion of the </w:t>
            </w:r>
            <w:r w:rsidR="002A4505">
              <w:t xml:space="preserve">draft </w:t>
            </w:r>
            <w:r>
              <w:t>BMAP for distribution, review</w:t>
            </w:r>
            <w:r w:rsidR="002A4505">
              <w:t>,</w:t>
            </w:r>
            <w:r>
              <w:t xml:space="preserve"> and comments.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Wekiva</w:t>
            </w:r>
            <w:r w:rsidR="002A4505">
              <w:t xml:space="preserve"> </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8B720C">
              <w:t>B</w:t>
            </w:r>
            <w:r w:rsidR="008B720C" w:rsidRPr="00531ADE">
              <w:t xml:space="preserve">asin </w:t>
            </w:r>
            <w:r w:rsidRPr="00531ADE">
              <w:t xml:space="preserve">Working Group meeting expected in </w:t>
            </w:r>
            <w:r w:rsidR="008B720C">
              <w:t>f</w:t>
            </w:r>
            <w:r w:rsidR="008B720C"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BMAP efforts began in March 2009</w:t>
            </w:r>
            <w:r w:rsidR="002A4505">
              <w:t>,</w:t>
            </w:r>
            <w:r w:rsidRPr="00531ADE">
              <w:t xml:space="preserve"> and the most recent Basin Working Group Meeting was held on March 18, 2010. </w:t>
            </w:r>
            <w:r>
              <w:t xml:space="preserve"> </w:t>
            </w:r>
            <w:r w:rsidRPr="00531ADE">
              <w:t>Technical work continues in the interim.  Current BMAP activities include building common understanding of sources, develop</w:t>
            </w:r>
            <w:r w:rsidR="002A4505">
              <w:t>ing</w:t>
            </w:r>
            <w:r w:rsidRPr="00531ADE">
              <w:t xml:space="preserve"> the allocation/sufficiency of effort approach, and </w:t>
            </w:r>
            <w:r w:rsidR="002A4505">
              <w:t xml:space="preserve">compiling a list of </w:t>
            </w:r>
            <w:r w:rsidRPr="00531ADE">
              <w:t>preliminary project</w:t>
            </w:r>
            <w:r w:rsidR="002A4505">
              <w:t>s</w:t>
            </w:r>
            <w:r w:rsidRPr="00531ADE">
              <w:t xml:space="preserve">.  The BMAP will be sensitive to local concerns connected to other Wekiva Protection </w:t>
            </w:r>
            <w:r w:rsidRPr="00E9612C">
              <w:t>Area activities.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Upper Peace (Hancock Chain, Winter Haven Chain</w:t>
            </w:r>
            <w:r w:rsidR="002A4505">
              <w:t>,</w:t>
            </w:r>
            <w:r w:rsidRPr="00531ADE">
              <w:t xml:space="preserve"> </w:t>
            </w:r>
            <w:r w:rsidR="002A4505">
              <w:t>and</w:t>
            </w:r>
            <w:r w:rsidRPr="00531ADE">
              <w:t xml:space="preserve"> Upper Peace Creek)</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BMAP activities on hold pending resolution of issues related to effectiveness of management options and completion of local watershed master plan</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Nutrients, </w:t>
            </w:r>
          </w:p>
          <w:p w:rsidR="00657C91" w:rsidRDefault="00485094">
            <w:pPr>
              <w:pStyle w:val="TableText"/>
              <w:jc w:val="center"/>
            </w:pPr>
            <w:r w:rsidRPr="00E9612C">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2A4505">
            <w:pPr>
              <w:pStyle w:val="TableText"/>
              <w:jc w:val="center"/>
            </w:pPr>
            <w:r>
              <w:t>A t</w:t>
            </w:r>
            <w:r w:rsidR="00485094" w:rsidRPr="00531ADE">
              <w:t xml:space="preserve">echnical review of the TMDLs and lake processes has led to questions about the effectiveness of management options attempting to meet TMDLs.  A comprehensive watershed master plan is being developed for the City of Winter Haven and </w:t>
            </w:r>
            <w:r>
              <w:t xml:space="preserve">Southwest Florida Water Management District, </w:t>
            </w:r>
            <w:r w:rsidR="00485094" w:rsidRPr="00531ADE">
              <w:t xml:space="preserve">and needs further consideration before moving forward with a BMAP for the southern Winter Haven Chain of Lakes.  The consultant's interim plan is being developed and will be reviewed, but the final plan </w:t>
            </w:r>
            <w:r w:rsidR="00C04E26">
              <w:t xml:space="preserve">is </w:t>
            </w:r>
            <w:r w:rsidR="00485094" w:rsidRPr="00531ADE">
              <w:t xml:space="preserve">not expected until late 2010.  In addition, </w:t>
            </w:r>
            <w:r>
              <w:t>FDEP</w:t>
            </w:r>
            <w:r w:rsidRPr="00531ADE">
              <w:t xml:space="preserve"> </w:t>
            </w:r>
            <w:r>
              <w:t>will</w:t>
            </w:r>
            <w:r w:rsidR="00485094" w:rsidRPr="00E9612C">
              <w:t xml:space="preserve"> develop any Upper Peace River TMDL implementation plans concurrently with the Southern Chain of Lakes BMAP development (anticipated at</w:t>
            </w:r>
            <w:r>
              <w:t xml:space="preserve"> the</w:t>
            </w:r>
            <w:r w:rsidR="00485094" w:rsidRPr="00E9612C">
              <w:t xml:space="preserve"> end of 2010).  Coordination efforts with</w:t>
            </w:r>
            <w:r>
              <w:t xml:space="preserve"> the</w:t>
            </w:r>
            <w:r w:rsidR="00485094" w:rsidRPr="00E9612C">
              <w:t xml:space="preserve"> City of Winter Haven, Polk County</w:t>
            </w:r>
            <w:r>
              <w:t>,</w:t>
            </w:r>
            <w:r w:rsidR="00485094" w:rsidRPr="00E9612C">
              <w:t xml:space="preserve"> and other stakeholders continues</w:t>
            </w:r>
            <w:r>
              <w:t>,</w:t>
            </w:r>
            <w:r w:rsidR="00485094" w:rsidRPr="00E9612C">
              <w:t xml:space="preserve"> and a meeting is planned to discuss local watershed plans and the interim reports that </w:t>
            </w:r>
            <w:r w:rsidR="00485094" w:rsidRPr="00E9612C">
              <w:lastRenderedPageBreak/>
              <w:t xml:space="preserve">may affect implementation strategies at the end of August,2010. </w:t>
            </w:r>
            <w:r w:rsidR="00485094">
              <w:t xml:space="preserve"> </w:t>
            </w:r>
            <w:r w:rsidR="00485094" w:rsidRPr="00E9612C">
              <w:t>Further BMAP efforts for other waterbodies in the basin are on hold pending the resolution of issues related to the effectiveness of management options.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lastRenderedPageBreak/>
              <w:t>Indian River Lagoon</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Continuing rotating meetings among sub-basins</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The Indian River Lagoon </w:t>
            </w:r>
            <w:proofErr w:type="spellStart"/>
            <w:r w:rsidRPr="00531ADE">
              <w:t>Mainstem</w:t>
            </w:r>
            <w:proofErr w:type="spellEnd"/>
            <w:r w:rsidRPr="00531ADE">
              <w:t xml:space="preserve"> Basin </w:t>
            </w:r>
            <w:r w:rsidR="002A4505">
              <w:t>has been</w:t>
            </w:r>
            <w:r w:rsidRPr="00531ADE">
              <w:t xml:space="preserve"> divided into three </w:t>
            </w:r>
            <w:r w:rsidR="002A4505">
              <w:t xml:space="preserve">sub-basins </w:t>
            </w:r>
            <w:r w:rsidRPr="00531ADE">
              <w:t>(Banana River, North</w:t>
            </w:r>
            <w:r w:rsidR="002A4505">
              <w:t>,</w:t>
            </w:r>
            <w:r w:rsidRPr="00531ADE">
              <w:t xml:space="preserve"> and Central) for </w:t>
            </w:r>
            <w:r w:rsidRPr="00E9612C">
              <w:t xml:space="preserve">BMAP development. </w:t>
            </w:r>
            <w:r>
              <w:t xml:space="preserve"> </w:t>
            </w:r>
            <w:r w:rsidRPr="00E9612C">
              <w:t>Banana River sub-basin allocations are complete</w:t>
            </w:r>
            <w:r w:rsidR="002A4505">
              <w:t>,</w:t>
            </w:r>
            <w:r w:rsidRPr="00E9612C">
              <w:t xml:space="preserve"> project information collection is under</w:t>
            </w:r>
            <w:r w:rsidR="002A4505">
              <w:t xml:space="preserve"> </w:t>
            </w:r>
            <w:r w:rsidRPr="00E9612C">
              <w:t>way (projected complet</w:t>
            </w:r>
            <w:r w:rsidR="002A4505">
              <w:t>ion</w:t>
            </w:r>
            <w:r w:rsidRPr="00E9612C">
              <w:t xml:space="preserve"> by </w:t>
            </w:r>
            <w:r w:rsidR="002A4505">
              <w:t>f</w:t>
            </w:r>
            <w:r w:rsidR="002A4505" w:rsidRPr="00E9612C">
              <w:t xml:space="preserve">all </w:t>
            </w:r>
            <w:r w:rsidRPr="00E9612C">
              <w:t xml:space="preserve">2010), and a draft BMAP is anticipated in </w:t>
            </w:r>
            <w:r w:rsidR="002A4505">
              <w:t>w</w:t>
            </w:r>
            <w:r w:rsidR="002A4505" w:rsidRPr="00E9612C">
              <w:t xml:space="preserve">inter </w:t>
            </w:r>
            <w:r w:rsidRPr="00E9612C">
              <w:t>2010.</w:t>
            </w:r>
            <w:r>
              <w:t xml:space="preserve"> </w:t>
            </w:r>
            <w:r w:rsidRPr="00E9612C">
              <w:t xml:space="preserve"> Nutrient TMDLs for tributaries to the North and </w:t>
            </w:r>
            <w:r w:rsidR="002A4505">
              <w:t>C</w:t>
            </w:r>
            <w:r w:rsidR="002A4505" w:rsidRPr="00E9612C">
              <w:t xml:space="preserve">entral </w:t>
            </w:r>
            <w:r w:rsidRPr="00E9612C">
              <w:t xml:space="preserve">sub-basins are anticipated in </w:t>
            </w:r>
            <w:r w:rsidR="002A4505">
              <w:t>f</w:t>
            </w:r>
            <w:r w:rsidR="002A4505" w:rsidRPr="00E9612C">
              <w:t xml:space="preserve">all </w:t>
            </w:r>
            <w:r w:rsidRPr="00E9612C">
              <w:t xml:space="preserve">2010, with allocations for those sub-basin BMAPs anticipated by </w:t>
            </w:r>
            <w:r w:rsidR="008B720C">
              <w:t>w</w:t>
            </w:r>
            <w:r w:rsidRPr="00E9612C">
              <w:t>inter 2010.</w:t>
            </w:r>
            <w:r>
              <w:t xml:space="preserve"> </w:t>
            </w:r>
            <w:r w:rsidRPr="00E9612C">
              <w:t xml:space="preserve"> The Monitoring Plan discussions are under</w:t>
            </w:r>
            <w:r w:rsidR="008B720C">
              <w:t xml:space="preserve"> </w:t>
            </w:r>
            <w:r w:rsidRPr="00E9612C">
              <w:t>way</w:t>
            </w:r>
            <w:r w:rsidR="008B720C">
              <w:t>,</w:t>
            </w:r>
            <w:r w:rsidRPr="00E9612C">
              <w:t xml:space="preserve"> with </w:t>
            </w:r>
            <w:r w:rsidR="008B720C">
              <w:t>p</w:t>
            </w:r>
            <w:r w:rsidR="008B720C" w:rsidRPr="00E9612C">
              <w:t xml:space="preserve">rimary </w:t>
            </w:r>
            <w:r w:rsidRPr="00E9612C">
              <w:t xml:space="preserve">and </w:t>
            </w:r>
            <w:r w:rsidR="008B720C">
              <w:t>s</w:t>
            </w:r>
            <w:r w:rsidR="008B720C" w:rsidRPr="00E9612C">
              <w:t xml:space="preserve">econdary </w:t>
            </w:r>
            <w:r w:rsidRPr="00E9612C">
              <w:t>objectives being developed in coordination with local stakeholders.</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St. Lucie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2A4505">
              <w:t>t</w:t>
            </w:r>
            <w:r w:rsidR="002A4505" w:rsidRPr="00531ADE">
              <w:t xml:space="preserve">echnical </w:t>
            </w:r>
            <w:r w:rsidR="002A4505">
              <w:t>m</w:t>
            </w:r>
            <w:r w:rsidR="002A4505" w:rsidRPr="00531ADE">
              <w:t xml:space="preserve">eeting </w:t>
            </w:r>
            <w:r w:rsidR="002A4505">
              <w:t>p</w:t>
            </w:r>
            <w:r w:rsidR="002A4505" w:rsidRPr="00531ADE">
              <w:t xml:space="preserve">lanned </w:t>
            </w:r>
            <w:r w:rsidR="002A4505">
              <w:t>f</w:t>
            </w:r>
            <w:r w:rsidR="002A4505"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Nutrients/BOD</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BMAP activities were started in July 2009. </w:t>
            </w:r>
            <w:r>
              <w:t xml:space="preserve"> </w:t>
            </w:r>
            <w:r w:rsidRPr="00531ADE">
              <w:t>The last BMAP technical meeting was held in March 2010, and one-on-one stakeholder meetings with cities/counties were held in December 2009.</w:t>
            </w:r>
            <w:r>
              <w:t xml:space="preserve"> </w:t>
            </w:r>
            <w:r w:rsidRPr="00531ADE">
              <w:t xml:space="preserve"> </w:t>
            </w:r>
            <w:r w:rsidR="008B720C">
              <w:t>An e</w:t>
            </w:r>
            <w:r w:rsidRPr="00531ADE">
              <w:t xml:space="preserve">valuation </w:t>
            </w:r>
            <w:r w:rsidR="008B720C">
              <w:t xml:space="preserve">continues </w:t>
            </w:r>
            <w:r w:rsidRPr="00531ADE">
              <w:t xml:space="preserve">of the </w:t>
            </w:r>
            <w:r w:rsidR="008B720C" w:rsidRPr="008B720C">
              <w:t xml:space="preserve">Northern Everglades and Estuaries Protection Program </w:t>
            </w:r>
            <w:r w:rsidR="008B720C">
              <w:t>(</w:t>
            </w:r>
            <w:r w:rsidRPr="00531ADE">
              <w:t>NEEPP</w:t>
            </w:r>
            <w:r w:rsidR="008B720C">
              <w:t>)</w:t>
            </w:r>
            <w:r w:rsidRPr="00531ADE">
              <w:t xml:space="preserve"> Regional </w:t>
            </w:r>
            <w:r w:rsidR="008B720C">
              <w:t>W</w:t>
            </w:r>
            <w:r w:rsidR="008B720C" w:rsidRPr="00531ADE">
              <w:t xml:space="preserve">atershed </w:t>
            </w:r>
            <w:r w:rsidRPr="00531ADE">
              <w:t xml:space="preserve">Protection Plan applicability </w:t>
            </w:r>
            <w:r>
              <w:t>and</w:t>
            </w:r>
            <w:r w:rsidRPr="00531ADE">
              <w:t xml:space="preserve"> implementation/allocation approach document. </w:t>
            </w:r>
            <w:r>
              <w:t xml:space="preserve"> F</w:t>
            </w:r>
            <w:r w:rsidRPr="00531ADE">
              <w:t>DEP staff are reviewing the applicability of different models for detailed allocations, and gathering information on land u</w:t>
            </w:r>
            <w:r w:rsidRPr="00E9612C">
              <w:t xml:space="preserve">se and agricultural and MS4 jurisdictional areas. </w:t>
            </w:r>
            <w:r>
              <w:t xml:space="preserve"> </w:t>
            </w:r>
            <w:r w:rsidRPr="00E9612C">
              <w:t>Meetings are anticipated with various Special Districts</w:t>
            </w:r>
            <w:r w:rsidR="008B720C">
              <w:t>,</w:t>
            </w:r>
            <w:r w:rsidRPr="00E9612C">
              <w:t xml:space="preserve"> along with continued coordination with local municipalities</w:t>
            </w:r>
            <w:r w:rsidR="008B720C">
              <w:t>,</w:t>
            </w:r>
            <w:r w:rsidRPr="00E9612C">
              <w:t xml:space="preserve"> to move to the next step of detailed allocations and project tables. </w:t>
            </w:r>
            <w:r>
              <w:t xml:space="preserve"> </w:t>
            </w:r>
            <w:r w:rsidRPr="00E9612C">
              <w:t xml:space="preserve">Stakeholder technical meetings are expected to continue in </w:t>
            </w:r>
            <w:r w:rsidR="008B720C">
              <w:t>f</w:t>
            </w:r>
            <w:r w:rsidR="008B720C" w:rsidRPr="00E9612C">
              <w:t xml:space="preserve">all </w:t>
            </w:r>
            <w:r w:rsidRPr="00E9612C">
              <w:t>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Lake Munson/</w:t>
            </w:r>
          </w:p>
          <w:p w:rsidR="00657C91" w:rsidRDefault="00485094">
            <w:pPr>
              <w:pStyle w:val="TableText"/>
              <w:jc w:val="center"/>
            </w:pPr>
            <w:r w:rsidRPr="00531ADE">
              <w:t>Munson Slough</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BMAP </w:t>
            </w:r>
            <w:r w:rsidR="002A4505">
              <w:t>k</w:t>
            </w:r>
            <w:r w:rsidR="002A4505" w:rsidRPr="00E9612C">
              <w:t>ick</w:t>
            </w:r>
            <w:r w:rsidRPr="00E9612C">
              <w:t xml:space="preserve">off </w:t>
            </w:r>
            <w:r w:rsidR="002A4505">
              <w:t>a</w:t>
            </w:r>
            <w:r w:rsidR="002A4505" w:rsidRPr="00E9612C">
              <w:t xml:space="preserve">nticipated </w:t>
            </w:r>
            <w:r w:rsidRPr="00E9612C">
              <w:t xml:space="preserve">in </w:t>
            </w:r>
            <w:r w:rsidR="002A4505">
              <w:t>f</w:t>
            </w:r>
            <w:r w:rsidR="002A4505" w:rsidRPr="00E9612C">
              <w:t xml:space="preserve">all </w:t>
            </w:r>
            <w:r w:rsidRPr="00E9612C">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Nutrients/DO/</w:t>
            </w:r>
          </w:p>
          <w:p w:rsidR="00657C91" w:rsidRDefault="00485094">
            <w:pPr>
              <w:pStyle w:val="TableText"/>
              <w:jc w:val="center"/>
            </w:pPr>
            <w:r w:rsidRPr="00E9612C">
              <w:t>Fecal Coliform</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t>F</w:t>
            </w:r>
            <w:r w:rsidRPr="00531ADE">
              <w:t xml:space="preserve">DEP staff are following local concerns and news </w:t>
            </w:r>
            <w:r w:rsidR="008B720C">
              <w:t>related to the</w:t>
            </w:r>
            <w:r w:rsidRPr="00531ADE">
              <w:t xml:space="preserve"> final adoption of the Lake Munson/Munson Slough and Wakulla River TMDLs (workshop held </w:t>
            </w:r>
            <w:r w:rsidR="008B720C">
              <w:t>on May 28, 20</w:t>
            </w:r>
            <w:r w:rsidRPr="00531ADE">
              <w:t xml:space="preserve">10). </w:t>
            </w:r>
            <w:r>
              <w:t xml:space="preserve"> </w:t>
            </w:r>
            <w:r w:rsidRPr="00531ADE">
              <w:t xml:space="preserve">BMAP development is currently on hold pending </w:t>
            </w:r>
            <w:r w:rsidR="008B720C">
              <w:t xml:space="preserve">the </w:t>
            </w:r>
            <w:r w:rsidRPr="00531ADE">
              <w:t xml:space="preserve">final adoption of the </w:t>
            </w:r>
            <w:r w:rsidR="008B720C">
              <w:t>d</w:t>
            </w:r>
            <w:r w:rsidR="008B720C" w:rsidRPr="00531ADE">
              <w:t xml:space="preserve">raft </w:t>
            </w:r>
            <w:r w:rsidRPr="00531ADE">
              <w:t xml:space="preserve">TMDLs, the selection of the Wakulla Springs </w:t>
            </w:r>
            <w:r w:rsidR="008B720C">
              <w:t>f</w:t>
            </w:r>
            <w:r w:rsidR="008B720C" w:rsidRPr="00531ADE">
              <w:t>acilitator</w:t>
            </w:r>
            <w:r w:rsidR="008B720C">
              <w:t>,</w:t>
            </w:r>
            <w:r w:rsidR="008B720C" w:rsidRPr="00531ADE">
              <w:t xml:space="preserve"> </w:t>
            </w:r>
            <w:r w:rsidRPr="00531ADE">
              <w:t>and subsequent meetings of the Wakulla Springs Working Group</w:t>
            </w:r>
            <w:r w:rsidR="008B720C">
              <w:t>; these activities</w:t>
            </w:r>
            <w:r w:rsidRPr="00E9612C">
              <w:t xml:space="preserve"> should help to define the next steps and BMAP development for the entire Wakulla </w:t>
            </w:r>
            <w:proofErr w:type="spellStart"/>
            <w:r w:rsidRPr="00E9612C">
              <w:t>springshed</w:t>
            </w:r>
            <w:proofErr w:type="spellEnd"/>
            <w:r w:rsidRPr="00E9612C">
              <w:t>.</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t>Everglades West Coast</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 xml:space="preserve">Next </w:t>
            </w:r>
            <w:r w:rsidR="002A4505">
              <w:t>t</w:t>
            </w:r>
            <w:r w:rsidR="002A4505" w:rsidRPr="00E9612C">
              <w:t xml:space="preserve">echnical </w:t>
            </w:r>
            <w:r w:rsidR="002A4505">
              <w:t>m</w:t>
            </w:r>
            <w:r w:rsidR="002A4505" w:rsidRPr="00E9612C">
              <w:t xml:space="preserve">eeting </w:t>
            </w:r>
            <w:r w:rsidRPr="00E9612C">
              <w:t xml:space="preserve">to be held </w:t>
            </w:r>
            <w:r w:rsidR="002A4505">
              <w:t>f</w:t>
            </w:r>
            <w:r w:rsidR="002A4505" w:rsidRPr="00E9612C">
              <w:t xml:space="preserve">all </w:t>
            </w:r>
            <w:r w:rsidRPr="00E9612C">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Multiple</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Basic W</w:t>
            </w:r>
            <w:r>
              <w:t xml:space="preserve">atershed </w:t>
            </w:r>
            <w:r w:rsidRPr="00531ADE">
              <w:t>M</w:t>
            </w:r>
            <w:r>
              <w:t xml:space="preserve">anagement </w:t>
            </w:r>
            <w:r w:rsidRPr="00531ADE">
              <w:t>M</w:t>
            </w:r>
            <w:r>
              <w:t>odel</w:t>
            </w:r>
            <w:r w:rsidRPr="00531ADE">
              <w:t>ing to determine current loading was completed</w:t>
            </w:r>
            <w:r w:rsidR="008B720C">
              <w:t>,</w:t>
            </w:r>
            <w:r w:rsidRPr="00531ADE">
              <w:t xml:space="preserve"> and details were presented to stakeholders at the last technical meeting in February 2010. </w:t>
            </w:r>
            <w:r>
              <w:t xml:space="preserve"> </w:t>
            </w:r>
            <w:r w:rsidRPr="00531ADE">
              <w:t>One</w:t>
            </w:r>
            <w:r>
              <w:t>-</w:t>
            </w:r>
            <w:r w:rsidRPr="00531ADE">
              <w:t>on</w:t>
            </w:r>
            <w:r>
              <w:t>-</w:t>
            </w:r>
            <w:r w:rsidRPr="00531ADE">
              <w:t xml:space="preserve">one meetings were held with stakeholders to discuss current loading calculation process and projects eligible for BMAP credit.  </w:t>
            </w:r>
            <w:r>
              <w:t>F</w:t>
            </w:r>
            <w:r w:rsidRPr="00531ADE">
              <w:t xml:space="preserve">DEP staff are currently evaluating </w:t>
            </w:r>
            <w:r w:rsidRPr="00E9612C">
              <w:t>the list of nutrient reduction projects implemented since the TMDL verified period and calculating BMP efficiencies for the projects submitted.  Staff are awaiting results from a nutrient source tracking and ground</w:t>
            </w:r>
            <w:r w:rsidR="008B720C">
              <w:t xml:space="preserve"> </w:t>
            </w:r>
            <w:r w:rsidRPr="00E9612C">
              <w:t xml:space="preserve">water input study conducted in June 2010.  BMAP stakeholder </w:t>
            </w:r>
            <w:r>
              <w:lastRenderedPageBreak/>
              <w:t xml:space="preserve">technical meetings are expected to continue in </w:t>
            </w:r>
            <w:r w:rsidR="008B720C">
              <w:t xml:space="preserve">fall </w:t>
            </w:r>
            <w:r>
              <w:t>2010.</w:t>
            </w:r>
          </w:p>
        </w:tc>
      </w:tr>
      <w:tr w:rsidR="00485094" w:rsidTr="002A4505">
        <w:trPr>
          <w:jc w:val="center"/>
        </w:trPr>
        <w:tc>
          <w:tcPr>
            <w:tcW w:w="2123" w:type="dxa"/>
            <w:tcBorders>
              <w:top w:val="single" w:sz="4" w:space="0" w:color="000000"/>
              <w:bottom w:val="single" w:sz="4" w:space="0" w:color="000000"/>
              <w:right w:val="single" w:sz="4" w:space="0" w:color="000000"/>
            </w:tcBorders>
            <w:shd w:val="clear" w:color="auto" w:fill="FFFFAF"/>
            <w:vAlign w:val="center"/>
            <w:hideMark/>
          </w:tcPr>
          <w:p w:rsidR="00657C91" w:rsidRDefault="00485094">
            <w:pPr>
              <w:pStyle w:val="TableText"/>
              <w:jc w:val="center"/>
            </w:pPr>
            <w:r w:rsidRPr="00531ADE">
              <w:lastRenderedPageBreak/>
              <w:t>Caloosahatchee</w:t>
            </w:r>
          </w:p>
        </w:tc>
        <w:tc>
          <w:tcPr>
            <w:tcW w:w="1738"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531ADE">
              <w:t xml:space="preserve">Next </w:t>
            </w:r>
            <w:r w:rsidR="008B720C">
              <w:t>t</w:t>
            </w:r>
            <w:r w:rsidR="008B720C" w:rsidRPr="00531ADE">
              <w:t xml:space="preserve">echnical </w:t>
            </w:r>
            <w:r w:rsidR="008B720C">
              <w:t>m</w:t>
            </w:r>
            <w:r w:rsidR="008B720C" w:rsidRPr="00531ADE">
              <w:t xml:space="preserve">eeting </w:t>
            </w:r>
            <w:r w:rsidRPr="00531ADE">
              <w:t xml:space="preserve">to be held </w:t>
            </w:r>
            <w:r w:rsidR="008B720C">
              <w:t>f</w:t>
            </w:r>
            <w:r w:rsidR="008B720C" w:rsidRPr="00531ADE">
              <w:t xml:space="preserve">all </w:t>
            </w:r>
            <w:r w:rsidRPr="00531ADE">
              <w:t>2010</w:t>
            </w:r>
          </w:p>
        </w:tc>
        <w:tc>
          <w:tcPr>
            <w:tcW w:w="2017" w:type="dxa"/>
            <w:tcBorders>
              <w:top w:val="single" w:sz="4" w:space="0" w:color="000000"/>
              <w:left w:val="single" w:sz="4" w:space="0" w:color="000000"/>
              <w:bottom w:val="single" w:sz="4" w:space="0" w:color="000000"/>
              <w:right w:val="single" w:sz="4" w:space="0" w:color="000000"/>
            </w:tcBorders>
            <w:vAlign w:val="center"/>
            <w:hideMark/>
          </w:tcPr>
          <w:p w:rsidR="00657C91" w:rsidRDefault="00485094">
            <w:pPr>
              <w:pStyle w:val="TableText"/>
              <w:jc w:val="center"/>
            </w:pPr>
            <w:r w:rsidRPr="00E9612C">
              <w:t>Nutrients</w:t>
            </w:r>
          </w:p>
        </w:tc>
        <w:tc>
          <w:tcPr>
            <w:tcW w:w="4301" w:type="dxa"/>
            <w:tcBorders>
              <w:top w:val="single" w:sz="4" w:space="0" w:color="000000"/>
              <w:left w:val="single" w:sz="4" w:space="0" w:color="000000"/>
              <w:bottom w:val="single" w:sz="4" w:space="0" w:color="000000"/>
            </w:tcBorders>
            <w:vAlign w:val="center"/>
            <w:hideMark/>
          </w:tcPr>
          <w:p w:rsidR="00657C91" w:rsidRDefault="00485094">
            <w:pPr>
              <w:pStyle w:val="TableText"/>
              <w:jc w:val="center"/>
            </w:pPr>
            <w:r w:rsidRPr="00531ADE">
              <w:t xml:space="preserve">The last BMAP technical meeting was held </w:t>
            </w:r>
            <w:r w:rsidR="008B720C">
              <w:t xml:space="preserve">in </w:t>
            </w:r>
            <w:r w:rsidRPr="00531ADE">
              <w:t xml:space="preserve">February 2010. </w:t>
            </w:r>
            <w:r>
              <w:t xml:space="preserve"> </w:t>
            </w:r>
            <w:r w:rsidRPr="00531ADE">
              <w:t>The current loading calculation process and potential allocation a</w:t>
            </w:r>
            <w:r>
              <w:t>pproaches were discussed.  One-on-</w:t>
            </w:r>
            <w:r w:rsidRPr="00531ADE">
              <w:t xml:space="preserve">one meetings were held with several stakeholders to address concerns and discuss </w:t>
            </w:r>
            <w:r w:rsidR="008B720C">
              <w:t xml:space="preserve">the </w:t>
            </w:r>
            <w:r w:rsidRPr="00531ADE">
              <w:t xml:space="preserve">types of projects that would receive credit in the BMAP. </w:t>
            </w:r>
            <w:r>
              <w:t xml:space="preserve"> </w:t>
            </w:r>
            <w:r w:rsidRPr="00531ADE">
              <w:t>Staff are currently evaluating the list of nutrient reductio</w:t>
            </w:r>
            <w:r w:rsidRPr="00E9612C">
              <w:t xml:space="preserve">n projects implemented since the TMDL verified period and working on calculating BMP efficiencies for projects submitted. </w:t>
            </w:r>
            <w:r>
              <w:t xml:space="preserve"> </w:t>
            </w:r>
            <w:r w:rsidR="008B720C">
              <w:t>They</w:t>
            </w:r>
            <w:r w:rsidR="008B720C" w:rsidRPr="00E9612C">
              <w:t xml:space="preserve"> </w:t>
            </w:r>
            <w:r w:rsidRPr="00E9612C">
              <w:t xml:space="preserve">are finalizing current loading calculations and draft potential allocation approach calculations. </w:t>
            </w:r>
            <w:r>
              <w:t xml:space="preserve"> </w:t>
            </w:r>
            <w:r w:rsidRPr="00E9612C">
              <w:t xml:space="preserve">BMAP stakeholder technical meetings are expected to continue in </w:t>
            </w:r>
            <w:r w:rsidR="008B720C">
              <w:t>f</w:t>
            </w:r>
            <w:r w:rsidR="008B720C" w:rsidRPr="00E9612C">
              <w:t xml:space="preserve">all </w:t>
            </w:r>
            <w:r w:rsidRPr="00E9612C">
              <w:t>2010.</w:t>
            </w:r>
          </w:p>
        </w:tc>
      </w:tr>
    </w:tbl>
    <w:p w:rsidR="00485094" w:rsidRPr="00124177" w:rsidRDefault="00485094" w:rsidP="00124177">
      <w:pPr>
        <w:pStyle w:val="Bodytextreduced"/>
        <w:tabs>
          <w:tab w:val="left" w:pos="7173"/>
        </w:tabs>
        <w:rPr>
          <w:sz w:val="22"/>
          <w:szCs w:val="22"/>
        </w:rPr>
      </w:pPr>
      <w:r>
        <w:rPr>
          <w:sz w:val="22"/>
          <w:szCs w:val="22"/>
        </w:rPr>
        <w:tab/>
      </w:r>
    </w:p>
    <w:p w:rsidR="00485094" w:rsidRDefault="00485094" w:rsidP="00B215C8">
      <w:pPr>
        <w:pStyle w:val="Bodytext"/>
      </w:pPr>
    </w:p>
    <w:p w:rsidR="00485094" w:rsidRDefault="00485094" w:rsidP="00802638">
      <w:pPr>
        <w:pStyle w:val="Heading3"/>
      </w:pPr>
      <w:bookmarkStart w:id="768" w:name="_Toc271794411"/>
      <w:r w:rsidRPr="00802638">
        <w:t>Public Participation</w:t>
      </w:r>
      <w:bookmarkEnd w:id="768"/>
    </w:p>
    <w:p w:rsidR="00485094" w:rsidRDefault="00485094" w:rsidP="00B215C8">
      <w:pPr>
        <w:pStyle w:val="Bodytext"/>
      </w:pPr>
      <w:r>
        <w:t>The success of Florida’s water resource management program, especially its watershed management approach/TMDL Program, depends heavily on input from local stakeholders in each watershed.  This process is highly collaborative, and FDEP staff closely coordinate and communicate with stakeholders in all phases of the five-year, rotating basin cycle.</w:t>
      </w:r>
    </w:p>
    <w:p w:rsidR="00485094" w:rsidRDefault="00485094" w:rsidP="00B215C8">
      <w:pPr>
        <w:pStyle w:val="Bodytext"/>
      </w:pPr>
    </w:p>
    <w:p w:rsidR="00485094" w:rsidRDefault="00485094" w:rsidP="00B215C8">
      <w:pPr>
        <w:pStyle w:val="Bodytext"/>
      </w:pPr>
      <w:r>
        <w:t>FDEP</w:t>
      </w:r>
      <w:r w:rsidRPr="003A4461">
        <w:t xml:space="preserve"> work</w:t>
      </w:r>
      <w:r>
        <w:t>s</w:t>
      </w:r>
      <w:r w:rsidRPr="003A4461">
        <w:t xml:space="preserve"> with a variety of stakeholders </w:t>
      </w:r>
      <w:r>
        <w:t>in developing a draft Verified List of impaired waters for each basin.  The d</w:t>
      </w:r>
      <w:r w:rsidRPr="003A4461">
        <w:t xml:space="preserve">raft </w:t>
      </w:r>
      <w:r>
        <w:t>l</w:t>
      </w:r>
      <w:r w:rsidRPr="003A4461">
        <w:t xml:space="preserve">ists </w:t>
      </w:r>
      <w:r>
        <w:t>are</w:t>
      </w:r>
      <w:r w:rsidRPr="003A4461">
        <w:t xml:space="preserve"> placed on </w:t>
      </w:r>
      <w:r>
        <w:t xml:space="preserve">the </w:t>
      </w:r>
      <w:hyperlink r:id="rId178" w:history="1">
        <w:r>
          <w:rPr>
            <w:rStyle w:val="Hyperlink"/>
          </w:rPr>
          <w:t>FDEP Watershed Assessment Program w</w:t>
        </w:r>
        <w:r w:rsidRPr="00F46CD8">
          <w:rPr>
            <w:rStyle w:val="Hyperlink"/>
          </w:rPr>
          <w:t>ebsite</w:t>
        </w:r>
      </w:hyperlink>
      <w:r>
        <w:t xml:space="preserve"> and are</w:t>
      </w:r>
      <w:r w:rsidRPr="003A4461">
        <w:t xml:space="preserve"> also sent </w:t>
      </w:r>
      <w:r>
        <w:t>by</w:t>
      </w:r>
      <w:r w:rsidRPr="003A4461">
        <w:t xml:space="preserve"> request to interested parties </w:t>
      </w:r>
      <w:r>
        <w:t>via</w:t>
      </w:r>
      <w:r w:rsidRPr="003A4461">
        <w:t xml:space="preserve"> mail or email.</w:t>
      </w:r>
      <w:r>
        <w:t xml:space="preserve">  As part of the review process, public workshops are advertised and held in each basin to help explain the process for developing the Verified Lists, exchange information, and encourage public involvement.  The workshops are noticed in the </w:t>
      </w:r>
      <w:hyperlink r:id="rId179" w:history="1">
        <w:r w:rsidRPr="00E82400">
          <w:rPr>
            <w:rStyle w:val="Hyperlink"/>
            <w:i/>
          </w:rPr>
          <w:t>Florida Administrative Weekly</w:t>
        </w:r>
      </w:hyperlink>
      <w:r>
        <w:rPr>
          <w:i/>
        </w:rPr>
        <w:t xml:space="preserve"> </w:t>
      </w:r>
      <w:r w:rsidRPr="005D59A4">
        <w:t xml:space="preserve">and </w:t>
      </w:r>
      <w:r>
        <w:t xml:space="preserve">on </w:t>
      </w:r>
      <w:r w:rsidRPr="005D59A4">
        <w:t xml:space="preserve">the </w:t>
      </w:r>
      <w:r>
        <w:t>w</w:t>
      </w:r>
      <w:r w:rsidRPr="005D59A4">
        <w:t>ebsite</w:t>
      </w:r>
      <w:r>
        <w:t>.  Stakeholders</w:t>
      </w:r>
      <w:r w:rsidRPr="003A4461">
        <w:t xml:space="preserve"> </w:t>
      </w:r>
      <w:r>
        <w:t>are</w:t>
      </w:r>
      <w:r w:rsidRPr="003A4461">
        <w:t xml:space="preserve"> given the opportunity to comment on the draft lists in person </w:t>
      </w:r>
      <w:r>
        <w:t xml:space="preserve">at public workshops </w:t>
      </w:r>
      <w:r w:rsidRPr="003A4461">
        <w:t xml:space="preserve">and/or </w:t>
      </w:r>
      <w:r>
        <w:t>through email and letters</w:t>
      </w:r>
      <w:r w:rsidRPr="003A4461">
        <w:t>.</w:t>
      </w:r>
      <w:r>
        <w:t xml:space="preserve">  If additional information or data are provided during the public comment period or before, FDEP typically creates a revised draft Verified List for further review and comment before submitting the final proposed list to the Secretary for adoption and then to the EPA.</w:t>
      </w:r>
    </w:p>
    <w:p w:rsidR="00485094" w:rsidRDefault="00485094" w:rsidP="00B215C8">
      <w:pPr>
        <w:pStyle w:val="Bodytext"/>
      </w:pPr>
    </w:p>
    <w:p w:rsidR="00485094" w:rsidRDefault="00485094" w:rsidP="00B215C8">
      <w:pPr>
        <w:pStyle w:val="Bodytext"/>
      </w:pPr>
      <w:r>
        <w:t>All public</w:t>
      </w:r>
      <w:r w:rsidRPr="00F86F1E">
        <w:t xml:space="preserve"> meetings are recorded, </w:t>
      </w:r>
      <w:r>
        <w:t>and</w:t>
      </w:r>
      <w:r w:rsidRPr="00F86F1E">
        <w:t xml:space="preserve"> specific </w:t>
      </w:r>
      <w:r>
        <w:t xml:space="preserve">comments are noted in written meeting summaries. </w:t>
      </w:r>
      <w:r w:rsidRPr="00F86F1E">
        <w:t xml:space="preserve"> </w:t>
      </w:r>
      <w:r>
        <w:t>S</w:t>
      </w:r>
      <w:r w:rsidRPr="00F86F1E">
        <w:t>ignificant comments typically receive a written response</w:t>
      </w:r>
      <w:r>
        <w:t>.  All</w:t>
      </w:r>
      <w:r w:rsidRPr="00F86F1E">
        <w:t xml:space="preserve"> </w:t>
      </w:r>
      <w:r>
        <w:t>written comments received and FDEP’s</w:t>
      </w:r>
      <w:r w:rsidRPr="00F86F1E">
        <w:t xml:space="preserve"> responses are </w:t>
      </w:r>
      <w:r>
        <w:t xml:space="preserve">kept </w:t>
      </w:r>
      <w:r w:rsidRPr="00F86F1E">
        <w:t xml:space="preserve">in </w:t>
      </w:r>
      <w:r>
        <w:t xml:space="preserve">a permanent </w:t>
      </w:r>
      <w:r w:rsidRPr="00F86F1E">
        <w:t>file maintained by FDEP</w:t>
      </w:r>
      <w:r>
        <w:t xml:space="preserve">.  These are included in an Appendix to each Water Quality Assessment Report.  The reports are available on the </w:t>
      </w:r>
      <w:hyperlink r:id="rId180" w:history="1">
        <w:r w:rsidRPr="00CA657B">
          <w:rPr>
            <w:rStyle w:val="Hyperlink"/>
          </w:rPr>
          <w:t xml:space="preserve">FDEP </w:t>
        </w:r>
        <w:r>
          <w:rPr>
            <w:rStyle w:val="Hyperlink"/>
          </w:rPr>
          <w:t xml:space="preserve">Watershed Management </w:t>
        </w:r>
        <w:r w:rsidRPr="00CA657B">
          <w:rPr>
            <w:rStyle w:val="Hyperlink"/>
          </w:rPr>
          <w:t>website</w:t>
        </w:r>
      </w:hyperlink>
      <w:r>
        <w:t>.</w:t>
      </w:r>
    </w:p>
    <w:p w:rsidR="00485094" w:rsidRDefault="00485094" w:rsidP="00B215C8">
      <w:pPr>
        <w:pStyle w:val="Bodytext"/>
      </w:pPr>
    </w:p>
    <w:p w:rsidR="00485094" w:rsidRDefault="00485094" w:rsidP="00DF1A46">
      <w:pPr>
        <w:pStyle w:val="Heading3"/>
      </w:pPr>
      <w:bookmarkStart w:id="769" w:name="_Toc271794412"/>
      <w:r>
        <w:t>Surface Water Improvement and Management Program</w:t>
      </w:r>
      <w:bookmarkEnd w:id="769"/>
    </w:p>
    <w:p w:rsidR="00485094" w:rsidRPr="00492CE5" w:rsidRDefault="00485094" w:rsidP="00B215C8">
      <w:pPr>
        <w:pStyle w:val="BodyText0"/>
        <w:rPr>
          <w:sz w:val="22"/>
          <w:szCs w:val="22"/>
        </w:rPr>
      </w:pPr>
      <w:r w:rsidRPr="00492CE5">
        <w:rPr>
          <w:snapToGrid w:val="0"/>
          <w:sz w:val="22"/>
          <w:szCs w:val="22"/>
        </w:rPr>
        <w:t xml:space="preserve">In 1987, the Florida </w:t>
      </w:r>
      <w:r>
        <w:rPr>
          <w:snapToGrid w:val="0"/>
          <w:sz w:val="22"/>
          <w:szCs w:val="22"/>
        </w:rPr>
        <w:t>Legislature</w:t>
      </w:r>
      <w:r w:rsidRPr="00492CE5">
        <w:rPr>
          <w:snapToGrid w:val="0"/>
          <w:sz w:val="22"/>
          <w:szCs w:val="22"/>
        </w:rPr>
        <w:t xml:space="preserve"> passed the </w:t>
      </w:r>
      <w:r w:rsidR="0044193D" w:rsidRPr="008B7C73">
        <w:rPr>
          <w:rFonts w:cs="Arial"/>
          <w:sz w:val="22"/>
          <w:szCs w:val="22"/>
        </w:rPr>
        <w:t>Surface Water Improvement and Management</w:t>
      </w:r>
      <w:r w:rsidR="0044193D">
        <w:rPr>
          <w:snapToGrid w:val="0"/>
          <w:sz w:val="22"/>
          <w:szCs w:val="22"/>
        </w:rPr>
        <w:t xml:space="preserve"> (</w:t>
      </w:r>
      <w:r>
        <w:rPr>
          <w:snapToGrid w:val="0"/>
          <w:sz w:val="22"/>
          <w:szCs w:val="22"/>
        </w:rPr>
        <w:t>SWIM</w:t>
      </w:r>
      <w:r w:rsidR="0044193D">
        <w:rPr>
          <w:snapToGrid w:val="0"/>
          <w:sz w:val="22"/>
          <w:szCs w:val="22"/>
        </w:rPr>
        <w:t>)</w:t>
      </w:r>
      <w:r w:rsidRPr="00492CE5">
        <w:rPr>
          <w:snapToGrid w:val="0"/>
          <w:sz w:val="22"/>
          <w:szCs w:val="22"/>
        </w:rPr>
        <w:t xml:space="preserve"> Act, Sections 373.451 through 373.4595, F.S.  The act directed the state to develop management and restoration plans for preserving or restoring priority waterbodies.  The legislation designated 6 SWIM waterbodies:  Lake Apopka, Tampa Bay, Indian River Lagoon, Biscayne Bay, Lower St. Johns River, and Lake Okeechobee.  </w:t>
      </w:r>
      <w:r>
        <w:rPr>
          <w:sz w:val="22"/>
          <w:szCs w:val="22"/>
        </w:rPr>
        <w:t>Currently</w:t>
      </w:r>
      <w:r w:rsidRPr="00784999">
        <w:rPr>
          <w:sz w:val="22"/>
          <w:szCs w:val="22"/>
        </w:rPr>
        <w:t xml:space="preserve">, 29 waterbodies </w:t>
      </w:r>
      <w:r>
        <w:rPr>
          <w:sz w:val="22"/>
          <w:szCs w:val="22"/>
        </w:rPr>
        <w:t>are</w:t>
      </w:r>
      <w:r w:rsidRPr="00784999">
        <w:rPr>
          <w:sz w:val="22"/>
          <w:szCs w:val="22"/>
        </w:rPr>
        <w:t xml:space="preserve"> on the </w:t>
      </w:r>
      <w:r>
        <w:rPr>
          <w:sz w:val="22"/>
          <w:szCs w:val="22"/>
        </w:rPr>
        <w:t xml:space="preserve">priority </w:t>
      </w:r>
      <w:r w:rsidRPr="00784999">
        <w:rPr>
          <w:sz w:val="22"/>
          <w:szCs w:val="22"/>
        </w:rPr>
        <w:t>list.</w:t>
      </w:r>
      <w:r>
        <w:rPr>
          <w:sz w:val="22"/>
          <w:szCs w:val="22"/>
        </w:rPr>
        <w:t xml:space="preserve">  Additional information and the list of priority waterbodies are available on the </w:t>
      </w:r>
      <w:hyperlink r:id="rId181" w:history="1">
        <w:r w:rsidRPr="00E82400">
          <w:rPr>
            <w:rStyle w:val="Hyperlink"/>
            <w:sz w:val="22"/>
            <w:szCs w:val="22"/>
          </w:rPr>
          <w:t>FDEP SWIM Program website</w:t>
        </w:r>
      </w:hyperlink>
      <w:r>
        <w:rPr>
          <w:sz w:val="22"/>
          <w:szCs w:val="22"/>
        </w:rPr>
        <w:t>.</w:t>
      </w:r>
      <w:r w:rsidRPr="00784999">
        <w:rPr>
          <w:sz w:val="22"/>
          <w:szCs w:val="22"/>
        </w:rPr>
        <w:t xml:space="preserve">  </w:t>
      </w:r>
    </w:p>
    <w:p w:rsidR="00485094" w:rsidRPr="00492CE5" w:rsidRDefault="00485094" w:rsidP="00B215C8">
      <w:pPr>
        <w:pStyle w:val="BodyText0"/>
        <w:jc w:val="center"/>
        <w:rPr>
          <w:sz w:val="22"/>
          <w:szCs w:val="22"/>
        </w:rPr>
      </w:pPr>
    </w:p>
    <w:p w:rsidR="00485094" w:rsidRPr="00492CE5" w:rsidRDefault="00485094" w:rsidP="00B215C8">
      <w:pPr>
        <w:pStyle w:val="BodyText0"/>
        <w:rPr>
          <w:sz w:val="22"/>
          <w:szCs w:val="22"/>
        </w:rPr>
      </w:pPr>
      <w:r w:rsidRPr="00492CE5">
        <w:rPr>
          <w:sz w:val="22"/>
          <w:szCs w:val="22"/>
        </w:rPr>
        <w:t xml:space="preserve">The SWIM Program addresses a waterbody’s needs as a system of connected resources, rather than isolated wetlands or waterbodies.  Its goals are protecting water quality and natural systems, creating governmental and other partnerships, and managing watersheds.  While FDEP oversees the program, the water management districts are responsible for its implementation—including developing lists of additional high-priority waterbodies and waterbody plans (outlined under </w:t>
      </w:r>
      <w:r>
        <w:rPr>
          <w:sz w:val="22"/>
          <w:szCs w:val="22"/>
        </w:rPr>
        <w:t>Chapter</w:t>
      </w:r>
      <w:r w:rsidRPr="00492CE5">
        <w:rPr>
          <w:sz w:val="22"/>
          <w:szCs w:val="22"/>
        </w:rPr>
        <w:t xml:space="preserve"> 62-43, F.A.C.).  The districts also provide matching funds for state revenues.  In a collaborative effort, other federal and state agencies, local governments, and the private sector provide funds or in-kind services.</w:t>
      </w:r>
    </w:p>
    <w:p w:rsidR="00485094" w:rsidRPr="00492CE5" w:rsidRDefault="00485094" w:rsidP="00B215C8">
      <w:pPr>
        <w:pStyle w:val="BodyText0"/>
        <w:rPr>
          <w:snapToGrid w:val="0"/>
          <w:sz w:val="22"/>
          <w:szCs w:val="22"/>
        </w:rPr>
      </w:pPr>
    </w:p>
    <w:p w:rsidR="00485094" w:rsidRPr="00492CE5" w:rsidRDefault="00485094" w:rsidP="00B215C8">
      <w:pPr>
        <w:pStyle w:val="BodyText0"/>
        <w:rPr>
          <w:snapToGrid w:val="0"/>
          <w:sz w:val="22"/>
          <w:szCs w:val="22"/>
        </w:rPr>
      </w:pPr>
      <w:r w:rsidRPr="00492CE5">
        <w:rPr>
          <w:snapToGrid w:val="0"/>
          <w:sz w:val="22"/>
          <w:szCs w:val="22"/>
        </w:rPr>
        <w:t>SWIM plans must contain the following:</w:t>
      </w:r>
    </w:p>
    <w:p w:rsidR="00485094" w:rsidRPr="00492CE5" w:rsidRDefault="00485094" w:rsidP="00B215C8">
      <w:pPr>
        <w:pStyle w:val="BodyText0"/>
        <w:rPr>
          <w:b/>
          <w:i/>
          <w:snapToGrid w:val="0"/>
          <w:sz w:val="22"/>
          <w:szCs w:val="22"/>
        </w:rPr>
      </w:pPr>
    </w:p>
    <w:p w:rsidR="00485094" w:rsidRPr="00492CE5" w:rsidRDefault="00485094" w:rsidP="00B215C8">
      <w:pPr>
        <w:pStyle w:val="Bullet"/>
        <w:rPr>
          <w:snapToGrid w:val="0"/>
          <w:sz w:val="22"/>
          <w:szCs w:val="22"/>
        </w:rPr>
      </w:pPr>
      <w:r w:rsidRPr="00492CE5">
        <w:rPr>
          <w:snapToGrid w:val="0"/>
          <w:sz w:val="22"/>
          <w:szCs w:val="22"/>
        </w:rPr>
        <w:t>A description of the waterbody;</w:t>
      </w:r>
    </w:p>
    <w:p w:rsidR="00485094" w:rsidRPr="00492CE5" w:rsidRDefault="00485094" w:rsidP="00B215C8">
      <w:pPr>
        <w:pStyle w:val="Bullet"/>
        <w:rPr>
          <w:snapToGrid w:val="0"/>
          <w:sz w:val="22"/>
          <w:szCs w:val="22"/>
        </w:rPr>
      </w:pPr>
      <w:r w:rsidRPr="00492CE5">
        <w:rPr>
          <w:snapToGrid w:val="0"/>
          <w:sz w:val="22"/>
          <w:szCs w:val="22"/>
        </w:rPr>
        <w:t>A list of governmental agencies with jurisdiction;</w:t>
      </w:r>
    </w:p>
    <w:p w:rsidR="00485094" w:rsidRPr="00492CE5" w:rsidRDefault="00485094" w:rsidP="00B215C8">
      <w:pPr>
        <w:pStyle w:val="Bullet"/>
        <w:rPr>
          <w:snapToGrid w:val="0"/>
          <w:sz w:val="22"/>
          <w:szCs w:val="22"/>
        </w:rPr>
      </w:pPr>
      <w:r w:rsidRPr="00492CE5">
        <w:rPr>
          <w:snapToGrid w:val="0"/>
          <w:sz w:val="22"/>
          <w:szCs w:val="22"/>
        </w:rPr>
        <w:t>A description of land uses;</w:t>
      </w:r>
    </w:p>
    <w:p w:rsidR="00485094" w:rsidRPr="00492CE5" w:rsidRDefault="00485094" w:rsidP="00B215C8">
      <w:pPr>
        <w:pStyle w:val="Bullet"/>
        <w:rPr>
          <w:snapToGrid w:val="0"/>
          <w:sz w:val="22"/>
          <w:szCs w:val="22"/>
        </w:rPr>
      </w:pPr>
      <w:r w:rsidRPr="00492CE5">
        <w:rPr>
          <w:snapToGrid w:val="0"/>
          <w:sz w:val="22"/>
          <w:szCs w:val="22"/>
        </w:rPr>
        <w:t>A list of point and nonpoint source discharges;</w:t>
      </w:r>
    </w:p>
    <w:p w:rsidR="00485094" w:rsidRPr="00492CE5" w:rsidRDefault="00485094" w:rsidP="00B215C8">
      <w:pPr>
        <w:pStyle w:val="Bullet"/>
        <w:rPr>
          <w:snapToGrid w:val="0"/>
          <w:sz w:val="22"/>
          <w:szCs w:val="22"/>
        </w:rPr>
      </w:pPr>
      <w:r w:rsidRPr="00492CE5">
        <w:rPr>
          <w:snapToGrid w:val="0"/>
          <w:sz w:val="22"/>
          <w:szCs w:val="22"/>
        </w:rPr>
        <w:t>Restoration strategies;</w:t>
      </w:r>
    </w:p>
    <w:p w:rsidR="00485094" w:rsidRPr="00492CE5" w:rsidRDefault="00485094" w:rsidP="00B215C8">
      <w:pPr>
        <w:pStyle w:val="Bullet"/>
        <w:rPr>
          <w:snapToGrid w:val="0"/>
          <w:sz w:val="22"/>
          <w:szCs w:val="22"/>
        </w:rPr>
      </w:pPr>
      <w:r w:rsidRPr="00492CE5">
        <w:rPr>
          <w:snapToGrid w:val="0"/>
          <w:sz w:val="22"/>
          <w:szCs w:val="22"/>
        </w:rPr>
        <w:t>Research or feasibility studies needed to support restoration strategies;</w:t>
      </w:r>
    </w:p>
    <w:p w:rsidR="00485094" w:rsidRPr="00492CE5" w:rsidRDefault="00485094" w:rsidP="00B215C8">
      <w:pPr>
        <w:pStyle w:val="Bullet"/>
        <w:rPr>
          <w:snapToGrid w:val="0"/>
          <w:sz w:val="22"/>
          <w:szCs w:val="22"/>
        </w:rPr>
      </w:pPr>
      <w:r w:rsidRPr="00492CE5">
        <w:rPr>
          <w:snapToGrid w:val="0"/>
          <w:sz w:val="22"/>
          <w:szCs w:val="22"/>
        </w:rPr>
        <w:t>A restoration schedule;</w:t>
      </w:r>
    </w:p>
    <w:p w:rsidR="00485094" w:rsidRPr="00492CE5" w:rsidRDefault="00485094" w:rsidP="00B215C8">
      <w:pPr>
        <w:pStyle w:val="Bullet"/>
        <w:rPr>
          <w:snapToGrid w:val="0"/>
          <w:sz w:val="22"/>
          <w:szCs w:val="22"/>
        </w:rPr>
      </w:pPr>
      <w:r w:rsidRPr="00492CE5">
        <w:rPr>
          <w:snapToGrid w:val="0"/>
          <w:sz w:val="22"/>
          <w:szCs w:val="22"/>
        </w:rPr>
        <w:t>An estimate of costs; and</w:t>
      </w:r>
    </w:p>
    <w:p w:rsidR="00485094" w:rsidRPr="00492CE5" w:rsidRDefault="00485094" w:rsidP="00B215C8">
      <w:pPr>
        <w:pStyle w:val="Bullet"/>
        <w:rPr>
          <w:snapToGrid w:val="0"/>
          <w:sz w:val="22"/>
          <w:szCs w:val="22"/>
        </w:rPr>
      </w:pPr>
      <w:r w:rsidRPr="00492CE5">
        <w:rPr>
          <w:snapToGrid w:val="0"/>
          <w:sz w:val="22"/>
          <w:szCs w:val="22"/>
        </w:rPr>
        <w:t>Plans for interagency coordination and environmental education.</w:t>
      </w:r>
    </w:p>
    <w:p w:rsidR="00485094" w:rsidRPr="00492CE5" w:rsidRDefault="00485094" w:rsidP="00B215C8">
      <w:pPr>
        <w:pStyle w:val="Bodytextreduced"/>
        <w:rPr>
          <w:snapToGrid w:val="0"/>
        </w:rPr>
      </w:pPr>
    </w:p>
    <w:p w:rsidR="00485094" w:rsidRDefault="00485094" w:rsidP="00DF1A46">
      <w:pPr>
        <w:pStyle w:val="Heading4"/>
        <w:rPr>
          <w:snapToGrid w:val="0"/>
        </w:rPr>
      </w:pPr>
      <w:r w:rsidRPr="00E40754">
        <w:rPr>
          <w:snapToGrid w:val="0"/>
        </w:rPr>
        <w:t>Pollutant Load Reduction Goals</w:t>
      </w:r>
    </w:p>
    <w:p w:rsidR="00485094" w:rsidRPr="00492CE5" w:rsidRDefault="00485094" w:rsidP="00B215C8">
      <w:pPr>
        <w:pStyle w:val="Bodytext"/>
        <w:rPr>
          <w:snapToGrid w:val="0"/>
          <w:szCs w:val="22"/>
        </w:rPr>
      </w:pPr>
      <w:r w:rsidRPr="00492CE5">
        <w:rPr>
          <w:snapToGrid w:val="0"/>
          <w:szCs w:val="22"/>
        </w:rPr>
        <w:t>A pollutant load reduction goal (PLRG) is an estimated reduction in stormwater pollutant loadings needed to preserve or restore designated uses in SWIM waterbodies that receive stormwater.  Ultimately, water quality in a receiving water should meet state water quality standards, and PLRGs provide benchmarks toward which specific strategies can be directed.  Interim PLRGs are best-judgment estimates of the pollution reductions from specific corrective actions.  Final PLRGs are goals needed to maintain water quality standards.</w:t>
      </w:r>
    </w:p>
    <w:p w:rsidR="00485094" w:rsidRPr="00492CE5" w:rsidRDefault="00485094" w:rsidP="00B215C8">
      <w:pPr>
        <w:pStyle w:val="Bodytext"/>
        <w:rPr>
          <w:snapToGrid w:val="0"/>
          <w:szCs w:val="22"/>
        </w:rPr>
      </w:pPr>
    </w:p>
    <w:p w:rsidR="00485094" w:rsidRPr="000615B5" w:rsidRDefault="00485094" w:rsidP="00B215C8">
      <w:pPr>
        <w:pStyle w:val="Bodytext"/>
      </w:pPr>
      <w:r w:rsidRPr="000615B5">
        <w:rPr>
          <w:snapToGrid w:val="0"/>
        </w:rPr>
        <w:t>The Water Resource Implementation Rule (</w:t>
      </w:r>
      <w:r>
        <w:rPr>
          <w:snapToGrid w:val="0"/>
        </w:rPr>
        <w:t>Chapter</w:t>
      </w:r>
      <w:r w:rsidRPr="000615B5">
        <w:rPr>
          <w:snapToGrid w:val="0"/>
        </w:rPr>
        <w:t xml:space="preserve"> 62-40, F.A.C.) requires the water management districts to establish PLRGs for SWIM priority waters and other waterbodies, and include them as part of a SWIM plan, other watershed management plan, or district</w:t>
      </w:r>
      <w:r>
        <w:rPr>
          <w:snapToGrid w:val="0"/>
        </w:rPr>
        <w:t>-</w:t>
      </w:r>
      <w:r w:rsidRPr="000615B5">
        <w:rPr>
          <w:snapToGrid w:val="0"/>
        </w:rPr>
        <w:t>wide or basin-specific rules.</w:t>
      </w:r>
    </w:p>
    <w:p w:rsidR="00485094" w:rsidRPr="000615B5" w:rsidRDefault="00485094" w:rsidP="00B215C8">
      <w:pPr>
        <w:pStyle w:val="Bodytext"/>
      </w:pPr>
    </w:p>
    <w:p w:rsidR="00485094" w:rsidRDefault="00485094" w:rsidP="00DF1A46">
      <w:pPr>
        <w:pStyle w:val="Heading3"/>
      </w:pPr>
      <w:bookmarkStart w:id="770" w:name="_Toc271794413"/>
      <w:r>
        <w:t>Point Source Control Program</w:t>
      </w:r>
      <w:bookmarkEnd w:id="770"/>
    </w:p>
    <w:p w:rsidR="00485094" w:rsidRPr="000615B5" w:rsidRDefault="00485094" w:rsidP="00B215C8">
      <w:pPr>
        <w:pStyle w:val="Bodytext"/>
        <w:rPr>
          <w:snapToGrid w:val="0"/>
        </w:rPr>
      </w:pPr>
      <w:r w:rsidRPr="000615B5">
        <w:rPr>
          <w:snapToGrid w:val="0"/>
        </w:rPr>
        <w:t xml:space="preserve">Florida's well-established wastewater facility </w:t>
      </w:r>
      <w:r>
        <w:rPr>
          <w:snapToGrid w:val="0"/>
        </w:rPr>
        <w:t>regulatory</w:t>
      </w:r>
      <w:r w:rsidRPr="000615B5">
        <w:rPr>
          <w:snapToGrid w:val="0"/>
        </w:rPr>
        <w:t xml:space="preserve"> program was revised in 1995 when the EPA authorized FDEP to administer a partial NPDES Program, and then expanded again in 2000 when the EPA authorized FDEP to administer the NPDES </w:t>
      </w:r>
      <w:r>
        <w:rPr>
          <w:snapToGrid w:val="0"/>
        </w:rPr>
        <w:t>s</w:t>
      </w:r>
      <w:r w:rsidRPr="000615B5">
        <w:rPr>
          <w:snapToGrid w:val="0"/>
        </w:rPr>
        <w:t xml:space="preserve">tormwater </w:t>
      </w:r>
      <w:r>
        <w:rPr>
          <w:snapToGrid w:val="0"/>
        </w:rPr>
        <w:t>p</w:t>
      </w:r>
      <w:r w:rsidRPr="000615B5">
        <w:rPr>
          <w:snapToGrid w:val="0"/>
        </w:rPr>
        <w:t xml:space="preserve">rogram.  While the federal program only regulates discharges to surface waters, the state wastewater program issues permits for facilities that discharge to either surface water or ground water.  Of </w:t>
      </w:r>
      <w:r>
        <w:rPr>
          <w:snapToGrid w:val="0"/>
        </w:rPr>
        <w:t xml:space="preserve">about </w:t>
      </w:r>
      <w:r w:rsidRPr="000615B5">
        <w:rPr>
          <w:snapToGrid w:val="0"/>
        </w:rPr>
        <w:t>4,</w:t>
      </w:r>
      <w:r>
        <w:rPr>
          <w:snapToGrid w:val="0"/>
        </w:rPr>
        <w:t>500</w:t>
      </w:r>
      <w:r w:rsidRPr="000615B5">
        <w:rPr>
          <w:snapToGrid w:val="0"/>
        </w:rPr>
        <w:t xml:space="preserve"> wastewater facilities in Florida, </w:t>
      </w:r>
      <w:r>
        <w:rPr>
          <w:snapToGrid w:val="0"/>
        </w:rPr>
        <w:t xml:space="preserve">approximately </w:t>
      </w:r>
      <w:r w:rsidRPr="000615B5">
        <w:rPr>
          <w:snapToGrid w:val="0"/>
        </w:rPr>
        <w:t>5</w:t>
      </w:r>
      <w:r>
        <w:rPr>
          <w:snapToGrid w:val="0"/>
        </w:rPr>
        <w:t>00</w:t>
      </w:r>
      <w:r w:rsidRPr="000615B5">
        <w:rPr>
          <w:snapToGrid w:val="0"/>
        </w:rPr>
        <w:t xml:space="preserve"> are permitted to discharge to state surface waters under individual permits</w:t>
      </w:r>
      <w:r>
        <w:rPr>
          <w:snapToGrid w:val="0"/>
        </w:rPr>
        <w:t xml:space="preserve">.  </w:t>
      </w:r>
      <w:r w:rsidRPr="000615B5">
        <w:rPr>
          <w:snapToGrid w:val="0"/>
        </w:rPr>
        <w:t xml:space="preserve">While an additional </w:t>
      </w:r>
      <w:r>
        <w:rPr>
          <w:snapToGrid w:val="0"/>
        </w:rPr>
        <w:t>500</w:t>
      </w:r>
      <w:r w:rsidRPr="000615B5">
        <w:rPr>
          <w:snapToGrid w:val="0"/>
        </w:rPr>
        <w:t xml:space="preserve"> facilities discharge to surface water under general </w:t>
      </w:r>
      <w:r>
        <w:rPr>
          <w:snapToGrid w:val="0"/>
        </w:rPr>
        <w:t xml:space="preserve">(called generic) </w:t>
      </w:r>
      <w:r w:rsidRPr="000615B5">
        <w:rPr>
          <w:snapToGrid w:val="0"/>
        </w:rPr>
        <w:t xml:space="preserve">permit authorization (and many others discharge </w:t>
      </w:r>
      <w:r w:rsidRPr="000615B5">
        <w:rPr>
          <w:snapToGrid w:val="0"/>
        </w:rPr>
        <w:lastRenderedPageBreak/>
        <w:t xml:space="preserve">stormwater to surface water under the NPDES </w:t>
      </w:r>
      <w:r>
        <w:rPr>
          <w:snapToGrid w:val="0"/>
        </w:rPr>
        <w:t>S</w:t>
      </w:r>
      <w:r w:rsidRPr="000615B5">
        <w:rPr>
          <w:snapToGrid w:val="0"/>
        </w:rPr>
        <w:t xml:space="preserve">tormwater </w:t>
      </w:r>
      <w:r>
        <w:rPr>
          <w:snapToGrid w:val="0"/>
        </w:rPr>
        <w:t>P</w:t>
      </w:r>
      <w:r w:rsidRPr="000615B5">
        <w:rPr>
          <w:snapToGrid w:val="0"/>
        </w:rPr>
        <w:t>rogram), most wastewater facilities in Florida discharge</w:t>
      </w:r>
      <w:r>
        <w:rPr>
          <w:snapToGrid w:val="0"/>
        </w:rPr>
        <w:t xml:space="preserve"> indirectly</w:t>
      </w:r>
      <w:r w:rsidRPr="000615B5">
        <w:rPr>
          <w:snapToGrid w:val="0"/>
        </w:rPr>
        <w:t xml:space="preserve"> to ground water</w:t>
      </w:r>
      <w:r>
        <w:rPr>
          <w:snapToGrid w:val="0"/>
        </w:rPr>
        <w:t xml:space="preserve"> via land application or reuse</w:t>
      </w:r>
      <w:r w:rsidRPr="000615B5">
        <w:rPr>
          <w:snapToGrid w:val="0"/>
        </w:rPr>
        <w:t>.</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t xml:space="preserve">An important component of Florida’s wastewater management is the encouragement and promotion of reuse.  </w:t>
      </w:r>
      <w:r>
        <w:t xml:space="preserve">Florida leads the nation in reuse.  </w:t>
      </w:r>
      <w:r w:rsidRPr="000615B5">
        <w:t>In fact, the current reuse capacity (200</w:t>
      </w:r>
      <w:r>
        <w:t>8</w:t>
      </w:r>
      <w:r w:rsidRPr="000615B5">
        <w:t xml:space="preserve"> data) represents about </w:t>
      </w:r>
      <w:r>
        <w:t>64%</w:t>
      </w:r>
      <w:r w:rsidRPr="000615B5">
        <w:t xml:space="preserve"> of the total permitted domestic wastewater treatment capacity in Florida.</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FDEP's</w:t>
      </w:r>
      <w:r>
        <w:rPr>
          <w:snapToGrid w:val="0"/>
        </w:rPr>
        <w:t xml:space="preserve"> six</w:t>
      </w:r>
      <w:r w:rsidRPr="000615B5">
        <w:rPr>
          <w:snapToGrid w:val="0"/>
        </w:rPr>
        <w:t xml:space="preserve"> district offices handle most of the permitting process, with the Tallahassee office overseeing the program, </w:t>
      </w:r>
      <w:r>
        <w:rPr>
          <w:snapToGrid w:val="0"/>
        </w:rPr>
        <w:t xml:space="preserve">conducting rulemaking, </w:t>
      </w:r>
      <w:r w:rsidRPr="000615B5">
        <w:rPr>
          <w:snapToGrid w:val="0"/>
        </w:rPr>
        <w:t xml:space="preserve">providing technical assistance, </w:t>
      </w:r>
      <w:r>
        <w:rPr>
          <w:snapToGrid w:val="0"/>
        </w:rPr>
        <w:t xml:space="preserve">managing the state and federal wastewater databases that are the repositories of all program data, </w:t>
      </w:r>
      <w:r w:rsidRPr="000615B5">
        <w:rPr>
          <w:snapToGrid w:val="0"/>
        </w:rPr>
        <w:t xml:space="preserve">and coordinating with the EPA.  </w:t>
      </w:r>
      <w:r w:rsidRPr="00D142B3">
        <w:rPr>
          <w:snapToGrid w:val="0"/>
        </w:rPr>
        <w:t>The Tallahassee office also oversees the administrative relief mechanisms for applicants that are allowed under Florida law, as well as permits for steam electric–generating power plants that discharge to waters of the state, and the implementation of the pretreatment component of the NPDES Program.</w:t>
      </w:r>
      <w:r w:rsidRPr="000615B5">
        <w:rPr>
          <w:snapToGrid w:val="0"/>
        </w:rPr>
        <w:t xml:space="preserve">  Wastewater permits, issued for up to five years, set effluent limits and monitoring requirements to provide reasonable assurance that water quality criteria will be met.  A permit may allow a mixing zone when there is enough dilution to ensure that a waterbody's designated use will not be affected.  In other special cases, a variance allows certain water quality standards to be exceeded</w:t>
      </w:r>
      <w:r>
        <w:rPr>
          <w:snapToGrid w:val="0"/>
        </w:rPr>
        <w:t xml:space="preserve"> temporarily</w:t>
      </w:r>
      <w:r w:rsidRPr="000615B5">
        <w:rPr>
          <w:snapToGrid w:val="0"/>
        </w:rPr>
        <w:t>.  Facilities that cannot comply with new requirements may be issued or reissued a permit containing the effluent limitations to be met and an administrative order setting out the steps required to achieve compliance.  This procedure applies only to facilities complying with an existing permit, and is not used in lieu of enforcement when a permittee is out of compliance with an existing permit or operating without a required permit.</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All facilities must meet, at a minimum,</w:t>
      </w:r>
      <w:r w:rsidR="00550C22">
        <w:rPr>
          <w:snapToGrid w:val="0"/>
        </w:rPr>
        <w:t xml:space="preserve"> the</w:t>
      </w:r>
      <w:r w:rsidRPr="000615B5">
        <w:rPr>
          <w:snapToGrid w:val="0"/>
        </w:rPr>
        <w:t xml:space="preserve"> appropriate technology-based effluent limitations.  In many cases, water quality–based effluent limitations (WQBELs) may also be necessary.  Two types of WQBELs are used (as defined in </w:t>
      </w:r>
      <w:r>
        <w:rPr>
          <w:snapToGrid w:val="0"/>
        </w:rPr>
        <w:t>Chapter</w:t>
      </w:r>
      <w:r w:rsidRPr="000615B5">
        <w:rPr>
          <w:snapToGrid w:val="0"/>
        </w:rPr>
        <w:t xml:space="preserve"> 62-650, F.A.C.).  Level I WQBELs are generally based on more simplified evaluations for streams and for permit renewals.  To determine Level II WQBELs, which are typically calculated for more complicated situations, a waterbody is generally sampled intensively</w:t>
      </w:r>
      <w:r>
        <w:rPr>
          <w:snapToGrid w:val="0"/>
        </w:rPr>
        <w:t>,</w:t>
      </w:r>
      <w:r w:rsidRPr="000615B5">
        <w:rPr>
          <w:snapToGrid w:val="0"/>
        </w:rPr>
        <w:t xml:space="preserve"> and computer models are used to predict its response to </w:t>
      </w:r>
      <w:r>
        <w:rPr>
          <w:snapToGrid w:val="0"/>
        </w:rPr>
        <w:t>a</w:t>
      </w:r>
      <w:r w:rsidRPr="000615B5">
        <w:rPr>
          <w:snapToGrid w:val="0"/>
        </w:rPr>
        <w:t xml:space="preserve"> facility’s discharge.</w:t>
      </w:r>
    </w:p>
    <w:p w:rsidR="00485094" w:rsidRPr="000615B5" w:rsidRDefault="00485094" w:rsidP="00B215C8">
      <w:pPr>
        <w:pStyle w:val="Bodytext"/>
        <w:rPr>
          <w:i/>
          <w:snapToGrid w:val="0"/>
        </w:rPr>
      </w:pPr>
    </w:p>
    <w:p w:rsidR="00485094" w:rsidRDefault="00485094" w:rsidP="00DF1A46">
      <w:pPr>
        <w:pStyle w:val="Heading4"/>
      </w:pPr>
      <w:r w:rsidRPr="00E40754">
        <w:t>Permit Compliance</w:t>
      </w:r>
    </w:p>
    <w:p w:rsidR="00485094" w:rsidRDefault="00485094" w:rsidP="00B215C8">
      <w:pPr>
        <w:pStyle w:val="Bodytext"/>
        <w:rPr>
          <w:snapToGrid w:val="0"/>
        </w:rPr>
      </w:pPr>
      <w:r>
        <w:t xml:space="preserve">The primary objective of FDEP’s </w:t>
      </w:r>
      <w:hyperlink r:id="rId182" w:history="1">
        <w:r w:rsidRPr="00B51A6B">
          <w:rPr>
            <w:rStyle w:val="Hyperlink"/>
          </w:rPr>
          <w:t>Wastewater Program</w:t>
        </w:r>
      </w:hyperlink>
      <w:r>
        <w:rPr>
          <w:snapToGrid w:val="0"/>
        </w:rPr>
        <w:t xml:space="preserve"> </w:t>
      </w:r>
      <w:r w:rsidRPr="000615B5">
        <w:rPr>
          <w:snapToGrid w:val="0"/>
        </w:rPr>
        <w:t xml:space="preserve">is to protect the quality of Florida's surface </w:t>
      </w:r>
      <w:r>
        <w:rPr>
          <w:snapToGrid w:val="0"/>
        </w:rPr>
        <w:t xml:space="preserve">water </w:t>
      </w:r>
      <w:r w:rsidRPr="000615B5">
        <w:rPr>
          <w:snapToGrid w:val="0"/>
        </w:rPr>
        <w:t xml:space="preserve">and ground water by </w:t>
      </w:r>
      <w:r>
        <w:rPr>
          <w:snapToGrid w:val="0"/>
        </w:rPr>
        <w:t xml:space="preserve">ensuring that permitted wastewater facilities meet the conditions of their permits and to quickly </w:t>
      </w:r>
      <w:r w:rsidRPr="000615B5">
        <w:rPr>
          <w:snapToGrid w:val="0"/>
        </w:rPr>
        <w:t xml:space="preserve">identify </w:t>
      </w:r>
      <w:r>
        <w:rPr>
          <w:snapToGrid w:val="0"/>
        </w:rPr>
        <w:t xml:space="preserve">unpermitted </w:t>
      </w:r>
      <w:r w:rsidRPr="000615B5">
        <w:rPr>
          <w:snapToGrid w:val="0"/>
        </w:rPr>
        <w:t xml:space="preserve">pollution sources </w:t>
      </w:r>
      <w:r>
        <w:rPr>
          <w:snapToGrid w:val="0"/>
        </w:rPr>
        <w:t>and those facilities that</w:t>
      </w:r>
      <w:r w:rsidRPr="000615B5">
        <w:rPr>
          <w:snapToGrid w:val="0"/>
        </w:rPr>
        <w:t xml:space="preserve"> do not meet water quality standards or specific permit conditions.  To </w:t>
      </w:r>
      <w:r>
        <w:rPr>
          <w:snapToGrid w:val="0"/>
        </w:rPr>
        <w:t xml:space="preserve">provide proper oversight of </w:t>
      </w:r>
      <w:r w:rsidRPr="000615B5">
        <w:rPr>
          <w:snapToGrid w:val="0"/>
        </w:rPr>
        <w:t>the wastewater facilit</w:t>
      </w:r>
      <w:r>
        <w:rPr>
          <w:snapToGrid w:val="0"/>
        </w:rPr>
        <w:t>ie</w:t>
      </w:r>
      <w:r w:rsidRPr="000615B5">
        <w:rPr>
          <w:snapToGrid w:val="0"/>
        </w:rPr>
        <w:t>s</w:t>
      </w:r>
      <w:r>
        <w:rPr>
          <w:snapToGrid w:val="0"/>
        </w:rPr>
        <w:t xml:space="preserve"> in the state, FDEP’s</w:t>
      </w:r>
      <w:r w:rsidRPr="000615B5">
        <w:rPr>
          <w:snapToGrid w:val="0"/>
        </w:rPr>
        <w:t xml:space="preserve"> </w:t>
      </w:r>
      <w:r>
        <w:rPr>
          <w:snapToGrid w:val="0"/>
        </w:rPr>
        <w:t xml:space="preserve">Wastewater Compliance Evaluation Section developed a </w:t>
      </w:r>
      <w:r w:rsidRPr="000615B5">
        <w:rPr>
          <w:snapToGrid w:val="0"/>
        </w:rPr>
        <w:t xml:space="preserve">compliance </w:t>
      </w:r>
      <w:r>
        <w:rPr>
          <w:snapToGrid w:val="0"/>
        </w:rPr>
        <w:t xml:space="preserve">inspection </w:t>
      </w:r>
      <w:r w:rsidRPr="000615B5">
        <w:rPr>
          <w:snapToGrid w:val="0"/>
        </w:rPr>
        <w:t>strategy</w:t>
      </w:r>
      <w:r>
        <w:rPr>
          <w:snapToGrid w:val="0"/>
        </w:rPr>
        <w:t xml:space="preserve"> based on its five-year permitting cycle (permits are issued for five years).  </w:t>
      </w:r>
    </w:p>
    <w:p w:rsidR="00485094" w:rsidRDefault="00485094" w:rsidP="00B215C8">
      <w:pPr>
        <w:pStyle w:val="Bodytext"/>
        <w:rPr>
          <w:snapToGrid w:val="0"/>
        </w:rPr>
      </w:pPr>
    </w:p>
    <w:p w:rsidR="00485094" w:rsidRPr="000615B5" w:rsidRDefault="00485094" w:rsidP="00B215C8">
      <w:pPr>
        <w:pStyle w:val="Bodytext"/>
        <w:rPr>
          <w:snapToGrid w:val="0"/>
        </w:rPr>
      </w:pPr>
      <w:r>
        <w:rPr>
          <w:snapToGrid w:val="0"/>
        </w:rPr>
        <w:t xml:space="preserve">For NPDES-permitted facilities, the goal is to conduct an annual inspection with at least a Compliance Evaluation Inspection (CEI) and to conduct a Performance Audit Inspection (PAI) immediately following permit renewal.  When an NPDES-permitted facility is approximately one year away from submitting a permit renewal application, a much more comprehensive inspection, or Fifth Year Inspection (FYI), is scheduled.  The FYI consists of an overview of the facilities operation, but also includes an in-depth sampling plan consisting of a Compliance Sampling Inspection (CSI), Toxic Sampling Inspection (XSI), Compliance Biomonitoring Inspection (CBI), Impact Bioassessment (IBI), and Water Quality Inspection (WQI).  The results </w:t>
      </w:r>
      <w:r>
        <w:rPr>
          <w:snapToGrid w:val="0"/>
        </w:rPr>
        <w:lastRenderedPageBreak/>
        <w:t xml:space="preserve">of these inspections help to determine if current permit limits are adequate to protect the quality of the receiving waters.  Land application facilities are also inspected annually as resources allow; however, they are not subject to the same sampling intensity as the surface water dischargers. </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District compliance and enforcement staff make every effort to work with permittee</w:t>
      </w:r>
      <w:r>
        <w:rPr>
          <w:snapToGrid w:val="0"/>
        </w:rPr>
        <w:t>s</w:t>
      </w:r>
      <w:r w:rsidRPr="000615B5">
        <w:rPr>
          <w:snapToGrid w:val="0"/>
        </w:rPr>
        <w:t xml:space="preserve"> to resolve minor problems before beginning </w:t>
      </w:r>
      <w:r>
        <w:rPr>
          <w:snapToGrid w:val="0"/>
        </w:rPr>
        <w:t xml:space="preserve">a </w:t>
      </w:r>
      <w:r w:rsidRPr="000615B5">
        <w:rPr>
          <w:snapToGrid w:val="0"/>
        </w:rPr>
        <w:t xml:space="preserve">formal enforcement action.  During </w:t>
      </w:r>
      <w:r>
        <w:rPr>
          <w:snapToGrid w:val="0"/>
        </w:rPr>
        <w:t xml:space="preserve">an </w:t>
      </w:r>
      <w:r w:rsidRPr="000615B5">
        <w:rPr>
          <w:snapToGrid w:val="0"/>
        </w:rPr>
        <w:t xml:space="preserve">inspection, it is the </w:t>
      </w:r>
      <w:r>
        <w:rPr>
          <w:snapToGrid w:val="0"/>
        </w:rPr>
        <w:t xml:space="preserve">inspector’s responsibility </w:t>
      </w:r>
      <w:r w:rsidRPr="000615B5">
        <w:rPr>
          <w:snapToGrid w:val="0"/>
        </w:rPr>
        <w:t xml:space="preserve">to determine </w:t>
      </w:r>
      <w:r>
        <w:rPr>
          <w:snapToGrid w:val="0"/>
        </w:rPr>
        <w:t xml:space="preserve">if </w:t>
      </w:r>
      <w:r w:rsidRPr="000615B5">
        <w:rPr>
          <w:snapToGrid w:val="0"/>
        </w:rPr>
        <w:t>a facility</w:t>
      </w:r>
      <w:r>
        <w:rPr>
          <w:snapToGrid w:val="0"/>
        </w:rPr>
        <w:t xml:space="preserve"> is in</w:t>
      </w:r>
      <w:r w:rsidRPr="000615B5">
        <w:rPr>
          <w:snapToGrid w:val="0"/>
        </w:rPr>
        <w:t xml:space="preserve"> compliance with</w:t>
      </w:r>
      <w:r>
        <w:rPr>
          <w:snapToGrid w:val="0"/>
        </w:rPr>
        <w:t xml:space="preserve"> its permit limits and </w:t>
      </w:r>
      <w:r w:rsidRPr="000615B5">
        <w:rPr>
          <w:snapToGrid w:val="0"/>
        </w:rPr>
        <w:t xml:space="preserve">compliance schedules.  </w:t>
      </w:r>
      <w:r>
        <w:rPr>
          <w:snapToGrid w:val="0"/>
        </w:rPr>
        <w:t xml:space="preserve">This is accomplished by </w:t>
      </w:r>
      <w:r w:rsidRPr="000615B5">
        <w:rPr>
          <w:snapToGrid w:val="0"/>
        </w:rPr>
        <w:t>verify</w:t>
      </w:r>
      <w:r>
        <w:rPr>
          <w:snapToGrid w:val="0"/>
        </w:rPr>
        <w:t xml:space="preserve">ing </w:t>
      </w:r>
      <w:r w:rsidRPr="000615B5">
        <w:rPr>
          <w:snapToGrid w:val="0"/>
        </w:rPr>
        <w:t>the accuracy of facility records and reports, plant operation and maintenance requirements, effluent quality data</w:t>
      </w:r>
      <w:r>
        <w:rPr>
          <w:snapToGrid w:val="0"/>
        </w:rPr>
        <w:t xml:space="preserve"> (Discharge Monitoring Reports, or DMRs)</w:t>
      </w:r>
      <w:r w:rsidRPr="000615B5">
        <w:rPr>
          <w:snapToGrid w:val="0"/>
        </w:rPr>
        <w:t xml:space="preserve">, and the general reliability of the </w:t>
      </w:r>
      <w:r>
        <w:rPr>
          <w:snapToGrid w:val="0"/>
        </w:rPr>
        <w:t xml:space="preserve">facility’s </w:t>
      </w:r>
      <w:r w:rsidRPr="000615B5">
        <w:rPr>
          <w:snapToGrid w:val="0"/>
        </w:rPr>
        <w:t>self-monitoring program.</w:t>
      </w:r>
    </w:p>
    <w:p w:rsidR="00485094" w:rsidRPr="000615B5" w:rsidRDefault="00485094" w:rsidP="00B215C8">
      <w:pPr>
        <w:pStyle w:val="Bodytext"/>
        <w:rPr>
          <w:snapToGrid w:val="0"/>
        </w:rPr>
      </w:pPr>
    </w:p>
    <w:p w:rsidR="00485094" w:rsidRDefault="00485094" w:rsidP="00DF1A46">
      <w:pPr>
        <w:pStyle w:val="Heading4"/>
      </w:pPr>
      <w:r w:rsidRPr="00E40754">
        <w:t>Enforcement</w:t>
      </w:r>
    </w:p>
    <w:p w:rsidR="00485094" w:rsidRPr="000615B5" w:rsidRDefault="00485094" w:rsidP="00B215C8">
      <w:pPr>
        <w:pStyle w:val="Bodytext"/>
        <w:rPr>
          <w:snapToGrid w:val="0"/>
        </w:rPr>
      </w:pPr>
      <w:r>
        <w:rPr>
          <w:snapToGrid w:val="0"/>
        </w:rPr>
        <w:t>FDEP’s</w:t>
      </w:r>
      <w:r w:rsidRPr="000615B5">
        <w:rPr>
          <w:snapToGrid w:val="0"/>
        </w:rPr>
        <w:t xml:space="preserve"> </w:t>
      </w:r>
      <w:hyperlink r:id="rId183" w:history="1">
        <w:r w:rsidRPr="00B51A6B">
          <w:rPr>
            <w:rStyle w:val="Hyperlink"/>
          </w:rPr>
          <w:t>Wastewater Program</w:t>
        </w:r>
      </w:hyperlink>
      <w:r>
        <w:rPr>
          <w:snapToGrid w:val="0"/>
        </w:rPr>
        <w:t xml:space="preserve"> uses the Office of General Council’s Enforcement Manual as a guide for developing specific types of enforcement actions such as Consent Orders and Notices of Violations.  However, in order to provide guidance on specific wastewater issues related directly to the Wastewater Program, the Wastewater Program Enforcement Response Guide was developed to aid inspectors in determining the proper course for corrective actions.  The guide also provides consistency in addressing enforcement actions specifically related to wastewater issues.</w:t>
      </w:r>
    </w:p>
    <w:p w:rsidR="00485094" w:rsidRPr="000615B5" w:rsidRDefault="00485094" w:rsidP="00B215C8">
      <w:pPr>
        <w:pStyle w:val="Bodytext"/>
        <w:rPr>
          <w:snapToGrid w:val="0"/>
        </w:rPr>
      </w:pPr>
    </w:p>
    <w:p w:rsidR="00485094" w:rsidRPr="000615B5" w:rsidRDefault="00485094" w:rsidP="00B215C8">
      <w:pPr>
        <w:pStyle w:val="Bodytext"/>
        <w:rPr>
          <w:snapToGrid w:val="0"/>
        </w:rPr>
      </w:pPr>
      <w:r w:rsidRPr="000615B5">
        <w:rPr>
          <w:snapToGrid w:val="0"/>
        </w:rPr>
        <w:t>When formal enforcement is necessary, staff attempt to negotiate a consent order</w:t>
      </w:r>
      <w:r>
        <w:rPr>
          <w:snapToGrid w:val="0"/>
        </w:rPr>
        <w:t xml:space="preserve">, which is </w:t>
      </w:r>
      <w:r w:rsidRPr="000615B5">
        <w:rPr>
          <w:snapToGrid w:val="0"/>
        </w:rPr>
        <w:t xml:space="preserve">a type of administrative order in which civil penalties (such as fines) </w:t>
      </w:r>
      <w:r>
        <w:rPr>
          <w:snapToGrid w:val="0"/>
        </w:rPr>
        <w:t xml:space="preserve">and corrective actions </w:t>
      </w:r>
      <w:r w:rsidRPr="000615B5">
        <w:rPr>
          <w:snapToGrid w:val="0"/>
        </w:rPr>
        <w:t>for noncompliance can be assessed.  Consent orders also establish step-by-step schedules for complying with permit conditions and Florida law.</w:t>
      </w:r>
    </w:p>
    <w:p w:rsidR="00485094" w:rsidRPr="000615B5" w:rsidRDefault="00485094" w:rsidP="00B215C8">
      <w:pPr>
        <w:pStyle w:val="Bodytext"/>
        <w:rPr>
          <w:snapToGrid w:val="0"/>
        </w:rPr>
      </w:pPr>
    </w:p>
    <w:p w:rsidR="00485094" w:rsidRDefault="00485094" w:rsidP="00B215C8">
      <w:pPr>
        <w:pStyle w:val="Bodytext"/>
        <w:rPr>
          <w:snapToGrid w:val="0"/>
        </w:rPr>
      </w:pPr>
      <w:r>
        <w:t xml:space="preserve">In 2001, the Florida Legislature enacted the Environmental Litigation Reform Act (ELRA) to provide a fair, consistent, and expedient method for determining appropriate penalty amounts for violations.  If a settlement cannot be reached through the consent order process, FDEP has the authority to issue a Notice of Violation (NOV) to collect penalties (up to $10,000), as specified in ELRA.  The NOV can also be used when only corrective actions are needed and no penalties are being sought.  </w:t>
      </w:r>
      <w:r>
        <w:rPr>
          <w:snapToGrid w:val="0"/>
        </w:rPr>
        <w:t>When a serious violation endangers human health or welfare, or the environment, FDEP issues a complaint for injunctive relief or takes other legal action, including an immediate final order for corrective action.</w:t>
      </w:r>
    </w:p>
    <w:p w:rsidR="00485094" w:rsidRDefault="00485094" w:rsidP="00B215C8">
      <w:pPr>
        <w:pStyle w:val="Bodytext"/>
        <w:rPr>
          <w:snapToGrid w:val="0"/>
        </w:rPr>
      </w:pPr>
    </w:p>
    <w:p w:rsidR="00485094" w:rsidRDefault="00485094" w:rsidP="00DF1A46">
      <w:pPr>
        <w:pStyle w:val="Heading3"/>
      </w:pPr>
      <w:bookmarkStart w:id="771" w:name="_Toc271794414"/>
      <w:r>
        <w:t>Nonpoint Source Management Program</w:t>
      </w:r>
      <w:bookmarkEnd w:id="771"/>
    </w:p>
    <w:p w:rsidR="00485094" w:rsidRDefault="00485094" w:rsidP="00B215C8">
      <w:pPr>
        <w:pStyle w:val="BodyText0"/>
        <w:rPr>
          <w:snapToGrid w:val="0"/>
          <w:sz w:val="22"/>
          <w:szCs w:val="22"/>
        </w:rPr>
      </w:pPr>
      <w:r>
        <w:rPr>
          <w:snapToGrid w:val="0"/>
          <w:sz w:val="22"/>
          <w:szCs w:val="22"/>
        </w:rPr>
        <w:t xml:space="preserve">The importance of minimizing nonpoint source pollution, especially from new development, was recognized in Florida in the late 1970s when the state’s growth rate increased greatly.  Over the past 25 years, Florida has implemented one of the most comprehensive and effective nonpoint source management programs in the country.  The </w:t>
      </w:r>
      <w:hyperlink r:id="rId184" w:history="1">
        <w:r w:rsidRPr="00B51A6B">
          <w:rPr>
            <w:rStyle w:val="Hyperlink"/>
            <w:snapToGrid w:val="0"/>
            <w:sz w:val="22"/>
            <w:szCs w:val="22"/>
          </w:rPr>
          <w:t>Nonpoint Source Management Program</w:t>
        </w:r>
      </w:hyperlink>
      <w:r>
        <w:rPr>
          <w:snapToGrid w:val="0"/>
          <w:sz w:val="22"/>
          <w:szCs w:val="22"/>
        </w:rPr>
        <w:t xml:space="preserve"> includes a mixture of regulatory, nonregulatory, land acquisition, public education, and finance assistance components, which are discussed below.</w:t>
      </w:r>
    </w:p>
    <w:p w:rsidR="00485094" w:rsidRDefault="00485094" w:rsidP="00B215C8">
      <w:pPr>
        <w:pStyle w:val="BodyText0"/>
        <w:rPr>
          <w:snapToGrid w:val="0"/>
          <w:sz w:val="22"/>
          <w:szCs w:val="22"/>
        </w:rPr>
      </w:pPr>
    </w:p>
    <w:p w:rsidR="00485094" w:rsidRDefault="00485094" w:rsidP="00DF1A46">
      <w:pPr>
        <w:pStyle w:val="Heading4"/>
        <w:rPr>
          <w:snapToGrid w:val="0"/>
        </w:rPr>
      </w:pPr>
      <w:r>
        <w:rPr>
          <w:snapToGrid w:val="0"/>
        </w:rPr>
        <w:t>Stormwater Rule</w:t>
      </w:r>
    </w:p>
    <w:p w:rsidR="00485094" w:rsidRPr="00492CE5" w:rsidRDefault="00485094" w:rsidP="00B215C8">
      <w:pPr>
        <w:pStyle w:val="BodyText0"/>
        <w:rPr>
          <w:snapToGrid w:val="0"/>
          <w:sz w:val="22"/>
          <w:szCs w:val="22"/>
        </w:rPr>
      </w:pPr>
      <w:r>
        <w:rPr>
          <w:snapToGrid w:val="0"/>
          <w:sz w:val="22"/>
          <w:szCs w:val="22"/>
        </w:rPr>
        <w:t xml:space="preserve">The cornerstone of Florida’s nonpoint source program is the state Stormwater Rule.  Florida was the first state in the country to establish a statewide Stormwater Permitting Program that requires the treatment of stormwater from all new development.  The state’s </w:t>
      </w:r>
      <w:r w:rsidRPr="00492CE5">
        <w:rPr>
          <w:snapToGrid w:val="0"/>
          <w:sz w:val="22"/>
          <w:szCs w:val="22"/>
        </w:rPr>
        <w:t xml:space="preserve">first </w:t>
      </w:r>
      <w:r>
        <w:rPr>
          <w:snapToGrid w:val="0"/>
          <w:sz w:val="22"/>
          <w:szCs w:val="22"/>
        </w:rPr>
        <w:t>S</w:t>
      </w:r>
      <w:r w:rsidRPr="00492CE5">
        <w:rPr>
          <w:snapToGrid w:val="0"/>
          <w:sz w:val="22"/>
          <w:szCs w:val="22"/>
        </w:rPr>
        <w:t xml:space="preserve">tormwater </w:t>
      </w:r>
      <w:r>
        <w:rPr>
          <w:snapToGrid w:val="0"/>
          <w:sz w:val="22"/>
          <w:szCs w:val="22"/>
        </w:rPr>
        <w:lastRenderedPageBreak/>
        <w:t>R</w:t>
      </w:r>
      <w:r w:rsidRPr="00492CE5">
        <w:rPr>
          <w:snapToGrid w:val="0"/>
          <w:sz w:val="22"/>
          <w:szCs w:val="22"/>
        </w:rPr>
        <w:t>ule</w:t>
      </w:r>
      <w:r>
        <w:rPr>
          <w:snapToGrid w:val="0"/>
          <w:sz w:val="22"/>
          <w:szCs w:val="22"/>
        </w:rPr>
        <w:t xml:space="preserve"> was adopted</w:t>
      </w:r>
      <w:r w:rsidRPr="00492CE5">
        <w:rPr>
          <w:snapToGrid w:val="0"/>
          <w:sz w:val="22"/>
          <w:szCs w:val="22"/>
        </w:rPr>
        <w:t xml:space="preserve"> in 1979</w:t>
      </w:r>
      <w:r>
        <w:rPr>
          <w:snapToGrid w:val="0"/>
          <w:sz w:val="22"/>
          <w:szCs w:val="22"/>
        </w:rPr>
        <w:t xml:space="preserve">, with a more comprehensive rule going into effect in February 1982.  </w:t>
      </w:r>
      <w:r w:rsidRPr="00492CE5">
        <w:rPr>
          <w:snapToGrid w:val="0"/>
          <w:sz w:val="22"/>
          <w:szCs w:val="22"/>
        </w:rPr>
        <w:t xml:space="preserve">New developments, except for single-family dwellings, and modifications to existing discharges must obtain stormwater permits.  Projects must include a stormwater management system that provides flood control and BMPs such as retention, detention, or wetland filtration to reduce stormwater pollutants.  </w:t>
      </w:r>
      <w:r>
        <w:rPr>
          <w:snapToGrid w:val="0"/>
          <w:sz w:val="22"/>
          <w:szCs w:val="22"/>
        </w:rPr>
        <w:t xml:space="preserve">The Stormwater Rule, a technology-based rule, establishes design criteria for various stormwater treatment BMPs to obtain the minimum level of treatment established in the state’s Water Resource Implementation </w:t>
      </w:r>
      <w:r w:rsidRPr="00CF43C7">
        <w:rPr>
          <w:rStyle w:val="BodytextChar1"/>
          <w:sz w:val="22"/>
        </w:rPr>
        <w:t>Rule (</w:t>
      </w:r>
      <w:r>
        <w:rPr>
          <w:rStyle w:val="BodytextChar1"/>
          <w:sz w:val="22"/>
        </w:rPr>
        <w:t>Chapter 62-40, F.A.C.)</w:t>
      </w:r>
      <w:r w:rsidRPr="00CF43C7">
        <w:rPr>
          <w:rStyle w:val="BodytextChar1"/>
          <w:sz w:val="22"/>
        </w:rPr>
        <w:t>.  Specifically, these BMPs are designed to remove at least 80% of</w:t>
      </w:r>
      <w:r w:rsidRPr="00492CE5">
        <w:rPr>
          <w:snapToGrid w:val="0"/>
          <w:sz w:val="22"/>
          <w:szCs w:val="22"/>
        </w:rPr>
        <w:t xml:space="preserve"> the total suspended solids (TSS) pollutant loading.  For </w:t>
      </w:r>
      <w:r>
        <w:rPr>
          <w:snapToGrid w:val="0"/>
          <w:sz w:val="22"/>
          <w:szCs w:val="22"/>
        </w:rPr>
        <w:t>Outstanding Florida Waters (</w:t>
      </w:r>
      <w:r w:rsidRPr="00492CE5">
        <w:rPr>
          <w:snapToGrid w:val="0"/>
          <w:sz w:val="22"/>
          <w:szCs w:val="22"/>
        </w:rPr>
        <w:t>OFWs</w:t>
      </w:r>
      <w:r>
        <w:rPr>
          <w:snapToGrid w:val="0"/>
          <w:sz w:val="22"/>
          <w:szCs w:val="22"/>
        </w:rPr>
        <w:t>)</w:t>
      </w:r>
      <w:r w:rsidRPr="00492CE5">
        <w:rPr>
          <w:snapToGrid w:val="0"/>
          <w:sz w:val="22"/>
          <w:szCs w:val="22"/>
        </w:rPr>
        <w:t>, some other sensitive waters (such as shellfish-harvesting areas), and waters that are below standards, BMPs must be designed to remove 95</w:t>
      </w:r>
      <w:r>
        <w:rPr>
          <w:snapToGrid w:val="0"/>
          <w:sz w:val="22"/>
          <w:szCs w:val="22"/>
        </w:rPr>
        <w:t>%</w:t>
      </w:r>
      <w:r w:rsidRPr="00492CE5">
        <w:rPr>
          <w:snapToGrid w:val="0"/>
          <w:sz w:val="22"/>
          <w:szCs w:val="22"/>
        </w:rPr>
        <w:t xml:space="preserve"> of the TSS loading.</w:t>
      </w:r>
    </w:p>
    <w:p w:rsidR="00485094" w:rsidRPr="00492CE5" w:rsidRDefault="00485094" w:rsidP="00B215C8">
      <w:pPr>
        <w:pStyle w:val="BodyText0"/>
        <w:rPr>
          <w:snapToGrid w:val="0"/>
          <w:sz w:val="22"/>
          <w:szCs w:val="22"/>
        </w:rPr>
      </w:pPr>
    </w:p>
    <w:p w:rsidR="00485094" w:rsidRPr="00492CE5" w:rsidRDefault="00485094" w:rsidP="00B215C8">
      <w:pPr>
        <w:pStyle w:val="BodyText0"/>
        <w:rPr>
          <w:i/>
          <w:snapToGrid w:val="0"/>
          <w:sz w:val="22"/>
          <w:szCs w:val="22"/>
        </w:rPr>
      </w:pPr>
      <w:r w:rsidRPr="00492CE5">
        <w:rPr>
          <w:snapToGrid w:val="0"/>
          <w:sz w:val="22"/>
          <w:szCs w:val="22"/>
        </w:rPr>
        <w:t xml:space="preserve">A 1989 stormwater law directed FDEP to establish statewide goals for treatment and to oversee the implementation of </w:t>
      </w:r>
      <w:r>
        <w:rPr>
          <w:snapToGrid w:val="0"/>
          <w:sz w:val="22"/>
          <w:szCs w:val="22"/>
        </w:rPr>
        <w:t xml:space="preserve">stormwater </w:t>
      </w:r>
      <w:r w:rsidRPr="00492CE5">
        <w:rPr>
          <w:snapToGrid w:val="0"/>
          <w:sz w:val="22"/>
          <w:szCs w:val="22"/>
        </w:rPr>
        <w:t xml:space="preserve">regulatory programs, which were also delegated to the water management districts.  Delegation allows minor design adjustments for Florida’s diverse landscape. </w:t>
      </w:r>
      <w:r>
        <w:rPr>
          <w:snapToGrid w:val="0"/>
          <w:sz w:val="22"/>
          <w:szCs w:val="22"/>
        </w:rPr>
        <w:t xml:space="preserve"> In 1993, the </w:t>
      </w:r>
      <w:r w:rsidR="00805B69">
        <w:rPr>
          <w:snapToGrid w:val="0"/>
          <w:sz w:val="22"/>
          <w:szCs w:val="22"/>
        </w:rPr>
        <w:t xml:space="preserve">Florida </w:t>
      </w:r>
      <w:r>
        <w:rPr>
          <w:snapToGrid w:val="0"/>
          <w:sz w:val="22"/>
          <w:szCs w:val="22"/>
        </w:rPr>
        <w:t>L</w:t>
      </w:r>
      <w:r w:rsidRPr="00492CE5">
        <w:rPr>
          <w:snapToGrid w:val="0"/>
          <w:sz w:val="22"/>
          <w:szCs w:val="22"/>
        </w:rPr>
        <w:t xml:space="preserve">egislature modified portions of Chapters 373 and 403, F.S., to streamline permitting.  The Wetlands Resource Permit and the Management and Storage of Surface Water (MSSW) Permit were unified into a single Environmental Resource Permit </w:t>
      </w:r>
      <w:r>
        <w:rPr>
          <w:snapToGrid w:val="0"/>
          <w:sz w:val="22"/>
          <w:szCs w:val="22"/>
        </w:rPr>
        <w:t xml:space="preserve">(ERP) </w:t>
      </w:r>
      <w:r w:rsidRPr="00492CE5">
        <w:rPr>
          <w:snapToGrid w:val="0"/>
          <w:sz w:val="22"/>
          <w:szCs w:val="22"/>
        </w:rPr>
        <w:t xml:space="preserve">to </w:t>
      </w:r>
      <w:r>
        <w:rPr>
          <w:snapToGrid w:val="0"/>
          <w:sz w:val="22"/>
          <w:szCs w:val="22"/>
        </w:rPr>
        <w:t>provide for flood control, stormwater treatment, and wetlands protection, and to</w:t>
      </w:r>
      <w:r w:rsidRPr="00492CE5">
        <w:rPr>
          <w:snapToGrid w:val="0"/>
          <w:sz w:val="22"/>
          <w:szCs w:val="22"/>
        </w:rPr>
        <w:t xml:space="preserve"> increase statewide consistency in minimizing the impacts of new land uses.</w:t>
      </w:r>
      <w:r>
        <w:rPr>
          <w:snapToGrid w:val="0"/>
          <w:sz w:val="22"/>
          <w:szCs w:val="22"/>
        </w:rPr>
        <w:t xml:space="preserve">  This permit program was implemented across the state, except in the area served by the Northwest Florida Water Management District.  </w:t>
      </w:r>
      <w:r w:rsidRPr="00F53FCA">
        <w:rPr>
          <w:snapToGrid w:val="0"/>
          <w:sz w:val="22"/>
          <w:szCs w:val="22"/>
        </w:rPr>
        <w:t>In 2006, the Legislature authoriz</w:t>
      </w:r>
      <w:r>
        <w:rPr>
          <w:snapToGrid w:val="0"/>
          <w:sz w:val="22"/>
          <w:szCs w:val="22"/>
        </w:rPr>
        <w:t>ed</w:t>
      </w:r>
      <w:r w:rsidRPr="00F53FCA">
        <w:rPr>
          <w:snapToGrid w:val="0"/>
          <w:sz w:val="22"/>
          <w:szCs w:val="22"/>
        </w:rPr>
        <w:t xml:space="preserve"> the creation of </w:t>
      </w:r>
      <w:r>
        <w:rPr>
          <w:snapToGrid w:val="0"/>
          <w:sz w:val="22"/>
          <w:szCs w:val="22"/>
        </w:rPr>
        <w:t xml:space="preserve">an </w:t>
      </w:r>
      <w:r w:rsidRPr="00F53FCA">
        <w:rPr>
          <w:snapToGrid w:val="0"/>
          <w:sz w:val="22"/>
          <w:szCs w:val="22"/>
        </w:rPr>
        <w:t>E</w:t>
      </w:r>
      <w:r w:rsidR="00805B69">
        <w:rPr>
          <w:snapToGrid w:val="0"/>
          <w:sz w:val="22"/>
          <w:szCs w:val="22"/>
        </w:rPr>
        <w:t>RP</w:t>
      </w:r>
      <w:r>
        <w:rPr>
          <w:snapToGrid w:val="0"/>
          <w:sz w:val="22"/>
          <w:szCs w:val="22"/>
        </w:rPr>
        <w:t xml:space="preserve"> Program in n</w:t>
      </w:r>
      <w:r w:rsidRPr="00F53FCA">
        <w:rPr>
          <w:snapToGrid w:val="0"/>
          <w:sz w:val="22"/>
          <w:szCs w:val="22"/>
        </w:rPr>
        <w:t>orthwest Florida</w:t>
      </w:r>
      <w:r>
        <w:rPr>
          <w:snapToGrid w:val="0"/>
          <w:sz w:val="22"/>
          <w:szCs w:val="22"/>
        </w:rPr>
        <w:t>, and the program was adopted and implemented there in early 2010.</w:t>
      </w:r>
    </w:p>
    <w:p w:rsidR="00485094" w:rsidRDefault="00485094" w:rsidP="00B215C8">
      <w:pPr>
        <w:pStyle w:val="BodyText0"/>
        <w:rPr>
          <w:sz w:val="22"/>
          <w:szCs w:val="22"/>
        </w:rPr>
      </w:pPr>
    </w:p>
    <w:p w:rsidR="00485094" w:rsidRDefault="00485094" w:rsidP="00DF1A46">
      <w:pPr>
        <w:pStyle w:val="Heading4"/>
        <w:rPr>
          <w:snapToGrid w:val="0"/>
        </w:rPr>
      </w:pPr>
      <w:r>
        <w:rPr>
          <w:snapToGrid w:val="0"/>
        </w:rPr>
        <w:t>Wetlands Protection and Permitting</w:t>
      </w:r>
    </w:p>
    <w:p w:rsidR="00485094" w:rsidRDefault="00485094" w:rsidP="00B215C8">
      <w:pPr>
        <w:pStyle w:val="BodyText0"/>
        <w:rPr>
          <w:snapToGrid w:val="0"/>
          <w:sz w:val="22"/>
          <w:szCs w:val="22"/>
        </w:rPr>
      </w:pPr>
      <w:r>
        <w:rPr>
          <w:snapToGrid w:val="0"/>
          <w:sz w:val="22"/>
          <w:szCs w:val="22"/>
        </w:rPr>
        <w:t>A second important nonpoint source regulatory program is the state’s wetlands protection law and permitting program.  This program has been instrumental in minimizing the loss of wetlands, especially isolated wetlands.  Details about this program can be found in later in this chapter, in the section on the Wetlands Program.</w:t>
      </w:r>
    </w:p>
    <w:p w:rsidR="00485094" w:rsidRDefault="00485094" w:rsidP="00B215C8">
      <w:pPr>
        <w:pStyle w:val="BodyText0"/>
        <w:rPr>
          <w:snapToGrid w:val="0"/>
          <w:sz w:val="22"/>
          <w:szCs w:val="22"/>
        </w:rPr>
      </w:pPr>
    </w:p>
    <w:p w:rsidR="00485094" w:rsidRDefault="00485094" w:rsidP="00DF1A46">
      <w:pPr>
        <w:pStyle w:val="Heading4"/>
        <w:rPr>
          <w:snapToGrid w:val="0"/>
        </w:rPr>
      </w:pPr>
      <w:r>
        <w:rPr>
          <w:snapToGrid w:val="0"/>
        </w:rPr>
        <w:t>Best Management Practices</w:t>
      </w:r>
    </w:p>
    <w:p w:rsidR="00485094" w:rsidRDefault="00485094" w:rsidP="00B215C8">
      <w:pPr>
        <w:pStyle w:val="BodyText0"/>
        <w:rPr>
          <w:sz w:val="22"/>
        </w:rPr>
      </w:pPr>
      <w:r>
        <w:rPr>
          <w:snapToGrid w:val="0"/>
          <w:sz w:val="22"/>
          <w:szCs w:val="22"/>
        </w:rPr>
        <w:t xml:space="preserve">As discussed earlier in this chapter (in the section on the Watershed Assessment Program), the FWRA requires FDACS’ Office of Agricultural Water Policy </w:t>
      </w:r>
      <w:r w:rsidR="00A14A31">
        <w:rPr>
          <w:snapToGrid w:val="0"/>
          <w:sz w:val="22"/>
          <w:szCs w:val="22"/>
        </w:rPr>
        <w:t xml:space="preserve">(OAWP) </w:t>
      </w:r>
      <w:r>
        <w:rPr>
          <w:snapToGrid w:val="0"/>
          <w:sz w:val="22"/>
          <w:szCs w:val="22"/>
        </w:rPr>
        <w:t xml:space="preserve">to develop and adopt, by rule, BMPs to reduce agricultural nonpoint source pollution.  FDEP is charged with monitoring the effectiveness of the BMPs.  To date, FDACS has developed and/or adopted BMP manuals for Ridge citrus, Indian River citrus, leatherleaf ferns, silviculture, cow/calf operations, Peace River citrus, vegetable and agronomic crops, container-grown plants, forage grass, tri-county agriculture, south Florida nurseries, and Gulf citrus.  </w:t>
      </w:r>
      <w:r w:rsidRPr="00427548">
        <w:rPr>
          <w:sz w:val="22"/>
        </w:rPr>
        <w:t xml:space="preserve">The BMP rules and the associated BMP manuals that have been adopted are available </w:t>
      </w:r>
      <w:r>
        <w:rPr>
          <w:sz w:val="22"/>
        </w:rPr>
        <w:t xml:space="preserve">on the </w:t>
      </w:r>
      <w:hyperlink r:id="rId185" w:history="1">
        <w:r>
          <w:rPr>
            <w:rStyle w:val="Hyperlink"/>
            <w:sz w:val="22"/>
          </w:rPr>
          <w:t>FDACS O</w:t>
        </w:r>
        <w:r w:rsidRPr="00084DB2">
          <w:rPr>
            <w:rStyle w:val="Hyperlink"/>
            <w:sz w:val="22"/>
          </w:rPr>
          <w:t>ffice of Agricultural Water Policy website</w:t>
        </w:r>
      </w:hyperlink>
      <w:r>
        <w:rPr>
          <w:sz w:val="22"/>
        </w:rPr>
        <w:t>.</w:t>
      </w:r>
    </w:p>
    <w:p w:rsidR="00485094" w:rsidRDefault="00485094" w:rsidP="00B215C8">
      <w:pPr>
        <w:pStyle w:val="BodyText0"/>
        <w:rPr>
          <w:snapToGrid w:val="0"/>
          <w:sz w:val="22"/>
          <w:szCs w:val="22"/>
        </w:rPr>
      </w:pPr>
    </w:p>
    <w:p w:rsidR="00485094" w:rsidRDefault="00485094" w:rsidP="00EE4CFE">
      <w:pPr>
        <w:pStyle w:val="BodyText0"/>
        <w:tabs>
          <w:tab w:val="left" w:pos="7290"/>
        </w:tabs>
        <w:rPr>
          <w:snapToGrid w:val="0"/>
          <w:sz w:val="22"/>
          <w:szCs w:val="22"/>
        </w:rPr>
      </w:pPr>
      <w:r>
        <w:rPr>
          <w:snapToGrid w:val="0"/>
          <w:sz w:val="22"/>
          <w:szCs w:val="22"/>
        </w:rPr>
        <w:t>This nonregulatory program provides agricultural producers with incentives to implement BMPs.  Participation in the program opens the door for state and federal cost-share dollars to implement BMPs, and it provides the landowner with a presumption of compliance that water quality standards are being met.  To participate, landowners must submit a N</w:t>
      </w:r>
      <w:r w:rsidR="00EE4CFE">
        <w:rPr>
          <w:snapToGrid w:val="0"/>
          <w:sz w:val="22"/>
          <w:szCs w:val="22"/>
        </w:rPr>
        <w:t>OI</w:t>
      </w:r>
      <w:r>
        <w:rPr>
          <w:snapToGrid w:val="0"/>
          <w:sz w:val="22"/>
          <w:szCs w:val="22"/>
        </w:rPr>
        <w:t xml:space="preserve"> to FDACS, specifying the lands to be covered, the BMPs to be implemented, the BMP implementation schedule, and the annual tracking requirements such as fertilizer use.</w:t>
      </w:r>
    </w:p>
    <w:p w:rsidR="00485094" w:rsidRDefault="00485094" w:rsidP="00B215C8">
      <w:pPr>
        <w:pStyle w:val="BodyText0"/>
        <w:rPr>
          <w:snapToGrid w:val="0"/>
          <w:sz w:val="22"/>
          <w:szCs w:val="22"/>
        </w:rPr>
      </w:pPr>
    </w:p>
    <w:p w:rsidR="00485094" w:rsidRPr="00C43A75" w:rsidRDefault="00EE4CFE" w:rsidP="00C43A75">
      <w:pPr>
        <w:pStyle w:val="Heading4"/>
      </w:pPr>
      <w:r>
        <w:rPr>
          <w:snapToGrid w:val="0"/>
        </w:rPr>
        <w:br w:type="page"/>
      </w:r>
      <w:r w:rsidR="00485094" w:rsidRPr="00C43A75">
        <w:lastRenderedPageBreak/>
        <w:t>Land Acquisition</w:t>
      </w:r>
    </w:p>
    <w:p w:rsidR="00485094" w:rsidRDefault="00485094" w:rsidP="00B215C8">
      <w:pPr>
        <w:pStyle w:val="BodyText0"/>
        <w:rPr>
          <w:snapToGrid w:val="0"/>
          <w:sz w:val="22"/>
          <w:szCs w:val="22"/>
        </w:rPr>
      </w:pPr>
      <w:r>
        <w:rPr>
          <w:snapToGrid w:val="0"/>
          <w:sz w:val="22"/>
          <w:szCs w:val="22"/>
        </w:rPr>
        <w:t xml:space="preserve">Land acquisition is one of the most important components of Florida’s </w:t>
      </w:r>
      <w:hyperlink r:id="rId186" w:history="1">
        <w:r w:rsidRPr="001936BF">
          <w:rPr>
            <w:rStyle w:val="Hyperlink"/>
            <w:snapToGrid w:val="0"/>
            <w:sz w:val="22"/>
            <w:szCs w:val="22"/>
          </w:rPr>
          <w:t>Nonpoint Source Management Program</w:t>
        </w:r>
      </w:hyperlink>
      <w:r>
        <w:rPr>
          <w:snapToGrid w:val="0"/>
          <w:sz w:val="22"/>
          <w:szCs w:val="22"/>
        </w:rPr>
        <w:t>.  The state’s first environmental land acquisition program was enacted by the Legislature in 1972 (the Environmentally Endangered Lands Act).  In 1981, the Save our Coasts and Save our Rivers Programs were enacted to expand land acquisition.  In 1989, recognizing the importance of accelerating land acquisition, given the state’s rapid population growth, the Preservation 2000 program was enacted.  This decade-long program provided $300 million annually for land acquisition.  In 1999, Preservation 2000 was extended for another decade by the enactment of the Florida Forever Program, which continued the $300 million annual commitment for another decade.  These programs have led to the acquisition of over 1 million acres of sensitive lands.</w:t>
      </w:r>
    </w:p>
    <w:p w:rsidR="00485094" w:rsidRDefault="00485094" w:rsidP="00B215C8">
      <w:pPr>
        <w:pStyle w:val="BodyText0"/>
        <w:rPr>
          <w:snapToGrid w:val="0"/>
          <w:sz w:val="22"/>
          <w:szCs w:val="22"/>
        </w:rPr>
      </w:pPr>
    </w:p>
    <w:p w:rsidR="00485094" w:rsidRDefault="00485094" w:rsidP="00DF1A46">
      <w:pPr>
        <w:pStyle w:val="Heading4"/>
        <w:rPr>
          <w:snapToGrid w:val="0"/>
        </w:rPr>
      </w:pPr>
      <w:r>
        <w:rPr>
          <w:snapToGrid w:val="0"/>
        </w:rPr>
        <w:t>Growth Management</w:t>
      </w:r>
    </w:p>
    <w:p w:rsidR="00485094" w:rsidRDefault="00485094" w:rsidP="00B215C8">
      <w:pPr>
        <w:pStyle w:val="BodyText0"/>
        <w:rPr>
          <w:snapToGrid w:val="0"/>
          <w:sz w:val="22"/>
          <w:szCs w:val="22"/>
        </w:rPr>
      </w:pPr>
      <w:r>
        <w:rPr>
          <w:snapToGrid w:val="0"/>
          <w:sz w:val="22"/>
          <w:szCs w:val="22"/>
        </w:rPr>
        <w:t xml:space="preserve">The state’s growth management program, implemented by the Florida Department of Community Affairs (FDCA) and the state’s local governments, is another key component of Florida’s </w:t>
      </w:r>
      <w:hyperlink r:id="rId187" w:history="1">
        <w:r w:rsidRPr="001936BF">
          <w:rPr>
            <w:rStyle w:val="Hyperlink"/>
            <w:snapToGrid w:val="0"/>
            <w:sz w:val="22"/>
            <w:szCs w:val="22"/>
          </w:rPr>
          <w:t>Nonpoint Source Management Program</w:t>
        </w:r>
      </w:hyperlink>
      <w:r>
        <w:rPr>
          <w:snapToGrid w:val="0"/>
          <w:sz w:val="22"/>
          <w:szCs w:val="22"/>
        </w:rPr>
        <w:t>.  The 1985 State Comprehensive Plan and the Local Government Comprehensive Planning and Land Development Regulation Act require local governments to establish blueprints for future growth (local comprehensive plans) and to adopt local land development regulations to minimize the adverse social, economic, and environmental impacts of growth.</w:t>
      </w:r>
    </w:p>
    <w:p w:rsidR="00485094" w:rsidRDefault="00485094" w:rsidP="00B215C8">
      <w:pPr>
        <w:pStyle w:val="BodyText0"/>
        <w:rPr>
          <w:snapToGrid w:val="0"/>
          <w:sz w:val="22"/>
          <w:szCs w:val="22"/>
        </w:rPr>
      </w:pPr>
    </w:p>
    <w:p w:rsidR="00485094" w:rsidRDefault="00485094" w:rsidP="00DF1A46">
      <w:pPr>
        <w:pStyle w:val="Heading4"/>
        <w:rPr>
          <w:snapToGrid w:val="0"/>
        </w:rPr>
      </w:pPr>
      <w:r>
        <w:rPr>
          <w:snapToGrid w:val="0"/>
        </w:rPr>
        <w:t>Public Education</w:t>
      </w:r>
    </w:p>
    <w:p w:rsidR="00485094" w:rsidRDefault="00485094" w:rsidP="00B215C8">
      <w:pPr>
        <w:pStyle w:val="BodyText0"/>
        <w:rPr>
          <w:snapToGrid w:val="0"/>
          <w:sz w:val="22"/>
          <w:szCs w:val="22"/>
        </w:rPr>
      </w:pPr>
      <w:r>
        <w:rPr>
          <w:snapToGrid w:val="0"/>
          <w:sz w:val="22"/>
          <w:szCs w:val="22"/>
        </w:rPr>
        <w:t xml:space="preserve">Public education on “pointless personal pollution” is the final component of Florida’s </w:t>
      </w:r>
      <w:hyperlink r:id="rId188" w:history="1">
        <w:r w:rsidRPr="001936BF">
          <w:rPr>
            <w:rStyle w:val="Hyperlink"/>
            <w:snapToGrid w:val="0"/>
            <w:sz w:val="22"/>
            <w:szCs w:val="22"/>
          </w:rPr>
          <w:t>Nonpoint Source Management Program</w:t>
        </w:r>
      </w:hyperlink>
      <w:r>
        <w:rPr>
          <w:snapToGrid w:val="0"/>
          <w:sz w:val="22"/>
          <w:szCs w:val="22"/>
        </w:rPr>
        <w:t xml:space="preserve">.  Over the past 20 years, a wide variety of educational materials, many of which can be customized for local areas, have been developed and distributed.  Nearly all of these materials are now available electronically and can be downloaded either from the FDEP website or from the </w:t>
      </w:r>
      <w:hyperlink r:id="rId189" w:history="1">
        <w:r w:rsidRPr="00084DB2">
          <w:rPr>
            <w:rStyle w:val="Hyperlink"/>
            <w:snapToGrid w:val="0"/>
            <w:sz w:val="22"/>
            <w:szCs w:val="22"/>
          </w:rPr>
          <w:t>University of Central Florida Stormwater Management Academy website</w:t>
        </w:r>
      </w:hyperlink>
      <w:r>
        <w:rPr>
          <w:snapToGrid w:val="0"/>
          <w:sz w:val="22"/>
          <w:szCs w:val="22"/>
        </w:rPr>
        <w:t>.  Given the state’s rapid growth rate, and the number of people arriving from out of state, these educational materials are important in teaching residents how they contribute to nonpoint source pollution and how they can be part of the solution to pointless personal pollution.</w:t>
      </w:r>
    </w:p>
    <w:p w:rsidR="00485094" w:rsidRDefault="00485094" w:rsidP="00B215C8">
      <w:pPr>
        <w:pStyle w:val="BodyText0"/>
        <w:rPr>
          <w:snapToGrid w:val="0"/>
          <w:sz w:val="22"/>
          <w:szCs w:val="22"/>
        </w:rPr>
      </w:pPr>
    </w:p>
    <w:p w:rsidR="00485094" w:rsidRDefault="00485094" w:rsidP="00DF1A46">
      <w:pPr>
        <w:pStyle w:val="Heading4"/>
      </w:pPr>
      <w:r w:rsidRPr="00D61F2C">
        <w:t>Nature and Extent of Nonpoint Source Pollution</w:t>
      </w:r>
    </w:p>
    <w:p w:rsidR="00485094" w:rsidRPr="002A0C19" w:rsidRDefault="00485094" w:rsidP="00B215C8">
      <w:pPr>
        <w:pStyle w:val="Bodytext"/>
        <w:rPr>
          <w:b/>
          <w:szCs w:val="22"/>
        </w:rPr>
      </w:pPr>
      <w:r w:rsidRPr="00125D31">
        <w:rPr>
          <w:szCs w:val="22"/>
        </w:rPr>
        <w:t>Florida has made significant progress towards addressing elevated nutrients, but nutrient impairment is still an ongoing challenge</w:t>
      </w:r>
      <w:r>
        <w:rPr>
          <w:szCs w:val="22"/>
        </w:rPr>
        <w:t>,</w:t>
      </w:r>
      <w:r w:rsidRPr="00125D31">
        <w:rPr>
          <w:szCs w:val="22"/>
        </w:rPr>
        <w:t xml:space="preserve"> as evidenced by eutrophic conditions in some state surface waters and Florida’s increased nitrates in ground water.  Nutrient impairment remains a concern due to higher fertilizer use by the state’s intensive </w:t>
      </w:r>
      <w:hyperlink r:id="rId190" w:history="1">
        <w:r w:rsidRPr="00B37741">
          <w:rPr>
            <w:rStyle w:val="Hyperlink"/>
            <w:szCs w:val="22"/>
          </w:rPr>
          <w:t>agricultural industry</w:t>
        </w:r>
      </w:hyperlink>
      <w:r w:rsidRPr="00125D31">
        <w:rPr>
          <w:szCs w:val="22"/>
        </w:rPr>
        <w:t xml:space="preserve"> and continued population growth, </w:t>
      </w:r>
      <w:r>
        <w:rPr>
          <w:szCs w:val="22"/>
        </w:rPr>
        <w:t xml:space="preserve">both of </w:t>
      </w:r>
      <w:r w:rsidRPr="00125D31">
        <w:rPr>
          <w:szCs w:val="22"/>
        </w:rPr>
        <w:t xml:space="preserve">which increase wastewater and nonpoint source nutrient loads.  The </w:t>
      </w:r>
      <w:r w:rsidRPr="00125D31">
        <w:rPr>
          <w:snapToGrid w:val="0"/>
          <w:szCs w:val="22"/>
        </w:rPr>
        <w:t>cumulative impacts of nonpoint source pollution, also called “pointless personal pollution</w:t>
      </w:r>
      <w:r>
        <w:rPr>
          <w:snapToGrid w:val="0"/>
          <w:szCs w:val="22"/>
        </w:rPr>
        <w:t>,</w:t>
      </w:r>
      <w:r w:rsidRPr="00125D31">
        <w:rPr>
          <w:snapToGrid w:val="0"/>
          <w:szCs w:val="22"/>
        </w:rPr>
        <w:t xml:space="preserve">” continue to be an issue.  </w:t>
      </w:r>
      <w:r w:rsidRPr="00125D31">
        <w:rPr>
          <w:szCs w:val="22"/>
        </w:rPr>
        <w:t xml:space="preserve">The state’s Stormwater Rule is currently based on a minimum treatment level of 80% average annual load reduction.  </w:t>
      </w:r>
    </w:p>
    <w:p w:rsidR="00485094" w:rsidRDefault="00485094" w:rsidP="00B215C8">
      <w:pPr>
        <w:pStyle w:val="Bodytext"/>
        <w:rPr>
          <w:snapToGrid w:val="0"/>
        </w:rPr>
      </w:pPr>
    </w:p>
    <w:p w:rsidR="00485094" w:rsidRPr="00DA37AF" w:rsidRDefault="00485094" w:rsidP="00B215C8">
      <w:pPr>
        <w:pStyle w:val="Bodytext"/>
        <w:rPr>
          <w:snapToGrid w:val="0"/>
        </w:rPr>
      </w:pPr>
      <w:r w:rsidRPr="00DA37AF">
        <w:rPr>
          <w:snapToGrid w:val="0"/>
        </w:rPr>
        <w:t xml:space="preserve">It is important to remember that </w:t>
      </w:r>
      <w:r>
        <w:rPr>
          <w:snapToGrid w:val="0"/>
        </w:rPr>
        <w:t xml:space="preserve">many </w:t>
      </w:r>
      <w:r w:rsidRPr="00DA37AF">
        <w:rPr>
          <w:snapToGrid w:val="0"/>
        </w:rPr>
        <w:t xml:space="preserve">activities </w:t>
      </w:r>
      <w:r>
        <w:rPr>
          <w:snapToGrid w:val="0"/>
        </w:rPr>
        <w:t xml:space="preserve">resulting in nonpoint source pollution </w:t>
      </w:r>
      <w:r w:rsidRPr="00DA37AF">
        <w:rPr>
          <w:snapToGrid w:val="0"/>
        </w:rPr>
        <w:t xml:space="preserve">often are not regulated and that public education, cultural change, and personal stewardship are also essential in protecting Florida’s water resources.  A </w:t>
      </w:r>
      <w:r>
        <w:rPr>
          <w:snapToGrid w:val="0"/>
        </w:rPr>
        <w:t xml:space="preserve">simple </w:t>
      </w:r>
      <w:r w:rsidRPr="00DA37AF">
        <w:rPr>
          <w:snapToGrid w:val="0"/>
        </w:rPr>
        <w:t xml:space="preserve">example is </w:t>
      </w:r>
      <w:r>
        <w:rPr>
          <w:snapToGrid w:val="0"/>
        </w:rPr>
        <w:t xml:space="preserve">controlling </w:t>
      </w:r>
      <w:r w:rsidRPr="00DA37AF">
        <w:rPr>
          <w:snapToGrid w:val="0"/>
        </w:rPr>
        <w:t>pet wastes, which can add nutrients and fecal bacteria to the landscape that are washed off with each rain</w:t>
      </w:r>
      <w:r>
        <w:rPr>
          <w:snapToGrid w:val="0"/>
        </w:rPr>
        <w:t xml:space="preserve"> </w:t>
      </w:r>
      <w:r w:rsidRPr="00DA37AF">
        <w:rPr>
          <w:snapToGrid w:val="0"/>
        </w:rPr>
        <w:lastRenderedPageBreak/>
        <w:t>storm.  Picking up and properly disposing of pet waste is essential to preventing this source of “</w:t>
      </w:r>
      <w:r>
        <w:rPr>
          <w:snapToGrid w:val="0"/>
        </w:rPr>
        <w:t>p</w:t>
      </w:r>
      <w:r w:rsidRPr="00DA37AF">
        <w:rPr>
          <w:snapToGrid w:val="0"/>
        </w:rPr>
        <w:t xml:space="preserve">ointless </w:t>
      </w:r>
      <w:r>
        <w:rPr>
          <w:snapToGrid w:val="0"/>
        </w:rPr>
        <w:t>p</w:t>
      </w:r>
      <w:r w:rsidRPr="00DA37AF">
        <w:rPr>
          <w:snapToGrid w:val="0"/>
        </w:rPr>
        <w:t xml:space="preserve">ersonal </w:t>
      </w:r>
      <w:r>
        <w:rPr>
          <w:snapToGrid w:val="0"/>
        </w:rPr>
        <w:t>p</w:t>
      </w:r>
      <w:r w:rsidRPr="00DA37AF">
        <w:rPr>
          <w:snapToGrid w:val="0"/>
        </w:rPr>
        <w:t>ollution.”</w:t>
      </w:r>
    </w:p>
    <w:p w:rsidR="00485094" w:rsidRDefault="00485094" w:rsidP="00B215C8">
      <w:pPr>
        <w:pStyle w:val="Bodytext"/>
        <w:tabs>
          <w:tab w:val="left" w:pos="5472"/>
        </w:tabs>
      </w:pPr>
    </w:p>
    <w:p w:rsidR="00657C91" w:rsidRDefault="00485094">
      <w:pPr>
        <w:pStyle w:val="Bodytext"/>
      </w:pPr>
      <w:r>
        <w:rPr>
          <w:szCs w:val="22"/>
        </w:rPr>
        <w:t>FDEP’s</w:t>
      </w:r>
      <w:r w:rsidRPr="00112598">
        <w:rPr>
          <w:szCs w:val="22"/>
        </w:rPr>
        <w:t xml:space="preserve"> comprehensive </w:t>
      </w:r>
      <w:hyperlink r:id="rId191" w:history="1">
        <w:r w:rsidRPr="001936BF">
          <w:rPr>
            <w:rStyle w:val="Hyperlink"/>
            <w:snapToGrid w:val="0"/>
            <w:szCs w:val="22"/>
          </w:rPr>
          <w:t>Nonpoint Source Management Program</w:t>
        </w:r>
      </w:hyperlink>
      <w:r w:rsidRPr="00112598">
        <w:rPr>
          <w:szCs w:val="22"/>
        </w:rPr>
        <w:t xml:space="preserve">, in collaboration with the </w:t>
      </w:r>
      <w:hyperlink r:id="rId192" w:history="1">
        <w:r w:rsidRPr="001936BF">
          <w:rPr>
            <w:rStyle w:val="Hyperlink"/>
            <w:szCs w:val="22"/>
          </w:rPr>
          <w:t>TMDL Program</w:t>
        </w:r>
      </w:hyperlink>
      <w:r>
        <w:rPr>
          <w:szCs w:val="22"/>
        </w:rPr>
        <w:t xml:space="preserve"> (which is being implemented through the </w:t>
      </w:r>
      <w:r w:rsidRPr="00112598">
        <w:rPr>
          <w:szCs w:val="22"/>
        </w:rPr>
        <w:t xml:space="preserve">watershed management </w:t>
      </w:r>
      <w:r>
        <w:rPr>
          <w:szCs w:val="22"/>
        </w:rPr>
        <w:t>approach)</w:t>
      </w:r>
      <w:r w:rsidRPr="00112598">
        <w:rPr>
          <w:szCs w:val="22"/>
        </w:rPr>
        <w:t>, provide</w:t>
      </w:r>
      <w:r>
        <w:rPr>
          <w:szCs w:val="22"/>
        </w:rPr>
        <w:t>s</w:t>
      </w:r>
      <w:r w:rsidRPr="00112598">
        <w:rPr>
          <w:szCs w:val="22"/>
        </w:rPr>
        <w:t xml:space="preserve"> the institutional, technical, and financial fra</w:t>
      </w:r>
      <w:r>
        <w:rPr>
          <w:szCs w:val="22"/>
        </w:rPr>
        <w:t>mework to address these issues.</w:t>
      </w:r>
    </w:p>
    <w:p w:rsidR="00485094" w:rsidRDefault="00485094" w:rsidP="00B215C8">
      <w:pPr>
        <w:pStyle w:val="Bodytextreduced"/>
      </w:pPr>
    </w:p>
    <w:p w:rsidR="00485094" w:rsidRDefault="00485094" w:rsidP="00DF1A46">
      <w:pPr>
        <w:pStyle w:val="Heading3"/>
        <w:rPr>
          <w:snapToGrid w:val="0"/>
        </w:rPr>
      </w:pPr>
      <w:bookmarkStart w:id="772" w:name="_Toc271794415"/>
      <w:r>
        <w:rPr>
          <w:snapToGrid w:val="0"/>
        </w:rPr>
        <w:t>Coordination with Other State, Tribal, and Local Agencies</w:t>
      </w:r>
      <w:bookmarkEnd w:id="772"/>
    </w:p>
    <w:p w:rsidR="00485094" w:rsidRDefault="00485094" w:rsidP="00B215C8">
      <w:pPr>
        <w:pStyle w:val="Bodytext"/>
        <w:rPr>
          <w:snapToGrid w:val="0"/>
        </w:rPr>
      </w:pPr>
      <w:r>
        <w:rPr>
          <w:snapToGrid w:val="0"/>
        </w:rPr>
        <w:t xml:space="preserve">Florida’s surface water protection programs all emphasize </w:t>
      </w:r>
      <w:r w:rsidRPr="00492CE5">
        <w:rPr>
          <w:snapToGrid w:val="0"/>
        </w:rPr>
        <w:t xml:space="preserve">the need for interagency coordination in achieving statewide water management goals.  </w:t>
      </w:r>
      <w:r w:rsidRPr="00492CE5">
        <w:rPr>
          <w:b/>
          <w:i/>
          <w:snapToGrid w:val="0"/>
        </w:rPr>
        <w:t xml:space="preserve">Table </w:t>
      </w:r>
      <w:r>
        <w:rPr>
          <w:b/>
          <w:i/>
          <w:snapToGrid w:val="0"/>
        </w:rPr>
        <w:t>11.</w:t>
      </w:r>
      <w:r w:rsidR="00EB08C5">
        <w:rPr>
          <w:b/>
          <w:i/>
          <w:snapToGrid w:val="0"/>
        </w:rPr>
        <w:t>2</w:t>
      </w:r>
      <w:r w:rsidRPr="00492CE5">
        <w:rPr>
          <w:b/>
          <w:i/>
          <w:snapToGrid w:val="0"/>
        </w:rPr>
        <w:t xml:space="preserve"> </w:t>
      </w:r>
      <w:r w:rsidRPr="00492CE5">
        <w:rPr>
          <w:snapToGrid w:val="0"/>
        </w:rPr>
        <w:t xml:space="preserve">lists the primary state, local, and regional coordination mechanisms for managing water resources.  </w:t>
      </w:r>
      <w:r w:rsidRPr="00492CE5">
        <w:rPr>
          <w:b/>
          <w:i/>
          <w:snapToGrid w:val="0"/>
        </w:rPr>
        <w:t xml:space="preserve">Figure </w:t>
      </w:r>
      <w:r>
        <w:rPr>
          <w:b/>
          <w:i/>
          <w:snapToGrid w:val="0"/>
        </w:rPr>
        <w:t>11.1</w:t>
      </w:r>
      <w:r w:rsidRPr="00492CE5">
        <w:rPr>
          <w:b/>
          <w:i/>
          <w:snapToGrid w:val="0"/>
        </w:rPr>
        <w:t xml:space="preserve"> </w:t>
      </w:r>
      <w:r w:rsidRPr="00492CE5">
        <w:rPr>
          <w:snapToGrid w:val="0"/>
        </w:rPr>
        <w:t>shows the agencies responsible for water resource management and coordination in Florida, and lists their principal activities.</w:t>
      </w:r>
    </w:p>
    <w:p w:rsidR="00485094" w:rsidRDefault="00485094" w:rsidP="00B215C8">
      <w:pPr>
        <w:pStyle w:val="Bodytext"/>
      </w:pPr>
    </w:p>
    <w:p w:rsidR="00485094" w:rsidRDefault="00485094" w:rsidP="00B215C8">
      <w:pPr>
        <w:pStyle w:val="Tableheading"/>
      </w:pPr>
      <w:bookmarkStart w:id="773" w:name="_Toc271889880"/>
      <w:r>
        <w:t>Table 11.</w:t>
      </w:r>
      <w:r w:rsidR="00EB08C5">
        <w:t>2</w:t>
      </w:r>
      <w:r>
        <w:t>.  Primary Coordination Mechanisms for Managing State,</w:t>
      </w:r>
      <w:r>
        <w:br/>
        <w:t>Regional, and Local Water Resources</w:t>
      </w:r>
      <w:bookmarkEnd w:id="773"/>
    </w:p>
    <w:p w:rsidR="00485094" w:rsidRDefault="00485094" w:rsidP="00B215C8">
      <w:pPr>
        <w:pStyle w:val="TabledescriptionBF"/>
      </w:pPr>
      <w:r>
        <w:t>This is a two-column table.  Column 1 lists the function/entity, and Column 2 lists the primary coordination mechanisms.</w:t>
      </w:r>
    </w:p>
    <w:p w:rsidR="00485094" w:rsidRDefault="00485094" w:rsidP="00B215C8">
      <w:pPr>
        <w:pStyle w:val="TabledescriptionBF"/>
      </w:pPr>
    </w:p>
    <w:tbl>
      <w:tblPr>
        <w:tblW w:w="9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428"/>
        <w:gridCol w:w="5571"/>
      </w:tblGrid>
      <w:tr w:rsidR="00485094" w:rsidTr="00394CAD">
        <w:trPr>
          <w:trHeight w:val="432"/>
          <w:tblHeader/>
          <w:jc w:val="center"/>
        </w:trPr>
        <w:tc>
          <w:tcPr>
            <w:tcW w:w="4428"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Function/Entity</w:t>
            </w:r>
          </w:p>
        </w:tc>
        <w:tc>
          <w:tcPr>
            <w:tcW w:w="5571"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Primary Mechanisms</w:t>
            </w:r>
          </w:p>
        </w:tc>
      </w:tr>
      <w:tr w:rsidR="00485094" w:rsidTr="00394CAD">
        <w:trPr>
          <w:trHeight w:val="2807"/>
          <w:jc w:val="center"/>
        </w:trPr>
        <w:tc>
          <w:tcPr>
            <w:tcW w:w="4428" w:type="dxa"/>
            <w:tcBorders>
              <w:top w:val="double" w:sz="4" w:space="0" w:color="auto"/>
            </w:tcBorders>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General supervision over water management districts (policies, plans, and programs) </w:t>
            </w:r>
          </w:p>
          <w:p w:rsidR="00485094" w:rsidRDefault="00485094" w:rsidP="00394CAD">
            <w:pPr>
              <w:rPr>
                <w:rFonts w:ascii="Arial" w:hAnsi="Arial"/>
                <w:snapToGrid w:val="0"/>
                <w:sz w:val="18"/>
              </w:rPr>
            </w:pPr>
            <w:r>
              <w:rPr>
                <w:rFonts w:ascii="Arial" w:hAnsi="Arial"/>
                <w:snapToGrid w:val="0"/>
                <w:sz w:val="18"/>
              </w:rPr>
              <w:t>(FDEP)</w:t>
            </w:r>
          </w:p>
        </w:tc>
        <w:tc>
          <w:tcPr>
            <w:tcW w:w="5571" w:type="dxa"/>
            <w:tcBorders>
              <w:top w:val="double" w:sz="4" w:space="0" w:color="auto"/>
            </w:tcBorders>
            <w:vAlign w:val="center"/>
          </w:tcPr>
          <w:p w:rsidR="00485094" w:rsidRDefault="00485094" w:rsidP="00394CAD">
            <w:pPr>
              <w:rPr>
                <w:rFonts w:ascii="Arial" w:hAnsi="Arial"/>
                <w:snapToGrid w:val="0"/>
                <w:sz w:val="18"/>
              </w:rPr>
            </w:pPr>
            <w:r>
              <w:rPr>
                <w:rFonts w:ascii="Arial" w:hAnsi="Arial"/>
                <w:snapToGrid w:val="0"/>
                <w:sz w:val="18"/>
              </w:rPr>
              <w:t>a. Water Resources Coordinating Commission</w:t>
            </w:r>
          </w:p>
          <w:p w:rsidR="00485094" w:rsidRDefault="00485094" w:rsidP="00394CAD">
            <w:pPr>
              <w:rPr>
                <w:rFonts w:ascii="Arial" w:hAnsi="Arial"/>
                <w:snapToGrid w:val="0"/>
                <w:sz w:val="18"/>
              </w:rPr>
            </w:pPr>
            <w:r>
              <w:rPr>
                <w:rFonts w:ascii="Arial" w:hAnsi="Arial"/>
                <w:snapToGrid w:val="0"/>
                <w:sz w:val="18"/>
              </w:rPr>
              <w:t>b. Meetings of the water management districts’ executive directors</w:t>
            </w:r>
          </w:p>
          <w:p w:rsidR="00485094" w:rsidRDefault="00485094" w:rsidP="00394CAD">
            <w:pPr>
              <w:ind w:left="243" w:hanging="243"/>
              <w:rPr>
                <w:rFonts w:ascii="Arial" w:hAnsi="Arial"/>
                <w:snapToGrid w:val="0"/>
                <w:sz w:val="18"/>
              </w:rPr>
            </w:pPr>
            <w:r>
              <w:rPr>
                <w:rFonts w:ascii="Arial" w:hAnsi="Arial"/>
                <w:snapToGrid w:val="0"/>
                <w:sz w:val="18"/>
              </w:rPr>
              <w:t>c. Water Resource Implementation Rule (Chapter 62-40, F.A.C.)</w:t>
            </w:r>
          </w:p>
          <w:p w:rsidR="00485094" w:rsidRDefault="00485094" w:rsidP="00394CAD">
            <w:pPr>
              <w:ind w:left="243" w:hanging="243"/>
              <w:rPr>
                <w:rFonts w:ascii="Arial" w:hAnsi="Arial"/>
                <w:snapToGrid w:val="0"/>
                <w:sz w:val="18"/>
              </w:rPr>
            </w:pPr>
            <w:r>
              <w:rPr>
                <w:rFonts w:ascii="Arial" w:hAnsi="Arial"/>
                <w:snapToGrid w:val="0"/>
                <w:sz w:val="18"/>
              </w:rPr>
              <w:t>d. Florida Water Plan/District Water Management Plan (DWMP) work group</w:t>
            </w:r>
          </w:p>
          <w:p w:rsidR="00485094" w:rsidRDefault="00485094" w:rsidP="00394CAD">
            <w:pPr>
              <w:rPr>
                <w:rFonts w:ascii="Arial" w:hAnsi="Arial"/>
                <w:snapToGrid w:val="0"/>
                <w:sz w:val="18"/>
              </w:rPr>
            </w:pPr>
            <w:r>
              <w:rPr>
                <w:rFonts w:ascii="Arial" w:hAnsi="Arial"/>
                <w:snapToGrid w:val="0"/>
                <w:sz w:val="18"/>
              </w:rPr>
              <w:t>e. Issue-specific work groups (policy and rule development)</w:t>
            </w:r>
          </w:p>
          <w:p w:rsidR="00485094" w:rsidRDefault="00485094" w:rsidP="00394CAD">
            <w:pPr>
              <w:rPr>
                <w:rFonts w:ascii="Arial" w:hAnsi="Arial"/>
                <w:snapToGrid w:val="0"/>
                <w:sz w:val="18"/>
              </w:rPr>
            </w:pPr>
            <w:r>
              <w:rPr>
                <w:rFonts w:ascii="Arial" w:hAnsi="Arial"/>
                <w:snapToGrid w:val="0"/>
                <w:sz w:val="18"/>
              </w:rPr>
              <w:t>f. Reuse Coordinating Committee</w:t>
            </w:r>
          </w:p>
          <w:p w:rsidR="00485094" w:rsidRDefault="00485094" w:rsidP="00394CAD">
            <w:pPr>
              <w:ind w:left="243" w:hanging="243"/>
              <w:rPr>
                <w:rFonts w:ascii="Arial" w:hAnsi="Arial"/>
                <w:snapToGrid w:val="0"/>
                <w:sz w:val="18"/>
              </w:rPr>
            </w:pPr>
            <w:r>
              <w:rPr>
                <w:rFonts w:ascii="Arial" w:hAnsi="Arial"/>
                <w:snapToGrid w:val="0"/>
                <w:sz w:val="18"/>
              </w:rPr>
              <w:t>g. Memoranda of understanding (delegation of programs and authorities)</w:t>
            </w:r>
          </w:p>
          <w:p w:rsidR="00485094" w:rsidRDefault="00485094" w:rsidP="00394CAD">
            <w:pPr>
              <w:rPr>
                <w:rFonts w:ascii="Arial" w:hAnsi="Arial"/>
                <w:snapToGrid w:val="0"/>
                <w:sz w:val="18"/>
              </w:rPr>
            </w:pPr>
            <w:r>
              <w:rPr>
                <w:rFonts w:ascii="Arial" w:hAnsi="Arial"/>
                <w:snapToGrid w:val="0"/>
                <w:sz w:val="18"/>
              </w:rPr>
              <w:t>h. Permit streamlining, mitigation banking</w:t>
            </w:r>
          </w:p>
          <w:p w:rsidR="00485094" w:rsidRDefault="00485094" w:rsidP="00394CAD">
            <w:pPr>
              <w:ind w:left="243" w:hanging="243"/>
              <w:rPr>
                <w:rFonts w:ascii="Arial" w:hAnsi="Arial"/>
                <w:snapToGrid w:val="0"/>
                <w:sz w:val="18"/>
              </w:rPr>
            </w:pPr>
            <w:proofErr w:type="spellStart"/>
            <w:r>
              <w:rPr>
                <w:rFonts w:ascii="Arial" w:hAnsi="Arial"/>
                <w:snapToGrid w:val="0"/>
                <w:sz w:val="18"/>
              </w:rPr>
              <w:t>i</w:t>
            </w:r>
            <w:proofErr w:type="spellEnd"/>
            <w:r>
              <w:rPr>
                <w:rFonts w:ascii="Arial" w:hAnsi="Arial"/>
                <w:snapToGrid w:val="0"/>
                <w:sz w:val="18"/>
              </w:rPr>
              <w:t>. FDEP review of water management district rules and budgets, auditing</w:t>
            </w:r>
          </w:p>
        </w:tc>
      </w:tr>
      <w:tr w:rsidR="00485094" w:rsidTr="00394CAD">
        <w:trPr>
          <w:trHeight w:val="144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Statewide watershed management approach (FDEP)</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Implementation of rotating basin watershed management cycle for assessing the state’s river basins</w:t>
            </w:r>
          </w:p>
          <w:p w:rsidR="00485094" w:rsidRDefault="00485094" w:rsidP="00394CAD">
            <w:pPr>
              <w:ind w:left="243" w:hanging="243"/>
              <w:rPr>
                <w:rFonts w:ascii="Arial" w:hAnsi="Arial"/>
                <w:snapToGrid w:val="0"/>
                <w:sz w:val="18"/>
              </w:rPr>
            </w:pPr>
            <w:r>
              <w:rPr>
                <w:rFonts w:ascii="Arial" w:hAnsi="Arial"/>
                <w:snapToGrid w:val="0"/>
                <w:sz w:val="18"/>
              </w:rPr>
              <w:t>b. Process for verifying impaired waterbodies in each basin</w:t>
            </w:r>
          </w:p>
          <w:p w:rsidR="00485094" w:rsidRDefault="00485094" w:rsidP="00394CAD">
            <w:pPr>
              <w:ind w:left="243" w:hanging="243"/>
              <w:rPr>
                <w:rFonts w:ascii="Arial" w:hAnsi="Arial"/>
                <w:snapToGrid w:val="0"/>
                <w:sz w:val="18"/>
              </w:rPr>
            </w:pPr>
            <w:r>
              <w:rPr>
                <w:rFonts w:ascii="Arial" w:hAnsi="Arial"/>
                <w:snapToGrid w:val="0"/>
                <w:sz w:val="18"/>
              </w:rPr>
              <w:t>c. Development of total maximum daily loads (TMDLs) for verified impaired waters</w:t>
            </w:r>
          </w:p>
          <w:p w:rsidR="00485094" w:rsidRDefault="00485094" w:rsidP="00394CAD">
            <w:pPr>
              <w:rPr>
                <w:rFonts w:ascii="Arial" w:hAnsi="Arial"/>
                <w:snapToGrid w:val="0"/>
                <w:sz w:val="18"/>
              </w:rPr>
            </w:pPr>
            <w:r>
              <w:rPr>
                <w:rFonts w:ascii="Arial" w:hAnsi="Arial"/>
                <w:snapToGrid w:val="0"/>
                <w:sz w:val="18"/>
              </w:rPr>
              <w:t>d. Adaptive management</w:t>
            </w:r>
          </w:p>
        </w:tc>
      </w:tr>
      <w:tr w:rsidR="00485094" w:rsidTr="00394CAD">
        <w:trPr>
          <w:trHeight w:val="576"/>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State Comprehensive Plan </w:t>
            </w:r>
          </w:p>
          <w:p w:rsidR="00485094" w:rsidRDefault="00485094" w:rsidP="00394CAD">
            <w:pPr>
              <w:rPr>
                <w:rFonts w:ascii="Arial" w:hAnsi="Arial"/>
                <w:snapToGrid w:val="0"/>
                <w:sz w:val="18"/>
              </w:rPr>
            </w:pPr>
            <w:r>
              <w:rPr>
                <w:rFonts w:ascii="Arial" w:hAnsi="Arial"/>
                <w:snapToGrid w:val="0"/>
                <w:sz w:val="18"/>
              </w:rPr>
              <w:t>(Governor’s Office)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Overall coordination by Governor’s Office</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State Land Development Plan </w:t>
            </w:r>
          </w:p>
          <w:p w:rsidR="00485094" w:rsidRDefault="00485094" w:rsidP="00394CAD">
            <w:pPr>
              <w:rPr>
                <w:rFonts w:ascii="Arial" w:hAnsi="Arial"/>
                <w:snapToGrid w:val="0"/>
                <w:sz w:val="18"/>
              </w:rPr>
            </w:pPr>
            <w:r>
              <w:rPr>
                <w:rFonts w:ascii="Arial" w:hAnsi="Arial"/>
                <w:snapToGrid w:val="0"/>
                <w:sz w:val="18"/>
              </w:rPr>
              <w:t>(Florida Department of Community Affairs [FDCA])</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Interagency Planning Committees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Florida Transportation Plan </w:t>
            </w:r>
          </w:p>
          <w:p w:rsidR="00485094" w:rsidRDefault="00485094" w:rsidP="00394CAD">
            <w:pPr>
              <w:rPr>
                <w:rFonts w:ascii="Arial" w:hAnsi="Arial"/>
                <w:snapToGrid w:val="0"/>
                <w:sz w:val="18"/>
              </w:rPr>
            </w:pPr>
            <w:r>
              <w:rPr>
                <w:rFonts w:ascii="Arial" w:hAnsi="Arial"/>
                <w:snapToGrid w:val="0"/>
                <w:sz w:val="18"/>
              </w:rPr>
              <w:t>(Florida Department of Transportation [FDOT])</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Interagency plan review process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Strategic regional policy plans </w:t>
            </w:r>
          </w:p>
          <w:p w:rsidR="00485094" w:rsidRDefault="00485094" w:rsidP="00394CAD">
            <w:pPr>
              <w:rPr>
                <w:rFonts w:ascii="Arial" w:hAnsi="Arial"/>
                <w:snapToGrid w:val="0"/>
                <w:sz w:val="18"/>
              </w:rPr>
            </w:pPr>
            <w:r>
              <w:rPr>
                <w:rFonts w:ascii="Arial" w:hAnsi="Arial"/>
                <w:snapToGrid w:val="0"/>
                <w:sz w:val="18"/>
              </w:rPr>
              <w:t>(Regional Planning Councils)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Florida Water Plan/DWMP work group</w:t>
            </w:r>
          </w:p>
          <w:p w:rsidR="00485094" w:rsidRDefault="00485094" w:rsidP="00394CAD">
            <w:pPr>
              <w:ind w:left="243" w:hanging="243"/>
              <w:rPr>
                <w:rFonts w:ascii="Arial" w:hAnsi="Arial"/>
                <w:snapToGrid w:val="0"/>
                <w:sz w:val="18"/>
              </w:rPr>
            </w:pPr>
            <w:r>
              <w:rPr>
                <w:rFonts w:ascii="Arial" w:hAnsi="Arial"/>
                <w:snapToGrid w:val="0"/>
                <w:sz w:val="18"/>
              </w:rPr>
              <w:t>b. Plan review process (Subsection 186.507[2], F.S., and Chapter 27E-5, F.A.C.)</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lastRenderedPageBreak/>
              <w:t xml:space="preserve">Agricultural interests </w:t>
            </w:r>
          </w:p>
          <w:p w:rsidR="00485094" w:rsidRDefault="00485094" w:rsidP="00394CAD">
            <w:pPr>
              <w:rPr>
                <w:rFonts w:ascii="Arial" w:hAnsi="Arial"/>
                <w:snapToGrid w:val="0"/>
                <w:sz w:val="18"/>
              </w:rPr>
            </w:pPr>
            <w:r>
              <w:rPr>
                <w:rFonts w:ascii="Arial" w:hAnsi="Arial"/>
                <w:snapToGrid w:val="0"/>
                <w:sz w:val="18"/>
              </w:rPr>
              <w:t>(FDACS)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Agricultural Water Policy Committee</w:t>
            </w:r>
          </w:p>
        </w:tc>
      </w:tr>
      <w:tr w:rsidR="00485094" w:rsidTr="00394CAD">
        <w:trPr>
          <w:trHeight w:val="638"/>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 xml:space="preserve">Local comprehensive plans </w:t>
            </w:r>
          </w:p>
          <w:p w:rsidR="00485094" w:rsidRDefault="00485094" w:rsidP="00394CAD">
            <w:pPr>
              <w:rPr>
                <w:rFonts w:ascii="Arial" w:hAnsi="Arial"/>
                <w:snapToGrid w:val="0"/>
                <w:sz w:val="18"/>
              </w:rPr>
            </w:pPr>
            <w:r>
              <w:rPr>
                <w:rFonts w:ascii="Arial" w:hAnsi="Arial"/>
                <w:snapToGrid w:val="0"/>
                <w:sz w:val="18"/>
              </w:rPr>
              <w:t>(FDCA)</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Plan review process</w:t>
            </w:r>
          </w:p>
          <w:p w:rsidR="00485094" w:rsidRDefault="00485094" w:rsidP="00394CAD">
            <w:pPr>
              <w:rPr>
                <w:rFonts w:ascii="Arial" w:hAnsi="Arial"/>
                <w:snapToGrid w:val="0"/>
                <w:sz w:val="18"/>
              </w:rPr>
            </w:pPr>
            <w:r>
              <w:rPr>
                <w:rFonts w:ascii="Arial" w:hAnsi="Arial"/>
                <w:snapToGrid w:val="0"/>
                <w:sz w:val="18"/>
              </w:rPr>
              <w:t>(Chapter 9J-5, F.A.C.)</w:t>
            </w:r>
          </w:p>
        </w:tc>
      </w:tr>
      <w:tr w:rsidR="00485094" w:rsidTr="00394CAD">
        <w:trPr>
          <w:trHeight w:val="1008"/>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Water supply planning, wastewater management, stormwater management, solid waste management</w:t>
            </w:r>
          </w:p>
          <w:p w:rsidR="00485094" w:rsidRDefault="00485094" w:rsidP="00394CAD">
            <w:pPr>
              <w:rPr>
                <w:rFonts w:ascii="Arial" w:hAnsi="Arial"/>
                <w:snapToGrid w:val="0"/>
                <w:sz w:val="18"/>
              </w:rPr>
            </w:pPr>
            <w:r>
              <w:rPr>
                <w:rFonts w:ascii="Arial" w:hAnsi="Arial"/>
                <w:snapToGrid w:val="0"/>
                <w:sz w:val="18"/>
              </w:rPr>
              <w:t>(Local governments)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FDEP and water management district programs for technical and financial assistance</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Reuse of reclaimed water</w:t>
            </w:r>
          </w:p>
          <w:p w:rsidR="00485094" w:rsidRDefault="00485094" w:rsidP="00394CAD">
            <w:pPr>
              <w:rPr>
                <w:rFonts w:ascii="Arial" w:hAnsi="Arial"/>
                <w:snapToGrid w:val="0"/>
                <w:sz w:val="18"/>
              </w:rPr>
            </w:pPr>
            <w:r>
              <w:rPr>
                <w:rFonts w:ascii="Arial" w:hAnsi="Arial"/>
                <w:snapToGrid w:val="0"/>
                <w:sz w:val="18"/>
              </w:rPr>
              <w:t>(FDEP, water management districts, FDCA, FDOT, Public Service Commission)</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Reuse Coordinating Committee</w:t>
            </w:r>
          </w:p>
        </w:tc>
      </w:tr>
      <w:tr w:rsidR="00485094" w:rsidTr="00394CAD">
        <w:trPr>
          <w:trHeight w:val="187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Army Corps of Engineers</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Public works program</w:t>
            </w:r>
          </w:p>
          <w:p w:rsidR="00485094" w:rsidRDefault="00485094" w:rsidP="00394CAD">
            <w:pPr>
              <w:rPr>
                <w:rFonts w:ascii="Arial" w:hAnsi="Arial"/>
                <w:snapToGrid w:val="0"/>
                <w:sz w:val="18"/>
              </w:rPr>
            </w:pPr>
            <w:r>
              <w:rPr>
                <w:rFonts w:ascii="Arial" w:hAnsi="Arial"/>
                <w:snapToGrid w:val="0"/>
                <w:sz w:val="18"/>
              </w:rPr>
              <w:t>b. State clearinghouse review process</w:t>
            </w:r>
          </w:p>
          <w:p w:rsidR="00485094" w:rsidRDefault="00485094" w:rsidP="00394CAD">
            <w:pPr>
              <w:rPr>
                <w:rFonts w:ascii="Arial" w:hAnsi="Arial"/>
                <w:snapToGrid w:val="0"/>
                <w:sz w:val="18"/>
              </w:rPr>
            </w:pPr>
            <w:r>
              <w:rPr>
                <w:rFonts w:ascii="Arial" w:hAnsi="Arial"/>
                <w:snapToGrid w:val="0"/>
                <w:sz w:val="18"/>
              </w:rPr>
              <w:t>c. Quarterly meetings between FDEP and the Corps</w:t>
            </w:r>
          </w:p>
          <w:p w:rsidR="00485094" w:rsidRDefault="00485094" w:rsidP="00394CAD">
            <w:pPr>
              <w:ind w:left="243" w:hanging="243"/>
              <w:rPr>
                <w:rFonts w:ascii="Arial" w:hAnsi="Arial"/>
                <w:snapToGrid w:val="0"/>
                <w:sz w:val="18"/>
              </w:rPr>
            </w:pPr>
            <w:r>
              <w:rPr>
                <w:rFonts w:ascii="Arial" w:hAnsi="Arial"/>
                <w:snapToGrid w:val="0"/>
                <w:sz w:val="18"/>
              </w:rPr>
              <w:t>d. Joint FDEP/Corps permit application process (CWA, Section 404)</w:t>
            </w:r>
          </w:p>
          <w:p w:rsidR="00485094" w:rsidRDefault="00485094" w:rsidP="00394CAD">
            <w:pPr>
              <w:rPr>
                <w:rFonts w:ascii="Arial" w:hAnsi="Arial"/>
                <w:snapToGrid w:val="0"/>
                <w:sz w:val="18"/>
              </w:rPr>
            </w:pPr>
            <w:r>
              <w:rPr>
                <w:rFonts w:ascii="Arial" w:hAnsi="Arial"/>
                <w:snapToGrid w:val="0"/>
                <w:sz w:val="18"/>
              </w:rPr>
              <w:t>e. Memoranda of understanding</w:t>
            </w:r>
          </w:p>
          <w:p w:rsidR="00485094" w:rsidRDefault="00485094" w:rsidP="00394CAD">
            <w:pPr>
              <w:rPr>
                <w:rFonts w:ascii="Arial" w:hAnsi="Arial"/>
                <w:snapToGrid w:val="0"/>
                <w:sz w:val="18"/>
              </w:rPr>
            </w:pPr>
            <w:r>
              <w:rPr>
                <w:rFonts w:ascii="Arial" w:hAnsi="Arial"/>
                <w:snapToGrid w:val="0"/>
                <w:sz w:val="18"/>
              </w:rPr>
              <w:t>f. Potential delegation of Section 404 permitting to FDEP</w:t>
            </w:r>
          </w:p>
        </w:tc>
      </w:tr>
      <w:tr w:rsidR="00485094" w:rsidTr="00394CAD">
        <w:trPr>
          <w:trHeight w:val="115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Environmental Protection Agency</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U. S. Environmental Protection Agency (EPA)/FDEP yearly work plans and grants</w:t>
            </w:r>
          </w:p>
          <w:p w:rsidR="00485094" w:rsidRDefault="00485094" w:rsidP="00394CAD">
            <w:pPr>
              <w:rPr>
                <w:rFonts w:ascii="Arial" w:hAnsi="Arial"/>
                <w:snapToGrid w:val="0"/>
                <w:sz w:val="18"/>
              </w:rPr>
            </w:pPr>
            <w:r>
              <w:rPr>
                <w:rFonts w:ascii="Arial" w:hAnsi="Arial"/>
                <w:snapToGrid w:val="0"/>
                <w:sz w:val="18"/>
              </w:rPr>
              <w:t>b. EPA technical assistance and special projects</w:t>
            </w:r>
          </w:p>
          <w:p w:rsidR="00485094" w:rsidRDefault="00485094" w:rsidP="00394CAD">
            <w:pPr>
              <w:rPr>
                <w:rFonts w:ascii="Arial" w:hAnsi="Arial"/>
                <w:snapToGrid w:val="0"/>
                <w:sz w:val="18"/>
              </w:rPr>
            </w:pPr>
            <w:r>
              <w:rPr>
                <w:rFonts w:ascii="Arial" w:hAnsi="Arial"/>
                <w:snapToGrid w:val="0"/>
                <w:sz w:val="18"/>
              </w:rPr>
              <w:t>c. Delegation of EPA/CWA programs to FDEP</w:t>
            </w:r>
          </w:p>
          <w:p w:rsidR="00485094" w:rsidRDefault="00485094" w:rsidP="00394CAD">
            <w:pPr>
              <w:rPr>
                <w:rFonts w:ascii="Arial" w:hAnsi="Arial"/>
                <w:snapToGrid w:val="0"/>
                <w:sz w:val="18"/>
              </w:rPr>
            </w:pPr>
            <w:r>
              <w:rPr>
                <w:rFonts w:ascii="Arial" w:hAnsi="Arial"/>
                <w:snapToGrid w:val="0"/>
                <w:sz w:val="18"/>
              </w:rPr>
              <w:t>d. National Estuary Program annual work plans and grants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National Oceanic and Atmospheric Administration</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Grants</w:t>
            </w:r>
          </w:p>
          <w:p w:rsidR="00485094" w:rsidRDefault="00485094" w:rsidP="00394CAD">
            <w:pPr>
              <w:rPr>
                <w:rFonts w:ascii="Arial" w:hAnsi="Arial"/>
                <w:snapToGrid w:val="0"/>
                <w:sz w:val="18"/>
              </w:rPr>
            </w:pPr>
            <w:r>
              <w:rPr>
                <w:rFonts w:ascii="Arial" w:hAnsi="Arial"/>
                <w:snapToGrid w:val="0"/>
                <w:sz w:val="18"/>
              </w:rPr>
              <w:t>b. Cooperative agreements and special projects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Geological Survey</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Contracts for technical services and data</w:t>
            </w:r>
          </w:p>
          <w:p w:rsidR="00485094" w:rsidRDefault="00485094" w:rsidP="00394CAD">
            <w:pPr>
              <w:rPr>
                <w:rFonts w:ascii="Arial" w:hAnsi="Arial"/>
                <w:snapToGrid w:val="0"/>
                <w:sz w:val="18"/>
              </w:rPr>
            </w:pPr>
            <w:r>
              <w:rPr>
                <w:rFonts w:ascii="Arial" w:hAnsi="Arial"/>
                <w:snapToGrid w:val="0"/>
                <w:sz w:val="18"/>
              </w:rPr>
              <w:t>b. Cooperative agreements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Department of Agriculture Natural Resource</w:t>
            </w:r>
            <w:r w:rsidR="00E22C45">
              <w:rPr>
                <w:rFonts w:ascii="Arial" w:hAnsi="Arial"/>
                <w:snapToGrid w:val="0"/>
                <w:sz w:val="18"/>
              </w:rPr>
              <w:t>s</w:t>
            </w:r>
            <w:r>
              <w:rPr>
                <w:rFonts w:ascii="Arial" w:hAnsi="Arial"/>
                <w:snapToGrid w:val="0"/>
                <w:sz w:val="18"/>
              </w:rPr>
              <w:t xml:space="preserve"> Conservation Service (formerly Soil Conservation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Contracts for technical services and data</w:t>
            </w:r>
          </w:p>
        </w:tc>
      </w:tr>
      <w:tr w:rsidR="00485094" w:rsidTr="00394CAD">
        <w:trPr>
          <w:trHeight w:val="432"/>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Forest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Ecosystem Management teams</w:t>
            </w:r>
          </w:p>
        </w:tc>
      </w:tr>
      <w:tr w:rsidR="00485094" w:rsidTr="00394CAD">
        <w:trPr>
          <w:trHeight w:val="86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U.S. Fish and Wildlife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Acquisition programs</w:t>
            </w:r>
          </w:p>
          <w:p w:rsidR="00485094" w:rsidRDefault="00485094" w:rsidP="00394CAD">
            <w:pPr>
              <w:rPr>
                <w:rFonts w:ascii="Arial" w:hAnsi="Arial"/>
                <w:snapToGrid w:val="0"/>
                <w:sz w:val="18"/>
              </w:rPr>
            </w:pPr>
            <w:r>
              <w:rPr>
                <w:rFonts w:ascii="Arial" w:hAnsi="Arial"/>
                <w:snapToGrid w:val="0"/>
                <w:sz w:val="18"/>
              </w:rPr>
              <w:t>b. Ecosystem Management teams</w:t>
            </w:r>
          </w:p>
          <w:p w:rsidR="00485094" w:rsidRDefault="00485094" w:rsidP="00394CAD">
            <w:pPr>
              <w:rPr>
                <w:rFonts w:ascii="Arial" w:hAnsi="Arial"/>
                <w:snapToGrid w:val="0"/>
                <w:sz w:val="18"/>
              </w:rPr>
            </w:pPr>
            <w:r>
              <w:rPr>
                <w:rFonts w:ascii="Arial" w:hAnsi="Arial"/>
                <w:snapToGrid w:val="0"/>
                <w:sz w:val="18"/>
              </w:rPr>
              <w:t>c. Special projects</w:t>
            </w:r>
          </w:p>
        </w:tc>
      </w:tr>
      <w:tr w:rsidR="00485094" w:rsidTr="00394CAD">
        <w:trPr>
          <w:trHeight w:val="720"/>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National Park Service</w:t>
            </w:r>
          </w:p>
        </w:tc>
        <w:tc>
          <w:tcPr>
            <w:tcW w:w="5571" w:type="dxa"/>
            <w:vAlign w:val="center"/>
          </w:tcPr>
          <w:p w:rsidR="00485094" w:rsidRDefault="00485094" w:rsidP="00394CAD">
            <w:pPr>
              <w:rPr>
                <w:rFonts w:ascii="Arial" w:hAnsi="Arial"/>
                <w:snapToGrid w:val="0"/>
                <w:sz w:val="18"/>
              </w:rPr>
            </w:pPr>
            <w:r>
              <w:rPr>
                <w:rFonts w:ascii="Arial" w:hAnsi="Arial"/>
                <w:snapToGrid w:val="0"/>
                <w:sz w:val="18"/>
              </w:rPr>
              <w:t>a. Acquisition programs</w:t>
            </w:r>
          </w:p>
          <w:p w:rsidR="00485094" w:rsidRDefault="00485094" w:rsidP="00394CAD">
            <w:pPr>
              <w:rPr>
                <w:rFonts w:ascii="Arial" w:hAnsi="Arial"/>
                <w:snapToGrid w:val="0"/>
                <w:sz w:val="18"/>
              </w:rPr>
            </w:pPr>
            <w:r>
              <w:rPr>
                <w:rFonts w:ascii="Arial" w:hAnsi="Arial"/>
                <w:snapToGrid w:val="0"/>
                <w:sz w:val="18"/>
              </w:rPr>
              <w:t>b. Ecosystem Management teams</w:t>
            </w:r>
          </w:p>
        </w:tc>
      </w:tr>
      <w:tr w:rsidR="00485094" w:rsidTr="00394CAD">
        <w:trPr>
          <w:trHeight w:val="1484"/>
          <w:jc w:val="center"/>
        </w:trPr>
        <w:tc>
          <w:tcPr>
            <w:tcW w:w="4428" w:type="dxa"/>
            <w:shd w:val="clear" w:color="auto" w:fill="FFFFCC"/>
            <w:vAlign w:val="center"/>
          </w:tcPr>
          <w:p w:rsidR="00485094" w:rsidRDefault="00485094" w:rsidP="00394CAD">
            <w:pPr>
              <w:rPr>
                <w:rFonts w:ascii="Arial" w:hAnsi="Arial"/>
                <w:snapToGrid w:val="0"/>
                <w:sz w:val="18"/>
              </w:rPr>
            </w:pPr>
            <w:r>
              <w:rPr>
                <w:rFonts w:ascii="Arial" w:hAnsi="Arial"/>
                <w:snapToGrid w:val="0"/>
                <w:sz w:val="18"/>
              </w:rPr>
              <w:t>Alabama and Georgia</w:t>
            </w:r>
          </w:p>
        </w:tc>
        <w:tc>
          <w:tcPr>
            <w:tcW w:w="5571" w:type="dxa"/>
            <w:vAlign w:val="center"/>
          </w:tcPr>
          <w:p w:rsidR="00485094" w:rsidRDefault="00485094" w:rsidP="00394CAD">
            <w:pPr>
              <w:ind w:left="243" w:hanging="243"/>
              <w:rPr>
                <w:rFonts w:ascii="Arial" w:hAnsi="Arial"/>
                <w:snapToGrid w:val="0"/>
                <w:sz w:val="18"/>
              </w:rPr>
            </w:pPr>
            <w:r>
              <w:rPr>
                <w:rFonts w:ascii="Arial" w:hAnsi="Arial"/>
                <w:snapToGrid w:val="0"/>
                <w:sz w:val="18"/>
              </w:rPr>
              <w:t>a. Memorandum of Agreement for Apalachicola–Chattahoochee–Flint/Alabama–Coosa–Tallapoosa Rivers Comprehensive Study</w:t>
            </w:r>
          </w:p>
          <w:p w:rsidR="00485094" w:rsidRDefault="00485094" w:rsidP="00394CAD">
            <w:pPr>
              <w:rPr>
                <w:rFonts w:ascii="Arial" w:hAnsi="Arial"/>
                <w:snapToGrid w:val="0"/>
                <w:sz w:val="18"/>
              </w:rPr>
            </w:pPr>
            <w:r>
              <w:rPr>
                <w:rFonts w:ascii="Arial" w:hAnsi="Arial"/>
                <w:snapToGrid w:val="0"/>
                <w:sz w:val="18"/>
              </w:rPr>
              <w:t>b. Suwannee River Coordinating Committee</w:t>
            </w:r>
          </w:p>
          <w:p w:rsidR="00485094" w:rsidRDefault="00485094" w:rsidP="00394CAD">
            <w:pPr>
              <w:rPr>
                <w:rFonts w:ascii="Arial" w:hAnsi="Arial"/>
                <w:snapToGrid w:val="0"/>
                <w:sz w:val="18"/>
              </w:rPr>
            </w:pPr>
            <w:r>
              <w:rPr>
                <w:rFonts w:ascii="Arial" w:hAnsi="Arial"/>
                <w:snapToGrid w:val="0"/>
                <w:sz w:val="18"/>
              </w:rPr>
              <w:t>c. St. Marys River Management Committee</w:t>
            </w:r>
          </w:p>
          <w:p w:rsidR="00485094" w:rsidRDefault="00485094" w:rsidP="00394CAD">
            <w:pPr>
              <w:rPr>
                <w:rFonts w:ascii="Arial" w:hAnsi="Arial"/>
                <w:snapToGrid w:val="0"/>
                <w:sz w:val="18"/>
              </w:rPr>
            </w:pPr>
            <w:r>
              <w:rPr>
                <w:rFonts w:ascii="Arial" w:hAnsi="Arial"/>
                <w:snapToGrid w:val="0"/>
                <w:sz w:val="18"/>
              </w:rPr>
              <w:t>d. Florida–Alabama Water Resources Coordinating Council</w:t>
            </w:r>
          </w:p>
        </w:tc>
      </w:tr>
    </w:tbl>
    <w:p w:rsidR="00485094" w:rsidRDefault="00485094" w:rsidP="00B215C8">
      <w:pPr>
        <w:pStyle w:val="Bodytextreduced"/>
      </w:pPr>
    </w:p>
    <w:p w:rsidR="00485094" w:rsidRDefault="00485094" w:rsidP="00B215C8">
      <w:pPr>
        <w:pStyle w:val="Caption"/>
        <w:rPr>
          <w:snapToGrid w:val="0"/>
        </w:rPr>
      </w:pPr>
      <w:bookmarkStart w:id="774" w:name="_Toc271280190"/>
      <w:r>
        <w:rPr>
          <w:snapToGrid w:val="0"/>
        </w:rPr>
        <w:t>Figure 11.1.  Agencies Responsible for Water Resource Coordination and Management in Florida</w:t>
      </w:r>
      <w:bookmarkEnd w:id="774"/>
    </w:p>
    <w:p w:rsidR="00485094" w:rsidRPr="008E4963" w:rsidRDefault="00B2471C" w:rsidP="00B215C8">
      <w:pPr>
        <w:pStyle w:val="Bodytextreduced"/>
      </w:pPr>
      <w:r>
        <w:rPr>
          <w:noProof/>
        </w:rPr>
        <w:pict>
          <v:shape id="_x0000_s1070" type="#_x0000_t75" alt="Figure 11.1.  Agencies Responsible for Water Resource Coordination and Management in Florida" style="position:absolute;margin-left:0;margin-top:99.35pt;width:519.1pt;height:370.3pt;z-index:-251647488;visibility:visible;mso-wrap-edited:f;mso-position-horizontal:center;mso-position-horizontal-relative:margin;mso-position-vertical-relative:page" fillcolor="window" stroked="t" strokeweight=".5pt">
            <v:imagedata r:id="rId193" o:title="" croptop="3273f"/>
            <w10:wrap type="square" anchorx="margin" anchory="page"/>
            <w10:anchorlock/>
          </v:shape>
          <o:OLEObject Type="Embed" ProgID="Word.Picture.8" ShapeID="_x0000_s1070" DrawAspect="Content" ObjectID="_1345633363" r:id="rId194"/>
        </w:pict>
      </w:r>
    </w:p>
    <w:p w:rsidR="00485094" w:rsidRDefault="00485094" w:rsidP="00B215C8">
      <w:pPr>
        <w:pStyle w:val="Bodytextreduced"/>
        <w:rPr>
          <w:snapToGrid w:val="0"/>
        </w:rPr>
      </w:pPr>
    </w:p>
    <w:p w:rsidR="00485094" w:rsidRPr="00D61F2C" w:rsidRDefault="00485094" w:rsidP="00DF1A46">
      <w:pPr>
        <w:pStyle w:val="Heading4"/>
      </w:pPr>
      <w:r w:rsidRPr="00D61F2C">
        <w:t>Recommended Nonpoint Source Programs</w:t>
      </w:r>
    </w:p>
    <w:p w:rsidR="00485094" w:rsidRDefault="00485094" w:rsidP="00B215C8">
      <w:pPr>
        <w:pStyle w:val="Bodytext"/>
        <w:rPr>
          <w:szCs w:val="22"/>
        </w:rPr>
      </w:pPr>
      <w:r w:rsidRPr="00112598">
        <w:rPr>
          <w:szCs w:val="22"/>
        </w:rPr>
        <w:t xml:space="preserve">FDEP </w:t>
      </w:r>
      <w:r>
        <w:rPr>
          <w:szCs w:val="22"/>
        </w:rPr>
        <w:t xml:space="preserve">is </w:t>
      </w:r>
      <w:r w:rsidRPr="00112598">
        <w:rPr>
          <w:szCs w:val="22"/>
        </w:rPr>
        <w:t xml:space="preserve">currently </w:t>
      </w:r>
      <w:r>
        <w:rPr>
          <w:szCs w:val="22"/>
        </w:rPr>
        <w:t xml:space="preserve">developing a revised statewide stormwater treatment rule that will </w:t>
      </w:r>
      <w:r w:rsidRPr="00112598">
        <w:rPr>
          <w:szCs w:val="22"/>
        </w:rPr>
        <w:t>increase the minimum level of treatment of nutrients from stormwater discharges</w:t>
      </w:r>
      <w:r>
        <w:rPr>
          <w:szCs w:val="22"/>
        </w:rPr>
        <w:t xml:space="preserve">.  It </w:t>
      </w:r>
      <w:r w:rsidRPr="00112598">
        <w:rPr>
          <w:szCs w:val="22"/>
        </w:rPr>
        <w:t xml:space="preserve">is </w:t>
      </w:r>
      <w:r>
        <w:rPr>
          <w:szCs w:val="22"/>
        </w:rPr>
        <w:t xml:space="preserve">also </w:t>
      </w:r>
      <w:r w:rsidRPr="00112598">
        <w:rPr>
          <w:szCs w:val="22"/>
        </w:rPr>
        <w:t xml:space="preserve">working with the development community </w:t>
      </w:r>
      <w:r>
        <w:rPr>
          <w:szCs w:val="22"/>
        </w:rPr>
        <w:t xml:space="preserve">and local governments </w:t>
      </w:r>
      <w:r w:rsidRPr="00112598">
        <w:rPr>
          <w:szCs w:val="22"/>
        </w:rPr>
        <w:t>to promote low-impact development</w:t>
      </w:r>
      <w:r>
        <w:rPr>
          <w:szCs w:val="22"/>
        </w:rPr>
        <w:t xml:space="preserve"> and practices such as green roofs, pervious pavements, and stormwater harvesting.  </w:t>
      </w:r>
    </w:p>
    <w:p w:rsidR="00485094" w:rsidRDefault="00485094" w:rsidP="00B215C8">
      <w:pPr>
        <w:pStyle w:val="Bodytext"/>
        <w:rPr>
          <w:szCs w:val="22"/>
        </w:rPr>
      </w:pPr>
    </w:p>
    <w:p w:rsidR="00485094" w:rsidRDefault="00485094" w:rsidP="00B215C8">
      <w:pPr>
        <w:pStyle w:val="Bodytext"/>
        <w:rPr>
          <w:szCs w:val="22"/>
        </w:rPr>
      </w:pPr>
      <w:r>
        <w:rPr>
          <w:szCs w:val="22"/>
        </w:rPr>
        <w:t xml:space="preserve">Another major focus has been reducing potential nutrient impacts from the fertilization of urban landscapes.  This is being implemented through </w:t>
      </w:r>
      <w:r w:rsidRPr="00112598">
        <w:rPr>
          <w:szCs w:val="22"/>
        </w:rPr>
        <w:t xml:space="preserve">the </w:t>
      </w:r>
      <w:hyperlink r:id="rId195" w:history="1">
        <w:r w:rsidRPr="001936BF">
          <w:rPr>
            <w:rStyle w:val="Hyperlink"/>
            <w:szCs w:val="22"/>
          </w:rPr>
          <w:t>Florida Yards and Neighborhoods Program</w:t>
        </w:r>
      </w:hyperlink>
      <w:r w:rsidRPr="00112598">
        <w:rPr>
          <w:szCs w:val="22"/>
        </w:rPr>
        <w:t>,</w:t>
      </w:r>
      <w:r>
        <w:rPr>
          <w:szCs w:val="22"/>
        </w:rPr>
        <w:t xml:space="preserve"> the </w:t>
      </w:r>
      <w:hyperlink r:id="rId196" w:history="1">
        <w:r w:rsidRPr="001936BF">
          <w:rPr>
            <w:rStyle w:val="Hyperlink"/>
            <w:szCs w:val="22"/>
          </w:rPr>
          <w:t>Green Industries BMP Training and Certification Program</w:t>
        </w:r>
      </w:hyperlink>
      <w:r>
        <w:rPr>
          <w:szCs w:val="22"/>
        </w:rPr>
        <w:t>, the development of a Florida-Friendly Model Landscape Ordinance, and a change in Florida’s fertilizer labeling rules such that only “Florida-friendly fertilizers” with low or no phosphorus and slow-release nitrogen are sold in Florida.</w:t>
      </w:r>
      <w:r w:rsidRPr="00112598">
        <w:rPr>
          <w:szCs w:val="22"/>
        </w:rPr>
        <w:t xml:space="preserve"> </w:t>
      </w:r>
    </w:p>
    <w:p w:rsidR="00485094" w:rsidRPr="00112598" w:rsidRDefault="00485094" w:rsidP="00B215C8">
      <w:pPr>
        <w:pStyle w:val="Bodytext"/>
        <w:rPr>
          <w:szCs w:val="22"/>
        </w:rPr>
      </w:pPr>
    </w:p>
    <w:p w:rsidR="00485094" w:rsidRDefault="00485094" w:rsidP="00B215C8">
      <w:pPr>
        <w:rPr>
          <w:rFonts w:ascii="Arial" w:hAnsi="Arial"/>
          <w:b/>
        </w:rPr>
      </w:pPr>
      <w:r>
        <w:rPr>
          <w:i/>
        </w:rPr>
        <w:br w:type="page"/>
      </w:r>
    </w:p>
    <w:p w:rsidR="00485094" w:rsidRDefault="00485094" w:rsidP="00DF1A46">
      <w:pPr>
        <w:pStyle w:val="Heading3"/>
      </w:pPr>
      <w:bookmarkStart w:id="775" w:name="_Toc271794416"/>
      <w:r w:rsidRPr="00D41EB7">
        <w:lastRenderedPageBreak/>
        <w:t>Costs and Benefits of Implementing Florida’s Surface Water Protection Programs to Meet the Clean Water Act’s Objectives</w:t>
      </w:r>
      <w:bookmarkEnd w:id="775"/>
    </w:p>
    <w:p w:rsidR="00485094" w:rsidRDefault="00485094" w:rsidP="00B215C8">
      <w:pPr>
        <w:pStyle w:val="Bodytext"/>
      </w:pPr>
      <w:r>
        <w:t xml:space="preserve">The EPA, in partnership with the states, conducts the Clean Watersheds Needs Survey (CWNS) to identify and document the cost of projects needed to address water quality and public health in all 50 states, the District of Columbia, and the U.S.-held territories.  The CWNS includes detailed estimates of the capital costs eligible for funding under the Clean Water State Revolving Fund (CWSRF) Program established by the 1987 Amendments to the CWA—that is, CWSRF-eligible costs.  The CWNS includes publicly owned municipal wastewater collection and treatment facilities, facilities for the control of combined sewer overflows (CSOs), activities designed to control stormwater runoff, activities designed to control nonpoint source pollution, and activities associated with implementing approved Comprehensive Conservation and Management Plans (CCMPs) under the National Estuary Program (NEP) established by Section 320 of the CWA. </w:t>
      </w:r>
    </w:p>
    <w:p w:rsidR="00485094" w:rsidRDefault="00485094" w:rsidP="00B215C8">
      <w:pPr>
        <w:pStyle w:val="Bodytext"/>
      </w:pPr>
    </w:p>
    <w:p w:rsidR="00485094" w:rsidRDefault="00485094" w:rsidP="00B215C8">
      <w:pPr>
        <w:pStyle w:val="Bodytext"/>
      </w:pPr>
      <w:r>
        <w:t>Key elements of the survey are as follows:</w:t>
      </w:r>
    </w:p>
    <w:p w:rsidR="00485094" w:rsidRDefault="00485094" w:rsidP="00B215C8">
      <w:pPr>
        <w:pStyle w:val="Bodytext"/>
      </w:pPr>
    </w:p>
    <w:p w:rsidR="00485094" w:rsidRPr="0069047F" w:rsidRDefault="00485094" w:rsidP="00B215C8">
      <w:pPr>
        <w:pStyle w:val="StyleListBullet11pt"/>
      </w:pPr>
      <w:r w:rsidRPr="0069047F">
        <w:t>Facilities must be publicly owned and operated,</w:t>
      </w:r>
    </w:p>
    <w:p w:rsidR="00485094" w:rsidRPr="0069047F" w:rsidRDefault="00485094" w:rsidP="00B215C8">
      <w:pPr>
        <w:pStyle w:val="StyleListBullet11pt"/>
      </w:pPr>
      <w:r w:rsidRPr="0069047F">
        <w:t>Costs represent capital needs (</w:t>
      </w:r>
      <w:r>
        <w:t>operating and maintenance</w:t>
      </w:r>
      <w:r w:rsidRPr="0069047F">
        <w:t xml:space="preserve"> costs are not represented), and</w:t>
      </w:r>
    </w:p>
    <w:p w:rsidR="00485094" w:rsidRPr="0069047F" w:rsidRDefault="00485094" w:rsidP="00B215C8">
      <w:pPr>
        <w:pStyle w:val="StyleListBullet11pt"/>
      </w:pPr>
      <w:r w:rsidRPr="0069047F">
        <w:t>Costs must be documented.</w:t>
      </w:r>
    </w:p>
    <w:p w:rsidR="00485094" w:rsidRDefault="00485094" w:rsidP="00B215C8">
      <w:pPr>
        <w:pStyle w:val="Bodytextreduced"/>
      </w:pPr>
    </w:p>
    <w:p w:rsidR="00485094" w:rsidRDefault="00485094" w:rsidP="00B215C8">
      <w:pPr>
        <w:pStyle w:val="Bodytext"/>
      </w:pPr>
      <w:r>
        <w:t>Historically, the costs have been interpreted as representing 20-year design needs, but since the 1996 survey, costs have been documented by planning and design documents representing horizons of 10 years or less.</w:t>
      </w:r>
    </w:p>
    <w:p w:rsidR="00485094" w:rsidRDefault="00485094" w:rsidP="00B215C8">
      <w:pPr>
        <w:pStyle w:val="Bodytext"/>
      </w:pPr>
    </w:p>
    <w:p w:rsidR="00485094" w:rsidRDefault="00485094" w:rsidP="00B215C8">
      <w:pPr>
        <w:pStyle w:val="Bodytext"/>
      </w:pPr>
      <w:r>
        <w:t xml:space="preserve">The survey is conducted every four years, and the results are published in the </w:t>
      </w:r>
      <w:r w:rsidRPr="007E7807">
        <w:rPr>
          <w:i/>
        </w:rPr>
        <w:t>Clean Watersheds Needs Survey Report to Congress</w:t>
      </w:r>
      <w:r>
        <w:t xml:space="preserve">.  While the 2008 survey results are not available, the 2004 survey results are available on the </w:t>
      </w:r>
      <w:hyperlink r:id="rId197" w:history="1">
        <w:r>
          <w:rPr>
            <w:rStyle w:val="Hyperlink"/>
          </w:rPr>
          <w:t>EPA C</w:t>
        </w:r>
        <w:r w:rsidRPr="00084DB2">
          <w:rPr>
            <w:rStyle w:val="Hyperlink"/>
          </w:rPr>
          <w:t>lean Watershed Needs Survey website</w:t>
        </w:r>
      </w:hyperlink>
      <w:r>
        <w:t xml:space="preserve">.  </w:t>
      </w:r>
      <w:r w:rsidRPr="009F64A1">
        <w:rPr>
          <w:b/>
          <w:i/>
        </w:rPr>
        <w:t xml:space="preserve">Table </w:t>
      </w:r>
      <w:r>
        <w:rPr>
          <w:b/>
          <w:i/>
        </w:rPr>
        <w:t>11.</w:t>
      </w:r>
      <w:r w:rsidR="00EB08C5">
        <w:rPr>
          <w:b/>
          <w:i/>
        </w:rPr>
        <w:t>3</w:t>
      </w:r>
      <w:r>
        <w:t xml:space="preserve"> summarizes the most recent survey results for Florida.</w:t>
      </w:r>
    </w:p>
    <w:p w:rsidR="00485094" w:rsidRDefault="00485094" w:rsidP="00B215C8">
      <w:pPr>
        <w:pStyle w:val="Bodytext"/>
      </w:pPr>
    </w:p>
    <w:p w:rsidR="00485094" w:rsidRDefault="00485094" w:rsidP="00B215C8">
      <w:pPr>
        <w:pStyle w:val="Bodytext"/>
      </w:pPr>
      <w:r>
        <w:t xml:space="preserve">These needs are being addressed by several funding mechanisms, most notably the CWA State Revolving Fund (SRF) Program; direct congressional appropriations through the State and Tribal Assistance Grant (STAG) Program; state appropriations through the Community Budget Initiative Request (CBIR) Program; the </w:t>
      </w:r>
      <w:hyperlink r:id="rId198" w:history="1">
        <w:r w:rsidRPr="0054522E">
          <w:rPr>
            <w:rStyle w:val="Hyperlink"/>
          </w:rPr>
          <w:t>Comprehensive Everglades Restoration Plan</w:t>
        </w:r>
      </w:hyperlink>
      <w:r>
        <w:t xml:space="preserve"> (CERP) (a joint 50/50 program funded by Florida and the EPA); Section 319 nonpoint source grants; TMDL Water Quality Restoration Grants; and local county, municipal, and water management district programs. </w:t>
      </w:r>
    </w:p>
    <w:p w:rsidR="00485094" w:rsidRDefault="00485094" w:rsidP="00B215C8">
      <w:pPr>
        <w:pStyle w:val="Bodytext"/>
      </w:pPr>
    </w:p>
    <w:p w:rsidR="00485094" w:rsidRPr="00FD3B2E" w:rsidRDefault="00485094" w:rsidP="00DF1A46">
      <w:pPr>
        <w:pStyle w:val="Heading4"/>
        <w:rPr>
          <w:snapToGrid w:val="0"/>
        </w:rPr>
      </w:pPr>
      <w:r w:rsidRPr="00595B30">
        <w:rPr>
          <w:snapToGrid w:val="0"/>
        </w:rPr>
        <w:t>Dedicated Funding</w:t>
      </w:r>
    </w:p>
    <w:p w:rsidR="00485094" w:rsidRPr="00FD3B2E" w:rsidRDefault="00485094" w:rsidP="00B215C8">
      <w:pPr>
        <w:pStyle w:val="BodyText0"/>
        <w:rPr>
          <w:snapToGrid w:val="0"/>
          <w:sz w:val="22"/>
          <w:szCs w:val="22"/>
        </w:rPr>
      </w:pPr>
      <w:r w:rsidRPr="00595B30">
        <w:rPr>
          <w:snapToGrid w:val="0"/>
          <w:sz w:val="22"/>
          <w:szCs w:val="22"/>
        </w:rPr>
        <w:t xml:space="preserve">Dedicated funding for nonpoint source management programs is crucial to their success.  In 1986, legislation was passed that authorized local governments to implement stormwater utility fees to provide funding for stormwater treatment and infrastructure.  Today, over 140 of Florida’s local governments have implemented a stormwater utility fee, with the average fee for a single-family homeowner of $3.50.  These dedicated local stormwater funds open the door for cost-sharing from FDEP and the water management districts for stormwater retrofitting projects.  </w:t>
      </w:r>
    </w:p>
    <w:p w:rsidR="00485094" w:rsidRPr="00FD3B2E" w:rsidRDefault="00485094" w:rsidP="00B215C8">
      <w:pPr>
        <w:pStyle w:val="BodyText0"/>
        <w:rPr>
          <w:snapToGrid w:val="0"/>
          <w:sz w:val="22"/>
          <w:szCs w:val="22"/>
        </w:rPr>
      </w:pPr>
    </w:p>
    <w:p w:rsidR="00485094" w:rsidRPr="00FD3B2E" w:rsidRDefault="00485094" w:rsidP="00B215C8">
      <w:pPr>
        <w:pStyle w:val="BodyText0"/>
        <w:rPr>
          <w:snapToGrid w:val="0"/>
          <w:sz w:val="22"/>
          <w:szCs w:val="22"/>
        </w:rPr>
      </w:pPr>
      <w:r w:rsidRPr="00595B30">
        <w:rPr>
          <w:snapToGrid w:val="0"/>
          <w:sz w:val="22"/>
          <w:szCs w:val="22"/>
        </w:rPr>
        <w:t xml:space="preserve">In 1994 the </w:t>
      </w:r>
      <w:r>
        <w:rPr>
          <w:snapToGrid w:val="0"/>
          <w:sz w:val="22"/>
          <w:szCs w:val="22"/>
        </w:rPr>
        <w:t>Legislature</w:t>
      </w:r>
      <w:r w:rsidRPr="00595B30">
        <w:rPr>
          <w:snapToGrid w:val="0"/>
          <w:sz w:val="22"/>
          <w:szCs w:val="22"/>
        </w:rPr>
        <w:t xml:space="preserve"> adopted the Nitrate Bill, which imposed a small fee on nitrogen fertilizers.  These funds are used to fund research to develop BMPs to reduce the leaching of </w:t>
      </w:r>
      <w:r w:rsidRPr="00595B30">
        <w:rPr>
          <w:snapToGrid w:val="0"/>
          <w:sz w:val="22"/>
          <w:szCs w:val="22"/>
        </w:rPr>
        <w:lastRenderedPageBreak/>
        <w:t xml:space="preserve">nitrogen into ground water, especially from agricultural producers.  In 2004, the Nitrate Bill was expanded to add a fee for phosphorus fertilizers and also to address the eutrophication of surface waters.  </w:t>
      </w:r>
    </w:p>
    <w:p w:rsidR="00485094" w:rsidRPr="00FD3B2E" w:rsidRDefault="00485094" w:rsidP="00B215C8">
      <w:pPr>
        <w:pStyle w:val="BodyText0"/>
        <w:rPr>
          <w:snapToGrid w:val="0"/>
          <w:sz w:val="22"/>
          <w:szCs w:val="22"/>
        </w:rPr>
      </w:pPr>
    </w:p>
    <w:p w:rsidR="00485094" w:rsidRPr="00FD3B2E" w:rsidRDefault="00485094" w:rsidP="00B215C8">
      <w:pPr>
        <w:pStyle w:val="BodyText0"/>
        <w:rPr>
          <w:snapToGrid w:val="0"/>
          <w:sz w:val="22"/>
          <w:szCs w:val="22"/>
        </w:rPr>
      </w:pPr>
      <w:r w:rsidRPr="00595B30">
        <w:rPr>
          <w:snapToGrid w:val="0"/>
          <w:sz w:val="22"/>
          <w:szCs w:val="22"/>
        </w:rPr>
        <w:t xml:space="preserve">In 1997, legislation expanded the scope of the State Revolving Loan Fund Program to provide funding for stormwater retrofitting projects and for agricultural BMP implementation.  With the passage of the FWRA in 1999, FDEP and FDACS were authorized to receive documentary stamp funding for the research and demonstration of urban and agricultural BMPs.  Funding has varied from $2.8 million to $9.2 million per year.  </w:t>
      </w:r>
    </w:p>
    <w:p w:rsidR="00485094" w:rsidRPr="00FD3B2E" w:rsidRDefault="00485094" w:rsidP="00B215C8">
      <w:pPr>
        <w:pStyle w:val="BodyText0"/>
        <w:rPr>
          <w:snapToGrid w:val="0"/>
          <w:sz w:val="22"/>
          <w:szCs w:val="22"/>
        </w:rPr>
      </w:pPr>
    </w:p>
    <w:p w:rsidR="00485094" w:rsidRDefault="00485094" w:rsidP="00B215C8">
      <w:pPr>
        <w:pStyle w:val="BodyText0"/>
        <w:rPr>
          <w:snapToGrid w:val="0"/>
          <w:sz w:val="22"/>
          <w:szCs w:val="22"/>
        </w:rPr>
      </w:pPr>
      <w:r w:rsidRPr="00595B30">
        <w:rPr>
          <w:snapToGrid w:val="0"/>
          <w:sz w:val="22"/>
          <w:szCs w:val="22"/>
        </w:rPr>
        <w:t>Finally, as discussed ea</w:t>
      </w:r>
      <w:r>
        <w:rPr>
          <w:snapToGrid w:val="0"/>
          <w:sz w:val="22"/>
          <w:szCs w:val="22"/>
        </w:rPr>
        <w:t>rlier, in 2005 the L</w:t>
      </w:r>
      <w:r w:rsidRPr="00595B30">
        <w:rPr>
          <w:snapToGrid w:val="0"/>
          <w:sz w:val="22"/>
          <w:szCs w:val="22"/>
        </w:rPr>
        <w:t>egislature established a new funding source that will provide FDEP with about $2 million per year for the TMDL Water Quality Restoration Grant Program, allowing FDEP to partner with local governments on urban stormwater retrofitting projects.</w:t>
      </w:r>
    </w:p>
    <w:p w:rsidR="00485094" w:rsidRDefault="00485094" w:rsidP="00B215C8">
      <w:pPr>
        <w:pStyle w:val="BodyText0"/>
        <w:rPr>
          <w:snapToGrid w:val="0"/>
          <w:sz w:val="22"/>
          <w:szCs w:val="22"/>
        </w:rPr>
      </w:pPr>
    </w:p>
    <w:p w:rsidR="00485094" w:rsidRPr="00FF4CBF" w:rsidRDefault="00485094" w:rsidP="00B215C8">
      <w:pPr>
        <w:pStyle w:val="Tableheading"/>
      </w:pPr>
      <w:bookmarkStart w:id="776" w:name="_Toc271889881"/>
      <w:r w:rsidRPr="00FF4CBF">
        <w:t xml:space="preserve">Table </w:t>
      </w:r>
      <w:r>
        <w:t>11</w:t>
      </w:r>
      <w:r w:rsidRPr="00FF4CBF">
        <w:t>.</w:t>
      </w:r>
      <w:r w:rsidR="00EB08C5">
        <w:t>3</w:t>
      </w:r>
      <w:r w:rsidRPr="00FF4CBF">
        <w:t>.  Results of the 2004 Clean Watersheds Needs Survey for Florida</w:t>
      </w:r>
      <w:bookmarkEnd w:id="776"/>
    </w:p>
    <w:p w:rsidR="00485094" w:rsidRDefault="00550C22" w:rsidP="00B215C8">
      <w:pPr>
        <w:pStyle w:val="TabledescriptionBF"/>
      </w:pPr>
      <w:r>
        <w:t xml:space="preserve">This is a two-column table.  </w:t>
      </w:r>
      <w:r w:rsidR="00485094">
        <w:t>Column 1 lists the category of need, and Column 2 lists the dollar amount needed.</w:t>
      </w:r>
    </w:p>
    <w:p w:rsidR="00485094" w:rsidRPr="00C04E26" w:rsidRDefault="00485094" w:rsidP="00C04E26">
      <w:pPr>
        <w:rPr>
          <w:rFonts w:ascii="Arial" w:hAnsi="Arial" w:cs="Arial"/>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90"/>
        <w:gridCol w:w="1726"/>
      </w:tblGrid>
      <w:tr w:rsidR="00485094" w:rsidRPr="00E76B4B" w:rsidTr="00394CAD">
        <w:trPr>
          <w:trHeight w:val="288"/>
          <w:jc w:val="center"/>
        </w:trPr>
        <w:tc>
          <w:tcPr>
            <w:tcW w:w="5690" w:type="dxa"/>
            <w:tcBorders>
              <w:bottom w:val="double" w:sz="4" w:space="0" w:color="auto"/>
            </w:tcBorders>
            <w:shd w:val="clear" w:color="auto" w:fill="BDFFFF"/>
            <w:vAlign w:val="center"/>
          </w:tcPr>
          <w:p w:rsidR="00485094" w:rsidRPr="00E76B4B" w:rsidRDefault="00485094" w:rsidP="00394CAD">
            <w:pPr>
              <w:pStyle w:val="TableText"/>
              <w:jc w:val="center"/>
              <w:rPr>
                <w:b/>
                <w:i/>
              </w:rPr>
            </w:pPr>
            <w:r w:rsidRPr="00E76B4B">
              <w:rPr>
                <w:b/>
                <w:i/>
              </w:rPr>
              <w:t>Category of Need</w:t>
            </w:r>
          </w:p>
        </w:tc>
        <w:tc>
          <w:tcPr>
            <w:tcW w:w="1726" w:type="dxa"/>
            <w:tcBorders>
              <w:bottom w:val="double" w:sz="4" w:space="0" w:color="auto"/>
            </w:tcBorders>
            <w:shd w:val="clear" w:color="auto" w:fill="BDFFFF"/>
            <w:vAlign w:val="center"/>
          </w:tcPr>
          <w:p w:rsidR="00485094" w:rsidRPr="00E76B4B" w:rsidRDefault="00485094" w:rsidP="00394CAD">
            <w:pPr>
              <w:pStyle w:val="TableText"/>
              <w:jc w:val="center"/>
              <w:rPr>
                <w:b/>
                <w:i/>
              </w:rPr>
            </w:pPr>
            <w:r w:rsidRPr="00E76B4B">
              <w:rPr>
                <w:b/>
                <w:i/>
              </w:rPr>
              <w:t>Needs ($000)</w:t>
            </w:r>
          </w:p>
        </w:tc>
      </w:tr>
      <w:tr w:rsidR="00485094" w:rsidTr="00394CAD">
        <w:trPr>
          <w:trHeight w:val="288"/>
          <w:jc w:val="center"/>
        </w:trPr>
        <w:tc>
          <w:tcPr>
            <w:tcW w:w="5690" w:type="dxa"/>
            <w:tcBorders>
              <w:top w:val="double" w:sz="4" w:space="0" w:color="auto"/>
            </w:tcBorders>
            <w:shd w:val="clear" w:color="auto" w:fill="FFFFCC"/>
            <w:vAlign w:val="center"/>
          </w:tcPr>
          <w:p w:rsidR="00485094" w:rsidRDefault="00485094" w:rsidP="00394CAD">
            <w:pPr>
              <w:pStyle w:val="TableText"/>
              <w:ind w:left="738"/>
            </w:pPr>
            <w:r>
              <w:t>Category I – Secondary Treatment</w:t>
            </w:r>
          </w:p>
        </w:tc>
        <w:tc>
          <w:tcPr>
            <w:tcW w:w="1726" w:type="dxa"/>
            <w:tcBorders>
              <w:top w:val="double" w:sz="4" w:space="0" w:color="auto"/>
            </w:tcBorders>
            <w:vAlign w:val="center"/>
          </w:tcPr>
          <w:p w:rsidR="00485094" w:rsidRDefault="00485094" w:rsidP="00394CAD">
            <w:pPr>
              <w:pStyle w:val="TableText"/>
              <w:jc w:val="center"/>
            </w:pPr>
            <w:r>
              <w:t>$       33,611</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 – Advanced Treatment</w:t>
            </w:r>
          </w:p>
        </w:tc>
        <w:tc>
          <w:tcPr>
            <w:tcW w:w="1726" w:type="dxa"/>
            <w:vAlign w:val="center"/>
          </w:tcPr>
          <w:p w:rsidR="00485094" w:rsidRDefault="00485094" w:rsidP="00394CAD">
            <w:pPr>
              <w:pStyle w:val="TableText"/>
              <w:jc w:val="center"/>
            </w:pPr>
            <w:r>
              <w:t>$  4,595,918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III-A – Inflow/Infiltration Correction</w:t>
            </w:r>
          </w:p>
        </w:tc>
        <w:tc>
          <w:tcPr>
            <w:tcW w:w="1726" w:type="dxa"/>
            <w:vAlign w:val="center"/>
          </w:tcPr>
          <w:p w:rsidR="00485094" w:rsidRDefault="00485094" w:rsidP="00394CAD">
            <w:pPr>
              <w:pStyle w:val="TableText"/>
              <w:jc w:val="center"/>
            </w:pPr>
            <w:r>
              <w:t>$     310,526</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III-B – Major Sewer Rehabilitation</w:t>
            </w:r>
          </w:p>
        </w:tc>
        <w:tc>
          <w:tcPr>
            <w:tcW w:w="1726" w:type="dxa"/>
            <w:vAlign w:val="center"/>
          </w:tcPr>
          <w:p w:rsidR="00485094" w:rsidRDefault="00485094" w:rsidP="00394CAD">
            <w:pPr>
              <w:pStyle w:val="TableText"/>
              <w:jc w:val="center"/>
            </w:pPr>
            <w:r>
              <w:t>$     960,088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IV-A – New Collector Sewers</w:t>
            </w:r>
          </w:p>
        </w:tc>
        <w:tc>
          <w:tcPr>
            <w:tcW w:w="1726" w:type="dxa"/>
            <w:vAlign w:val="center"/>
          </w:tcPr>
          <w:p w:rsidR="00485094" w:rsidRDefault="00485094" w:rsidP="00394CAD">
            <w:pPr>
              <w:pStyle w:val="TableText"/>
              <w:jc w:val="center"/>
            </w:pPr>
            <w:r>
              <w:t>$  1,752,257</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IV-B – New Transmission Facilities</w:t>
            </w:r>
          </w:p>
        </w:tc>
        <w:tc>
          <w:tcPr>
            <w:tcW w:w="1726" w:type="dxa"/>
            <w:vAlign w:val="center"/>
          </w:tcPr>
          <w:p w:rsidR="00485094" w:rsidRDefault="00485094" w:rsidP="00394CAD">
            <w:pPr>
              <w:pStyle w:val="TableText"/>
              <w:jc w:val="center"/>
            </w:pPr>
            <w:r>
              <w:t>$  1,392,458</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 – Combined Sewer Overflow Correction</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 – MS4 Permitted Stormwater Management</w:t>
            </w:r>
          </w:p>
        </w:tc>
        <w:tc>
          <w:tcPr>
            <w:tcW w:w="1726" w:type="dxa"/>
            <w:vAlign w:val="center"/>
          </w:tcPr>
          <w:p w:rsidR="00485094" w:rsidRDefault="00485094" w:rsidP="00394CAD">
            <w:pPr>
              <w:pStyle w:val="TableText"/>
              <w:jc w:val="center"/>
            </w:pPr>
            <w:r>
              <w:t>$  2,182,750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VII – Nonpoint Source BMPs</w:t>
            </w:r>
          </w:p>
        </w:tc>
        <w:tc>
          <w:tcPr>
            <w:tcW w:w="1726" w:type="dxa"/>
            <w:vAlign w:val="center"/>
          </w:tcPr>
          <w:p w:rsidR="00485094" w:rsidRDefault="00485094" w:rsidP="00394CAD">
            <w:pPr>
              <w:pStyle w:val="TableText"/>
              <w:jc w:val="center"/>
            </w:pPr>
            <w:r>
              <w:t>$  9,285,007</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VIII – Confined Animals Point Source</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IX – Mining Point Source</w:t>
            </w:r>
          </w:p>
        </w:tc>
        <w:tc>
          <w:tcPr>
            <w:tcW w:w="1726" w:type="dxa"/>
            <w:vAlign w:val="center"/>
          </w:tcPr>
          <w:p w:rsidR="00485094" w:rsidRDefault="00485094" w:rsidP="00394CAD">
            <w:pPr>
              <w:pStyle w:val="TableText"/>
              <w:jc w:val="center"/>
            </w:pPr>
            <w:r>
              <w:t>0</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X – Recycled Reclaimed Water Distribution</w:t>
            </w:r>
          </w:p>
        </w:tc>
        <w:tc>
          <w:tcPr>
            <w:tcW w:w="1726" w:type="dxa"/>
            <w:vAlign w:val="center"/>
          </w:tcPr>
          <w:p w:rsidR="00485094" w:rsidRDefault="00485094" w:rsidP="00394CAD">
            <w:pPr>
              <w:pStyle w:val="TableText"/>
              <w:jc w:val="center"/>
            </w:pPr>
            <w:r>
              <w:t>$  1,672,115</w:t>
            </w:r>
          </w:p>
        </w:tc>
      </w:tr>
      <w:tr w:rsidR="00485094" w:rsidTr="00394CAD">
        <w:trPr>
          <w:trHeight w:val="288"/>
          <w:jc w:val="center"/>
        </w:trPr>
        <w:tc>
          <w:tcPr>
            <w:tcW w:w="5690" w:type="dxa"/>
            <w:shd w:val="clear" w:color="auto" w:fill="FFFFCC"/>
            <w:vAlign w:val="center"/>
          </w:tcPr>
          <w:p w:rsidR="00485094" w:rsidRDefault="00485094" w:rsidP="00394CAD">
            <w:pPr>
              <w:pStyle w:val="TableText"/>
              <w:ind w:left="738"/>
            </w:pPr>
            <w:r>
              <w:t>Category XI – Estuary Management</w:t>
            </w:r>
          </w:p>
        </w:tc>
        <w:tc>
          <w:tcPr>
            <w:tcW w:w="1726" w:type="dxa"/>
            <w:vAlign w:val="center"/>
          </w:tcPr>
          <w:p w:rsidR="00485094" w:rsidRDefault="00485094" w:rsidP="00394CAD">
            <w:pPr>
              <w:pStyle w:val="TableText"/>
              <w:jc w:val="center"/>
            </w:pPr>
            <w:r>
              <w:t>$       63,073</w:t>
            </w:r>
          </w:p>
        </w:tc>
      </w:tr>
      <w:tr w:rsidR="00485094" w:rsidRPr="00E76B4B" w:rsidTr="00394CAD">
        <w:trPr>
          <w:trHeight w:val="288"/>
          <w:jc w:val="center"/>
        </w:trPr>
        <w:tc>
          <w:tcPr>
            <w:tcW w:w="5690" w:type="dxa"/>
            <w:shd w:val="clear" w:color="auto" w:fill="FFD9FF"/>
            <w:vAlign w:val="center"/>
          </w:tcPr>
          <w:p w:rsidR="00485094" w:rsidRPr="00E76B4B" w:rsidRDefault="00485094" w:rsidP="00394CAD">
            <w:pPr>
              <w:pStyle w:val="TableText"/>
              <w:jc w:val="center"/>
              <w:rPr>
                <w:b/>
              </w:rPr>
            </w:pPr>
            <w:r w:rsidRPr="00E76B4B">
              <w:rPr>
                <w:b/>
              </w:rPr>
              <w:t>Florida’s Total Needs</w:t>
            </w:r>
          </w:p>
        </w:tc>
        <w:tc>
          <w:tcPr>
            <w:tcW w:w="1726" w:type="dxa"/>
            <w:shd w:val="clear" w:color="auto" w:fill="FFD9FF"/>
            <w:vAlign w:val="center"/>
          </w:tcPr>
          <w:p w:rsidR="00485094" w:rsidRPr="00E76B4B" w:rsidRDefault="00B2471C" w:rsidP="00394CAD">
            <w:pPr>
              <w:pStyle w:val="TableText"/>
              <w:jc w:val="center"/>
              <w:rPr>
                <w:b/>
              </w:rPr>
            </w:pPr>
            <w:r w:rsidRPr="00E76B4B">
              <w:rPr>
                <w:b/>
              </w:rPr>
              <w:fldChar w:fldCharType="begin"/>
            </w:r>
            <w:r w:rsidR="00485094" w:rsidRPr="00E76B4B">
              <w:rPr>
                <w:b/>
              </w:rPr>
              <w:instrText xml:space="preserve"> =SUM(ABOVE) \# "$#,##0;($#,##0)" </w:instrText>
            </w:r>
            <w:r w:rsidRPr="00E76B4B">
              <w:rPr>
                <w:b/>
              </w:rPr>
              <w:fldChar w:fldCharType="separate"/>
            </w:r>
            <w:r w:rsidR="00485094" w:rsidRPr="00E76B4B">
              <w:rPr>
                <w:b/>
                <w:noProof/>
              </w:rPr>
              <w:t>$22,247,803</w:t>
            </w:r>
            <w:r w:rsidRPr="00E76B4B">
              <w:rPr>
                <w:b/>
              </w:rPr>
              <w:fldChar w:fldCharType="end"/>
            </w:r>
          </w:p>
        </w:tc>
      </w:tr>
    </w:tbl>
    <w:p w:rsidR="00485094" w:rsidRDefault="00485094" w:rsidP="00B215C8">
      <w:pPr>
        <w:pStyle w:val="Bodytextreduced"/>
      </w:pPr>
    </w:p>
    <w:p w:rsidR="00485094" w:rsidRDefault="00485094" w:rsidP="00B215C8">
      <w:pPr>
        <w:pStyle w:val="Bodytextreduced"/>
      </w:pPr>
    </w:p>
    <w:p w:rsidR="00485094" w:rsidRDefault="00485094" w:rsidP="00DF1A46">
      <w:pPr>
        <w:pStyle w:val="Heading4"/>
      </w:pPr>
      <w:r w:rsidRPr="00313FDB">
        <w:t>Clean Water State Revolving Fund Program</w:t>
      </w:r>
    </w:p>
    <w:p w:rsidR="00485094" w:rsidRDefault="00485094" w:rsidP="00B215C8">
      <w:pPr>
        <w:pStyle w:val="Bodytext"/>
      </w:pPr>
      <w:r w:rsidRPr="00D55129">
        <w:t xml:space="preserve">The </w:t>
      </w:r>
      <w:r>
        <w:t xml:space="preserve">CWSRF </w:t>
      </w:r>
      <w:r w:rsidRPr="00D55129">
        <w:t>Program provides low</w:t>
      </w:r>
      <w:r>
        <w:t>-</w:t>
      </w:r>
      <w:r w:rsidRPr="00D55129">
        <w:t xml:space="preserve">interest loans for water pollution control activities and facilities.  Water pollution </w:t>
      </w:r>
      <w:r>
        <w:t>sources</w:t>
      </w:r>
      <w:r w:rsidRPr="00D55129">
        <w:t xml:space="preserve"> </w:t>
      </w:r>
      <w:r>
        <w:t>ar</w:t>
      </w:r>
      <w:r w:rsidRPr="00D55129">
        <w:t>e divided into point source</w:t>
      </w:r>
      <w:r>
        <w:t>s (typically domestic and industrial wastewater discharges)</w:t>
      </w:r>
      <w:r w:rsidRPr="00D55129">
        <w:t xml:space="preserve"> and nonpoint source</w:t>
      </w:r>
      <w:r>
        <w:t>s</w:t>
      </w:r>
      <w:r w:rsidRPr="00D55129">
        <w:t xml:space="preserve"> (</w:t>
      </w:r>
      <w:r>
        <w:t>generally related to leaching or runoff associated with rainfall events from various land uses</w:t>
      </w:r>
      <w:r w:rsidRPr="00D55129">
        <w:t xml:space="preserve">).  </w:t>
      </w:r>
      <w:r>
        <w:t>Since the program</w:t>
      </w:r>
      <w:r w:rsidRPr="00D55129">
        <w:t xml:space="preserve"> began in 1989</w:t>
      </w:r>
      <w:r>
        <w:t>,</w:t>
      </w:r>
      <w:r w:rsidRPr="00D55129">
        <w:t xml:space="preserve"> </w:t>
      </w:r>
      <w:r>
        <w:t xml:space="preserve">FDEP has made </w:t>
      </w:r>
      <w:r w:rsidRPr="00D55129">
        <w:t xml:space="preserve">over </w:t>
      </w:r>
      <w:r>
        <w:t>$2</w:t>
      </w:r>
      <w:r w:rsidRPr="00D55129">
        <w:t xml:space="preserve"> billion</w:t>
      </w:r>
      <w:r>
        <w:t xml:space="preserve"> in loans</w:t>
      </w:r>
      <w:r w:rsidRPr="00D55129">
        <w:t xml:space="preserve">.  The </w:t>
      </w:r>
      <w:r>
        <w:t>p</w:t>
      </w:r>
      <w:r w:rsidRPr="00D55129">
        <w:t>rogram revolves in perpetuity</w:t>
      </w:r>
      <w:r>
        <w:t>,</w:t>
      </w:r>
      <w:r w:rsidRPr="00D55129">
        <w:t xml:space="preserve"> using state and federal appropriations, loan repayments, investme</w:t>
      </w:r>
      <w:r>
        <w:t>nt earnings, and bond proceeds.</w:t>
      </w:r>
    </w:p>
    <w:p w:rsidR="00485094" w:rsidRDefault="00485094" w:rsidP="00B215C8">
      <w:pPr>
        <w:pStyle w:val="Bodytext"/>
      </w:pPr>
    </w:p>
    <w:p w:rsidR="00485094" w:rsidRPr="00532CE3" w:rsidRDefault="00485094" w:rsidP="00B215C8">
      <w:pPr>
        <w:pStyle w:val="Bodytext"/>
      </w:pPr>
      <w:r>
        <w:t>This program evolved from the federal Construction Grants Program as a result of the 1988 a</w:t>
      </w:r>
      <w:r w:rsidRPr="00532CE3">
        <w:t xml:space="preserve">mendments to the CWA.  </w:t>
      </w:r>
      <w:r>
        <w:t xml:space="preserve">Between 1958 and 1988, almost $2 billion was disbursed from the Construction Grants Program </w:t>
      </w:r>
      <w:r w:rsidRPr="00D55129">
        <w:t xml:space="preserve">to </w:t>
      </w:r>
      <w:r>
        <w:t>help</w:t>
      </w:r>
      <w:r w:rsidRPr="00D55129">
        <w:t xml:space="preserve"> municipalities meet </w:t>
      </w:r>
      <w:r>
        <w:t xml:space="preserve">the </w:t>
      </w:r>
      <w:r w:rsidRPr="00D55129">
        <w:t>enforceable requirements of the C</w:t>
      </w:r>
      <w:r>
        <w:t xml:space="preserve">WA, particularly applicable NPDES </w:t>
      </w:r>
      <w:r w:rsidRPr="00D55129">
        <w:t>permit requirements</w:t>
      </w:r>
      <w:r>
        <w:t xml:space="preserve">.  </w:t>
      </w:r>
      <w:r w:rsidRPr="00532CE3">
        <w:t>Only a few federal construction grants were awarded after 1988, with the last grant awarded in 1994 to Marathon.</w:t>
      </w:r>
    </w:p>
    <w:p w:rsidR="00485094" w:rsidRDefault="00485094" w:rsidP="00B215C8">
      <w:pPr>
        <w:pStyle w:val="Bodytext"/>
      </w:pPr>
    </w:p>
    <w:p w:rsidR="00485094" w:rsidRPr="00D55129" w:rsidRDefault="00485094" w:rsidP="00B215C8">
      <w:pPr>
        <w:pStyle w:val="Bodytext"/>
      </w:pPr>
      <w:r w:rsidRPr="00D55129">
        <w:t xml:space="preserve">Projects eligible for </w:t>
      </w:r>
      <w:r>
        <w:t>CW</w:t>
      </w:r>
      <w:r w:rsidRPr="00D55129">
        <w:t xml:space="preserve">SRF loans include wastewater management facilities, reclaimed wastewater reuse facilities, stormwater management facilities, widely accepted pollution control practices (sometimes called </w:t>
      </w:r>
      <w:r>
        <w:t>BMPs</w:t>
      </w:r>
      <w:r w:rsidRPr="00D55129">
        <w:t xml:space="preserve">) associated with agricultural stormwater runoff pollution control activities, brownfields associated with </w:t>
      </w:r>
      <w:r>
        <w:t xml:space="preserve">the </w:t>
      </w:r>
      <w:r w:rsidRPr="00D55129">
        <w:t xml:space="preserve">contamination of ground </w:t>
      </w:r>
      <w:r>
        <w:t xml:space="preserve">water </w:t>
      </w:r>
      <w:r w:rsidRPr="00D55129">
        <w:t>or surface water</w:t>
      </w:r>
      <w:r>
        <w:t>,</w:t>
      </w:r>
      <w:r w:rsidRPr="00D55129">
        <w:t xml:space="preserve"> and estuary protection activities and facilities.</w:t>
      </w:r>
    </w:p>
    <w:p w:rsidR="00485094" w:rsidRPr="00532CE3" w:rsidRDefault="00485094" w:rsidP="00B215C8">
      <w:pPr>
        <w:pStyle w:val="Bodytext"/>
      </w:pPr>
    </w:p>
    <w:p w:rsidR="00485094" w:rsidRPr="00AD4612" w:rsidRDefault="00485094" w:rsidP="00B215C8">
      <w:pPr>
        <w:pStyle w:val="Bodytext"/>
      </w:pPr>
      <w:r w:rsidRPr="00AD4612">
        <w:t>For the SRF Program, a total of $2.43 billion has been disbursed to date from funds awarded to the following sources:</w:t>
      </w:r>
    </w:p>
    <w:p w:rsidR="00485094" w:rsidRPr="00AD4612" w:rsidRDefault="00485094" w:rsidP="00B215C8">
      <w:pPr>
        <w:pStyle w:val="Bodytext"/>
      </w:pPr>
    </w:p>
    <w:p w:rsidR="00485094" w:rsidRPr="00AD4612" w:rsidRDefault="00485094" w:rsidP="00B215C8">
      <w:pPr>
        <w:pStyle w:val="ListBullet"/>
      </w:pPr>
      <w:r w:rsidRPr="00AD4612">
        <w:t xml:space="preserve">Wastewater:  </w:t>
      </w:r>
      <w:r w:rsidRPr="00AD4612">
        <w:rPr>
          <w:szCs w:val="20"/>
        </w:rPr>
        <w:t>$2,766,361,590</w:t>
      </w:r>
    </w:p>
    <w:p w:rsidR="00485094" w:rsidRPr="00AD4612" w:rsidRDefault="00485094" w:rsidP="00B215C8">
      <w:pPr>
        <w:pStyle w:val="ListBullet"/>
      </w:pPr>
      <w:r w:rsidRPr="00AD4612">
        <w:t xml:space="preserve">Stormwater:  </w:t>
      </w:r>
      <w:r w:rsidRPr="00AD4612">
        <w:rPr>
          <w:szCs w:val="20"/>
        </w:rPr>
        <w:t>$105,901,550</w:t>
      </w:r>
    </w:p>
    <w:p w:rsidR="00485094" w:rsidRPr="00AD4612" w:rsidRDefault="00485094" w:rsidP="00B215C8">
      <w:pPr>
        <w:pStyle w:val="ListBullet"/>
      </w:pPr>
      <w:r w:rsidRPr="00AD4612">
        <w:t xml:space="preserve">Nonpoint sources:  </w:t>
      </w:r>
      <w:r w:rsidRPr="00AD4612">
        <w:rPr>
          <w:szCs w:val="20"/>
        </w:rPr>
        <w:t>$5,353,699</w:t>
      </w:r>
    </w:p>
    <w:p w:rsidR="00485094" w:rsidRPr="00AD4612" w:rsidRDefault="00485094" w:rsidP="00B215C8">
      <w:pPr>
        <w:pStyle w:val="Bodytextreduced"/>
      </w:pPr>
    </w:p>
    <w:p w:rsidR="00485094" w:rsidRDefault="00485094" w:rsidP="00DF1A46">
      <w:pPr>
        <w:pStyle w:val="Heading4"/>
      </w:pPr>
      <w:r w:rsidRPr="00AD4612">
        <w:t>Section 319(h) Grant Funds</w:t>
      </w:r>
    </w:p>
    <w:p w:rsidR="00485094" w:rsidRDefault="00485094" w:rsidP="00B215C8">
      <w:pPr>
        <w:pStyle w:val="Bodytext"/>
      </w:pPr>
      <w:r>
        <w:t>FDEP’s</w:t>
      </w:r>
      <w:r w:rsidRPr="00B670C6">
        <w:t xml:space="preserve"> Nonpoint Source Management Section administers grant money it receives from </w:t>
      </w:r>
      <w:r>
        <w:t xml:space="preserve">the </w:t>
      </w:r>
      <w:r w:rsidRPr="00B670C6">
        <w:t xml:space="preserve">EPA through Section 319(h) of the </w:t>
      </w:r>
      <w:r>
        <w:t xml:space="preserve">federal </w:t>
      </w:r>
      <w:r w:rsidRPr="00B670C6">
        <w:t>C</w:t>
      </w:r>
      <w:r>
        <w:t>WA</w:t>
      </w:r>
      <w:r w:rsidRPr="00B670C6">
        <w:t xml:space="preserve">. </w:t>
      </w:r>
      <w:r>
        <w:t xml:space="preserve"> </w:t>
      </w:r>
      <w:r w:rsidRPr="00B670C6">
        <w:t xml:space="preserve">These grant funds can be used to implement projects or programs that will help to reduce nonpoint sources of pollution. </w:t>
      </w:r>
      <w:r>
        <w:t xml:space="preserve"> </w:t>
      </w:r>
      <w:r w:rsidRPr="00B670C6">
        <w:t xml:space="preserve">Projects or programs are targeted toward the state's </w:t>
      </w:r>
      <w:r>
        <w:t xml:space="preserve">nonpoint source </w:t>
      </w:r>
      <w:r w:rsidRPr="00B670C6">
        <w:t>priority watersheds, which are the verified impaired waters</w:t>
      </w:r>
      <w:r>
        <w:t xml:space="preserve"> on the </w:t>
      </w:r>
      <w:r w:rsidRPr="00B670C6">
        <w:t xml:space="preserve">303(d) </w:t>
      </w:r>
      <w:r>
        <w:t>list</w:t>
      </w:r>
      <w:r w:rsidRPr="00B670C6">
        <w:t>, the state's SWIM watersheds</w:t>
      </w:r>
      <w:r>
        <w:t>,</w:t>
      </w:r>
      <w:r w:rsidRPr="00B670C6">
        <w:t xml:space="preserve"> and N</w:t>
      </w:r>
      <w:r>
        <w:t>EP</w:t>
      </w:r>
      <w:r w:rsidRPr="00B670C6">
        <w:t xml:space="preserve"> waters. </w:t>
      </w:r>
      <w:r>
        <w:t xml:space="preserve"> </w:t>
      </w:r>
      <w:r w:rsidRPr="00B670C6">
        <w:t xml:space="preserve">All projects must include at least a 40% nonfederal match.  </w:t>
      </w:r>
    </w:p>
    <w:p w:rsidR="00485094" w:rsidRDefault="00485094" w:rsidP="00B215C8">
      <w:pPr>
        <w:pStyle w:val="Bodytext"/>
        <w:rPr>
          <w:rFonts w:cs="Arial"/>
          <w:bCs/>
          <w:szCs w:val="22"/>
        </w:rPr>
      </w:pPr>
    </w:p>
    <w:p w:rsidR="00485094" w:rsidRDefault="00485094" w:rsidP="00B215C8">
      <w:pPr>
        <w:pStyle w:val="Bodytext"/>
        <w:rPr>
          <w:rFonts w:cs="Arial"/>
          <w:bCs/>
          <w:szCs w:val="22"/>
        </w:rPr>
      </w:pPr>
      <w:r w:rsidRPr="007B6680">
        <w:rPr>
          <w:rFonts w:cs="Arial"/>
          <w:bCs/>
          <w:szCs w:val="22"/>
        </w:rPr>
        <w:t xml:space="preserve">Examples of fundable projects include the demonstration and evaluation of BMPs, nonpoint pollution reduction in priority watersheds, ground water protection from nonpoint sources, and public education programs on nonpoint source management.  Section 319 funding </w:t>
      </w:r>
      <w:r>
        <w:rPr>
          <w:rFonts w:cs="Arial"/>
          <w:bCs/>
          <w:szCs w:val="22"/>
        </w:rPr>
        <w:t xml:space="preserve">from fiscal year (FY) </w:t>
      </w:r>
      <w:r w:rsidRPr="007B6680">
        <w:rPr>
          <w:rFonts w:cs="Arial"/>
          <w:bCs/>
          <w:szCs w:val="22"/>
        </w:rPr>
        <w:t>1988 through FY 200</w:t>
      </w:r>
      <w:r>
        <w:rPr>
          <w:rFonts w:cs="Arial"/>
          <w:bCs/>
          <w:szCs w:val="22"/>
        </w:rPr>
        <w:t>7 totaled $117 million.</w:t>
      </w:r>
      <w:r w:rsidRPr="007B6680">
        <w:rPr>
          <w:rFonts w:cs="Arial"/>
          <w:bCs/>
          <w:szCs w:val="22"/>
        </w:rPr>
        <w:t xml:space="preserve">  Approximately 70% of these funds have been used to partner with local governments and water management districts on urban stormwater retrofitting projects to reduce stormwater pollutant loadings to priority waterbodies such as the Indian River Lagoon and Tampa Bay.</w:t>
      </w:r>
    </w:p>
    <w:p w:rsidR="00485094" w:rsidRPr="00B670C6" w:rsidRDefault="00485094" w:rsidP="00B215C8">
      <w:pPr>
        <w:pStyle w:val="Bodytext"/>
        <w:rPr>
          <w:rFonts w:cs="Arial"/>
          <w:bCs/>
          <w:szCs w:val="22"/>
        </w:rPr>
      </w:pPr>
    </w:p>
    <w:p w:rsidR="00485094" w:rsidRDefault="00485094" w:rsidP="00DF1A46">
      <w:pPr>
        <w:pStyle w:val="Heading4"/>
      </w:pPr>
      <w:r w:rsidRPr="00313FDB">
        <w:t>TMDL Water Quality Restoration Grants</w:t>
      </w:r>
    </w:p>
    <w:p w:rsidR="00485094" w:rsidRDefault="00485094" w:rsidP="00B215C8">
      <w:pPr>
        <w:pStyle w:val="Bodytext"/>
        <w:rPr>
          <w:rFonts w:cs="Arial"/>
          <w:bCs/>
          <w:szCs w:val="22"/>
        </w:rPr>
      </w:pPr>
      <w:r>
        <w:rPr>
          <w:rFonts w:cs="Arial"/>
          <w:bCs/>
          <w:szCs w:val="22"/>
        </w:rPr>
        <w:t xml:space="preserve">With the passage of the 1999 FWRA, FDEP and FDACS also began receiving funds generated by documentary stamps to conduct urban BMP research or to reduce nonpoint source pollution discharged to impaired waterbodies.  The funding amount has varied from $1 million to $9.2 million per year, with the agencies receiving a total of $52 million since the program began.  Since 1999, FDEP has also received additional funds for the TMDL Program from the Florida Legislature both for program operations and for TMDL Water Quality Grants to reduce pollutant loads from urban stormwater discharges.  In 2005, the Legislature enacted Senate Bill (SB) 444, creating a new funding source for the TMDL Program that provides $20 million annually to FDEP, with 7.5% going to FDACS.  </w:t>
      </w:r>
    </w:p>
    <w:p w:rsidR="00485094" w:rsidRDefault="00485094" w:rsidP="00B215C8">
      <w:pPr>
        <w:pStyle w:val="Bodytext"/>
        <w:rPr>
          <w:rFonts w:cs="Arial"/>
          <w:bCs/>
          <w:szCs w:val="22"/>
        </w:rPr>
      </w:pPr>
    </w:p>
    <w:p w:rsidR="00485094" w:rsidRPr="00172A13" w:rsidRDefault="00485094" w:rsidP="00B215C8">
      <w:pPr>
        <w:pStyle w:val="Bodytext"/>
        <w:rPr>
          <w:rFonts w:cs="Arial"/>
          <w:bCs/>
          <w:szCs w:val="22"/>
        </w:rPr>
      </w:pPr>
      <w:r>
        <w:rPr>
          <w:rFonts w:cs="Arial"/>
          <w:bCs/>
          <w:szCs w:val="22"/>
        </w:rPr>
        <w:t xml:space="preserve">In 2008, FDEP adopted </w:t>
      </w:r>
      <w:r w:rsidRPr="002B7AD6">
        <w:t xml:space="preserve">Chapter </w:t>
      </w:r>
      <w:r>
        <w:rPr>
          <w:rFonts w:cs="Arial"/>
          <w:bCs/>
          <w:szCs w:val="22"/>
        </w:rPr>
        <w:t xml:space="preserve">62-305, F.A.C. (TMDL Water Quality Grants), to set forth the procedures for administering these grant funds.  Since the program began, FDEP has issued over $48 million in TMDL grants to local governments and water management districts.  These grants require at least a 50% match from grant recipients.  In addition, FDEP has issued over $11 million in contracts for urban BMP research, with the results of these projects being integrated into the revised statewide stormwater treatment rule, which is currently under </w:t>
      </w:r>
      <w:r>
        <w:rPr>
          <w:rFonts w:cs="Arial"/>
          <w:bCs/>
          <w:szCs w:val="22"/>
        </w:rPr>
        <w:lastRenderedPageBreak/>
        <w:t>development.</w:t>
      </w:r>
      <w:r w:rsidRPr="007F7BB4">
        <w:rPr>
          <w:rFonts w:cs="Arial"/>
          <w:bCs/>
          <w:szCs w:val="22"/>
        </w:rPr>
        <w:t xml:space="preserve"> </w:t>
      </w:r>
      <w:r>
        <w:rPr>
          <w:rFonts w:cs="Arial"/>
          <w:bCs/>
          <w:szCs w:val="22"/>
        </w:rPr>
        <w:t xml:space="preserve"> Unfortunately, the 2009 economic crisis led the Legislature to eliminate this funding source; however, some limited funding was provided for the 2010–11 fiscal year.  </w:t>
      </w:r>
    </w:p>
    <w:p w:rsidR="00485094" w:rsidRDefault="00485094" w:rsidP="00B215C8">
      <w:pPr>
        <w:pStyle w:val="Bodytext"/>
        <w:rPr>
          <w:rFonts w:cs="Arial"/>
          <w:bCs/>
          <w:szCs w:val="22"/>
        </w:rPr>
      </w:pPr>
    </w:p>
    <w:p w:rsidR="00485094" w:rsidRPr="003A4461" w:rsidRDefault="00485094" w:rsidP="00DF1A46">
      <w:pPr>
        <w:pStyle w:val="Heading3"/>
      </w:pPr>
      <w:bookmarkStart w:id="777" w:name="_Toc271794417"/>
      <w:r w:rsidRPr="00A85041">
        <w:t>Wetlands Program</w:t>
      </w:r>
      <w:bookmarkEnd w:id="777"/>
    </w:p>
    <w:p w:rsidR="00485094" w:rsidRDefault="00485094" w:rsidP="00DF1A46">
      <w:pPr>
        <w:pStyle w:val="Heading4"/>
      </w:pPr>
      <w:r w:rsidRPr="00313FDB">
        <w:t>Wetlands Inventory and Wetlands Protection</w:t>
      </w:r>
    </w:p>
    <w:p w:rsidR="00485094" w:rsidRDefault="00485094" w:rsidP="00B215C8">
      <w:pPr>
        <w:pStyle w:val="Bodytext"/>
        <w:rPr>
          <w:snapToGrid w:val="0"/>
        </w:rPr>
      </w:pPr>
      <w:r>
        <w:rPr>
          <w:snapToGrid w:val="0"/>
        </w:rPr>
        <w:t>This section provides an inventory of the major wetlands and historical coverage of wetlands in the state, the development of wetlands water quality standards, and management and protection efforts for wetlands and other surface waters.</w:t>
      </w:r>
      <w:r w:rsidRPr="002F6CA4">
        <w:rPr>
          <w:snapToGrid w:val="0"/>
        </w:rPr>
        <w:t xml:space="preserve"> </w:t>
      </w:r>
      <w:r>
        <w:rPr>
          <w:snapToGrid w:val="0"/>
        </w:rPr>
        <w:t xml:space="preserve"> Due to a lack of sufficient funding and resources, Florida does not have a program to comprehensively monitor the areal extent (gains or losses of wetland acreage) or health (water quality and functions) of wetlands on a statewide basis.  Some monitoring is required in the process of reviewing and granting permits for dredging and filling in wetlands and other surface waters, particularly when the permit authorizes mitigation for work in wetlands or other surface waters, and for activities that discharge wastewater to wetlands. </w:t>
      </w:r>
    </w:p>
    <w:p w:rsidR="00485094" w:rsidRDefault="00485094" w:rsidP="00B215C8">
      <w:pPr>
        <w:pStyle w:val="Bodytext"/>
        <w:rPr>
          <w:snapToGrid w:val="0"/>
        </w:rPr>
      </w:pPr>
    </w:p>
    <w:p w:rsidR="00485094" w:rsidRDefault="00485094" w:rsidP="00DF1A46">
      <w:pPr>
        <w:pStyle w:val="Heading4"/>
      </w:pPr>
      <w:r w:rsidRPr="00313FDB">
        <w:t>Historical Wetlands Coverage in Florida</w:t>
      </w:r>
    </w:p>
    <w:p w:rsidR="00485094" w:rsidRDefault="00485094" w:rsidP="00B215C8">
      <w:pPr>
        <w:pStyle w:val="Bodytext"/>
        <w:rPr>
          <w:snapToGrid w:val="0"/>
        </w:rPr>
      </w:pPr>
      <w:r>
        <w:rPr>
          <w:snapToGrid w:val="0"/>
        </w:rPr>
        <w:t xml:space="preserve">Although information on the historical extent of Florida’s wetlands is limited, one researcher estimates that the state lost as many as 46% of its original wetlands between the 1780s and the 1980s.  </w:t>
      </w:r>
      <w:r w:rsidRPr="00894582">
        <w:rPr>
          <w:b/>
          <w:i/>
          <w:snapToGrid w:val="0"/>
        </w:rPr>
        <w:t xml:space="preserve">Table </w:t>
      </w:r>
      <w:r>
        <w:rPr>
          <w:b/>
          <w:i/>
          <w:snapToGrid w:val="0"/>
        </w:rPr>
        <w:t>11.</w:t>
      </w:r>
      <w:r w:rsidR="00EB08C5">
        <w:rPr>
          <w:b/>
          <w:i/>
          <w:snapToGrid w:val="0"/>
        </w:rPr>
        <w:t>4</w:t>
      </w:r>
      <w:r>
        <w:rPr>
          <w:b/>
          <w:i/>
          <w:snapToGrid w:val="0"/>
        </w:rPr>
        <w:t xml:space="preserve"> </w:t>
      </w:r>
      <w:r>
        <w:rPr>
          <w:snapToGrid w:val="0"/>
        </w:rPr>
        <w:t>contains estimates of Florida’s historical wetlands at a number of different points in time.</w:t>
      </w:r>
    </w:p>
    <w:p w:rsidR="00485094" w:rsidRDefault="00485094" w:rsidP="00B215C8">
      <w:pPr>
        <w:pStyle w:val="Bodytext"/>
        <w:rPr>
          <w:snapToGrid w:val="0"/>
        </w:rPr>
      </w:pPr>
    </w:p>
    <w:p w:rsidR="00485094" w:rsidRDefault="00485094" w:rsidP="00B215C8">
      <w:pPr>
        <w:pStyle w:val="Tableheading"/>
        <w:rPr>
          <w:snapToGrid w:val="0"/>
        </w:rPr>
      </w:pPr>
      <w:bookmarkStart w:id="778" w:name="_Toc271889882"/>
      <w:r>
        <w:rPr>
          <w:snapToGrid w:val="0"/>
        </w:rPr>
        <w:t>Table 11.</w:t>
      </w:r>
      <w:r w:rsidR="00EB08C5">
        <w:rPr>
          <w:snapToGrid w:val="0"/>
        </w:rPr>
        <w:t>4</w:t>
      </w:r>
      <w:r>
        <w:rPr>
          <w:snapToGrid w:val="0"/>
        </w:rPr>
        <w:t>.  Historical Estimates of Wetlands in Florida, 1780–1980</w:t>
      </w:r>
      <w:bookmarkEnd w:id="778"/>
    </w:p>
    <w:p w:rsidR="00485094" w:rsidRDefault="00485094" w:rsidP="00B215C8">
      <w:pPr>
        <w:pStyle w:val="TabledescriptionBF"/>
        <w:rPr>
          <w:snapToGrid w:val="0"/>
        </w:rPr>
      </w:pPr>
      <w:r>
        <w:rPr>
          <w:snapToGrid w:val="0"/>
        </w:rPr>
        <w:t>This is a three-column table.  Column 1 lists the period for the estimate, Column 2 lists the wetlands acreage during that period, and Column 3 lists the information source.</w:t>
      </w:r>
    </w:p>
    <w:p w:rsidR="00485094" w:rsidRDefault="00485094" w:rsidP="00B215C8">
      <w:pPr>
        <w:pStyle w:val="TabledescriptionBF"/>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724"/>
        <w:gridCol w:w="2250"/>
        <w:gridCol w:w="3073"/>
      </w:tblGrid>
      <w:tr w:rsidR="00485094" w:rsidTr="00394CAD">
        <w:trPr>
          <w:trHeight w:val="341"/>
          <w:jc w:val="center"/>
        </w:trPr>
        <w:tc>
          <w:tcPr>
            <w:tcW w:w="1724"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Period</w:t>
            </w:r>
          </w:p>
        </w:tc>
        <w:tc>
          <w:tcPr>
            <w:tcW w:w="2250"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Wetlands Acreage</w:t>
            </w:r>
          </w:p>
        </w:tc>
        <w:tc>
          <w:tcPr>
            <w:tcW w:w="3073" w:type="dxa"/>
            <w:tcBorders>
              <w:bottom w:val="double" w:sz="4" w:space="0" w:color="auto"/>
            </w:tcBorders>
            <w:shd w:val="clear" w:color="auto" w:fill="BDFFFF"/>
            <w:vAlign w:val="center"/>
          </w:tcPr>
          <w:p w:rsidR="00485094" w:rsidRDefault="00485094" w:rsidP="00394CAD">
            <w:pPr>
              <w:jc w:val="center"/>
              <w:rPr>
                <w:rFonts w:ascii="Arial" w:hAnsi="Arial"/>
                <w:b/>
                <w:i/>
                <w:snapToGrid w:val="0"/>
                <w:sz w:val="18"/>
              </w:rPr>
            </w:pPr>
            <w:r>
              <w:rPr>
                <w:rFonts w:ascii="Arial" w:hAnsi="Arial"/>
                <w:b/>
                <w:i/>
                <w:snapToGrid w:val="0"/>
                <w:sz w:val="18"/>
              </w:rPr>
              <w:t>Source</w:t>
            </w:r>
          </w:p>
        </w:tc>
      </w:tr>
      <w:tr w:rsidR="00485094" w:rsidTr="00394CAD">
        <w:trPr>
          <w:trHeight w:val="288"/>
          <w:jc w:val="center"/>
        </w:trPr>
        <w:tc>
          <w:tcPr>
            <w:tcW w:w="1724" w:type="dxa"/>
            <w:tcBorders>
              <w:top w:val="double" w:sz="4" w:space="0" w:color="auto"/>
            </w:tcBorders>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1780</w:t>
            </w:r>
          </w:p>
        </w:tc>
        <w:tc>
          <w:tcPr>
            <w:tcW w:w="2250" w:type="dxa"/>
            <w:tcBorders>
              <w:top w:val="double" w:sz="4" w:space="0" w:color="auto"/>
            </w:tcBorders>
            <w:vAlign w:val="center"/>
          </w:tcPr>
          <w:p w:rsidR="00485094" w:rsidRDefault="00485094" w:rsidP="00394CAD">
            <w:pPr>
              <w:jc w:val="center"/>
              <w:rPr>
                <w:rFonts w:ascii="Arial" w:hAnsi="Arial"/>
                <w:snapToGrid w:val="0"/>
                <w:sz w:val="18"/>
              </w:rPr>
            </w:pPr>
            <w:r>
              <w:rPr>
                <w:rFonts w:ascii="Arial" w:hAnsi="Arial"/>
                <w:snapToGrid w:val="0"/>
                <w:sz w:val="18"/>
              </w:rPr>
              <w:t>approx. 200,000,000</w:t>
            </w:r>
          </w:p>
        </w:tc>
        <w:tc>
          <w:tcPr>
            <w:tcW w:w="3073" w:type="dxa"/>
            <w:tcBorders>
              <w:top w:val="double" w:sz="4" w:space="0" w:color="auto"/>
            </w:tcBorders>
            <w:vAlign w:val="center"/>
          </w:tcPr>
          <w:p w:rsidR="00485094" w:rsidRDefault="00485094" w:rsidP="00394CAD">
            <w:pPr>
              <w:jc w:val="center"/>
              <w:rPr>
                <w:rFonts w:ascii="Arial" w:hAnsi="Arial"/>
                <w:i/>
                <w:snapToGrid w:val="0"/>
                <w:sz w:val="18"/>
              </w:rPr>
            </w:pPr>
            <w:r>
              <w:rPr>
                <w:rFonts w:ascii="Arial" w:hAnsi="Arial"/>
                <w:i/>
                <w:snapToGrid w:val="0"/>
                <w:sz w:val="18"/>
              </w:rPr>
              <w:t>unknown</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mid-1950s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12,779,000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11,334,000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Hefner, 1986</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mid-1970s</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11,298,600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Frayer and Hefner, 1991</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1979–80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11,854,822</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Tiner, 1984</w:t>
            </w:r>
          </w:p>
        </w:tc>
      </w:tr>
      <w:tr w:rsidR="00485094" w:rsidTr="00394CAD">
        <w:trPr>
          <w:trHeight w:val="288"/>
          <w:jc w:val="center"/>
        </w:trPr>
        <w:tc>
          <w:tcPr>
            <w:tcW w:w="1724" w:type="dxa"/>
            <w:shd w:val="clear" w:color="auto" w:fill="FFFFCC"/>
            <w:vAlign w:val="center"/>
          </w:tcPr>
          <w:p w:rsidR="00485094" w:rsidRDefault="00485094" w:rsidP="00394CAD">
            <w:pPr>
              <w:jc w:val="center"/>
              <w:rPr>
                <w:rFonts w:ascii="Arial" w:hAnsi="Arial"/>
                <w:snapToGrid w:val="0"/>
                <w:sz w:val="18"/>
              </w:rPr>
            </w:pPr>
            <w:r>
              <w:rPr>
                <w:rFonts w:ascii="Arial" w:hAnsi="Arial"/>
                <w:snapToGrid w:val="0"/>
                <w:sz w:val="18"/>
              </w:rPr>
              <w:t>circa 1980</w:t>
            </w:r>
          </w:p>
        </w:tc>
        <w:tc>
          <w:tcPr>
            <w:tcW w:w="2250" w:type="dxa"/>
            <w:vAlign w:val="center"/>
          </w:tcPr>
          <w:p w:rsidR="00485094" w:rsidRDefault="00485094" w:rsidP="00394CAD">
            <w:pPr>
              <w:jc w:val="center"/>
              <w:rPr>
                <w:rFonts w:ascii="Arial" w:hAnsi="Arial"/>
                <w:snapToGrid w:val="0"/>
                <w:sz w:val="18"/>
              </w:rPr>
            </w:pPr>
            <w:r>
              <w:rPr>
                <w:rFonts w:ascii="Arial" w:hAnsi="Arial"/>
                <w:snapToGrid w:val="0"/>
                <w:sz w:val="18"/>
              </w:rPr>
              <w:t>11,038,300</w:t>
            </w:r>
          </w:p>
        </w:tc>
        <w:tc>
          <w:tcPr>
            <w:tcW w:w="3073" w:type="dxa"/>
            <w:vAlign w:val="center"/>
          </w:tcPr>
          <w:p w:rsidR="00485094" w:rsidRDefault="00485094" w:rsidP="00394CAD">
            <w:pPr>
              <w:jc w:val="center"/>
              <w:rPr>
                <w:rFonts w:ascii="Arial" w:hAnsi="Arial"/>
                <w:i/>
                <w:snapToGrid w:val="0"/>
                <w:sz w:val="18"/>
              </w:rPr>
            </w:pPr>
            <w:r>
              <w:rPr>
                <w:rFonts w:ascii="Arial" w:hAnsi="Arial"/>
                <w:i/>
                <w:snapToGrid w:val="0"/>
                <w:sz w:val="18"/>
              </w:rPr>
              <w:t>Dahl, 1990</w:t>
            </w:r>
          </w:p>
        </w:tc>
      </w:tr>
    </w:tbl>
    <w:p w:rsidR="00485094" w:rsidRDefault="00485094" w:rsidP="00B215C8">
      <w:pPr>
        <w:pStyle w:val="Bodytextreduced"/>
      </w:pPr>
    </w:p>
    <w:p w:rsidR="00485094" w:rsidRDefault="00485094" w:rsidP="00B215C8">
      <w:pPr>
        <w:pStyle w:val="Bodytextreduced"/>
      </w:pPr>
    </w:p>
    <w:p w:rsidR="00485094" w:rsidRPr="00E316BE" w:rsidRDefault="00485094" w:rsidP="00B215C8">
      <w:pPr>
        <w:pStyle w:val="Bodytext"/>
      </w:pPr>
      <w:r w:rsidRPr="00E316BE">
        <w:t xml:space="preserve">What is notable about the </w:t>
      </w:r>
      <w:r>
        <w:t xml:space="preserve">table </w:t>
      </w:r>
      <w:r w:rsidRPr="00E316BE">
        <w:t>above is that the rate of wetland loss ha</w:t>
      </w:r>
      <w:r>
        <w:t xml:space="preserve">s </w:t>
      </w:r>
      <w:r w:rsidRPr="00E316BE">
        <w:t>significantly slowed since the mid</w:t>
      </w:r>
      <w:r>
        <w:t>-</w:t>
      </w:r>
      <w:r w:rsidRPr="00E316BE">
        <w:t>1970s</w:t>
      </w:r>
      <w:r>
        <w:t xml:space="preserve">, corresponding </w:t>
      </w:r>
      <w:r w:rsidRPr="00E316BE">
        <w:t xml:space="preserve">to when </w:t>
      </w:r>
      <w:r>
        <w:t>federal and state</w:t>
      </w:r>
      <w:r w:rsidRPr="00E316BE">
        <w:t xml:space="preserve"> dredge</w:t>
      </w:r>
      <w:r>
        <w:t>-</w:t>
      </w:r>
      <w:r w:rsidRPr="00E316BE">
        <w:t>and</w:t>
      </w:r>
      <w:r>
        <w:t>-</w:t>
      </w:r>
      <w:r w:rsidRPr="00E316BE">
        <w:t xml:space="preserve">fill regulatory programs were enacted.  </w:t>
      </w:r>
      <w:r>
        <w:t>T</w:t>
      </w:r>
      <w:r w:rsidRPr="00E316BE">
        <w:t xml:space="preserve">here is no single, current, comprehensive way to estimate the wetland acreage in Florida.  The </w:t>
      </w:r>
      <w:r>
        <w:t>s</w:t>
      </w:r>
      <w:r w:rsidRPr="00E316BE">
        <w:t xml:space="preserve">tate </w:t>
      </w:r>
      <w:r>
        <w:t xml:space="preserve">developed </w:t>
      </w:r>
      <w:r w:rsidRPr="00E316BE">
        <w:t xml:space="preserve">its own wetland delineation methodology, which has been adopted </w:t>
      </w:r>
      <w:r>
        <w:t xml:space="preserve">as Chapter </w:t>
      </w:r>
      <w:r w:rsidRPr="00E316BE">
        <w:t>62-340</w:t>
      </w:r>
      <w:r>
        <w:t>, F.A.C</w:t>
      </w:r>
      <w:r w:rsidRPr="00E316BE">
        <w:t>.  This methodology</w:t>
      </w:r>
      <w:r>
        <w:t>,</w:t>
      </w:r>
      <w:r w:rsidRPr="00E316BE">
        <w:t xml:space="preserve"> used by all state and local agencies throughout the state</w:t>
      </w:r>
      <w:r>
        <w:t>,</w:t>
      </w:r>
      <w:r w:rsidRPr="00E316BE">
        <w:t xml:space="preserve"> requires field-based, site-specific determinations on a case-by-case basis</w:t>
      </w:r>
      <w:r>
        <w:t xml:space="preserve">—including </w:t>
      </w:r>
      <w:r w:rsidRPr="00E316BE">
        <w:t>an assessment of on-site soils, hydrology, and vegetation</w:t>
      </w:r>
      <w:r>
        <w:t>.</w:t>
      </w:r>
      <w:r w:rsidRPr="00E316BE">
        <w:t xml:space="preserve"> </w:t>
      </w:r>
      <w:r>
        <w:t xml:space="preserve"> As such, wetland estimates using the Florida methodology can</w:t>
      </w:r>
      <w:r w:rsidRPr="00E316BE">
        <w:t>not be determined based on aerial surveys or mapping.</w:t>
      </w:r>
      <w:r>
        <w:t xml:space="preserve"> </w:t>
      </w:r>
      <w:r w:rsidRPr="00E316BE">
        <w:t xml:space="preserve"> </w:t>
      </w:r>
      <w:r>
        <w:t>The U.S. Fish and Wildlife Service have estimated wetlands coverage nationwide, including Florida, using the National Wetlands Inventory, and</w:t>
      </w:r>
      <w:r w:rsidRPr="00E316BE">
        <w:t xml:space="preserve"> many of the estimates </w:t>
      </w:r>
      <w:r>
        <w:t xml:space="preserve">in the table </w:t>
      </w:r>
      <w:r w:rsidRPr="00E316BE">
        <w:t xml:space="preserve">are based on </w:t>
      </w:r>
      <w:r>
        <w:t>that</w:t>
      </w:r>
      <w:r w:rsidRPr="00E316BE">
        <w:t xml:space="preserve"> </w:t>
      </w:r>
      <w:r>
        <w:t>i</w:t>
      </w:r>
      <w:r w:rsidRPr="00E316BE">
        <w:t>nventory</w:t>
      </w:r>
      <w:r>
        <w:t>.  However, wetlands mapped in the inventory have not been ground-truthed and maps produced using the inventory do not</w:t>
      </w:r>
      <w:r w:rsidRPr="00E316BE">
        <w:t xml:space="preserve"> directly correspond to either the </w:t>
      </w:r>
      <w:r>
        <w:t>s</w:t>
      </w:r>
      <w:r w:rsidRPr="00E316BE">
        <w:t>tate methodology</w:t>
      </w:r>
      <w:r>
        <w:t xml:space="preserve"> or the wetland mapping methodology used by the U.S. Army Corps of Engineers</w:t>
      </w:r>
      <w:r w:rsidRPr="00E316BE">
        <w:t>.</w:t>
      </w:r>
    </w:p>
    <w:p w:rsidR="00485094" w:rsidRDefault="00485094" w:rsidP="00B215C8">
      <w:pPr>
        <w:pStyle w:val="Bodytext"/>
      </w:pPr>
    </w:p>
    <w:p w:rsidR="00485094" w:rsidRDefault="00485094" w:rsidP="00DF1A46">
      <w:pPr>
        <w:pStyle w:val="Heading4"/>
        <w:rPr>
          <w:snapToGrid w:val="0"/>
        </w:rPr>
      </w:pPr>
      <w:r w:rsidRPr="00313FDB">
        <w:rPr>
          <w:snapToGrid w:val="0"/>
        </w:rPr>
        <w:t>Development of Wetlands Water Quality Standards</w:t>
      </w:r>
    </w:p>
    <w:p w:rsidR="00485094" w:rsidRDefault="00485094" w:rsidP="00B215C8">
      <w:pPr>
        <w:pStyle w:val="Bodytext"/>
        <w:rPr>
          <w:snapToGrid w:val="0"/>
          <w:szCs w:val="22"/>
        </w:rPr>
      </w:pPr>
      <w:r>
        <w:rPr>
          <w:snapToGrid w:val="0"/>
          <w:szCs w:val="22"/>
        </w:rPr>
        <w:t>Florida does not have separate water quality standards for wetlands. W</w:t>
      </w:r>
      <w:r w:rsidRPr="00EB0FEB">
        <w:rPr>
          <w:snapToGrid w:val="0"/>
          <w:szCs w:val="22"/>
        </w:rPr>
        <w:t xml:space="preserve">etlands are considered </w:t>
      </w:r>
      <w:r>
        <w:rPr>
          <w:snapToGrid w:val="0"/>
          <w:szCs w:val="22"/>
        </w:rPr>
        <w:t xml:space="preserve">surface </w:t>
      </w:r>
      <w:r w:rsidRPr="00EB0FEB">
        <w:rPr>
          <w:snapToGrid w:val="0"/>
          <w:szCs w:val="22"/>
        </w:rPr>
        <w:t>waters of the state</w:t>
      </w:r>
      <w:r>
        <w:rPr>
          <w:snapToGrid w:val="0"/>
          <w:szCs w:val="22"/>
        </w:rPr>
        <w:t>, although water quality standards do not apply to wetlands that are wholly owned by one person other than the state, except with respect to discharges offsite and into ground water.</w:t>
      </w:r>
      <w:r w:rsidRPr="00EB0FEB">
        <w:rPr>
          <w:rStyle w:val="FootnoteReference"/>
          <w:snapToGrid w:val="0"/>
          <w:szCs w:val="22"/>
        </w:rPr>
        <w:footnoteReference w:id="8"/>
      </w:r>
      <w:r w:rsidRPr="00EB0FEB">
        <w:rPr>
          <w:snapToGrid w:val="0"/>
          <w:szCs w:val="22"/>
        </w:rPr>
        <w:t xml:space="preserve"> </w:t>
      </w:r>
      <w:r>
        <w:rPr>
          <w:snapToGrid w:val="0"/>
          <w:szCs w:val="22"/>
        </w:rPr>
        <w:t xml:space="preserve"> Wetlands in which water quality standards apply </w:t>
      </w:r>
      <w:r w:rsidRPr="00EB0FEB">
        <w:rPr>
          <w:snapToGrid w:val="0"/>
          <w:szCs w:val="22"/>
        </w:rPr>
        <w:t xml:space="preserve">are </w:t>
      </w:r>
      <w:r>
        <w:rPr>
          <w:snapToGrid w:val="0"/>
          <w:szCs w:val="22"/>
        </w:rPr>
        <w:t xml:space="preserve">subject to </w:t>
      </w:r>
      <w:r w:rsidRPr="00EB0FEB">
        <w:rPr>
          <w:snapToGrid w:val="0"/>
          <w:szCs w:val="22"/>
        </w:rPr>
        <w:t xml:space="preserve">the same </w:t>
      </w:r>
      <w:r>
        <w:rPr>
          <w:snapToGrid w:val="0"/>
          <w:szCs w:val="22"/>
        </w:rPr>
        <w:t xml:space="preserve">water quality </w:t>
      </w:r>
      <w:r w:rsidRPr="00EB0FEB">
        <w:rPr>
          <w:snapToGrid w:val="0"/>
          <w:szCs w:val="22"/>
        </w:rPr>
        <w:t>standards as other surface waters,</w:t>
      </w:r>
      <w:r w:rsidRPr="00EB0FEB">
        <w:rPr>
          <w:i/>
          <w:snapToGrid w:val="0"/>
          <w:szCs w:val="22"/>
        </w:rPr>
        <w:t xml:space="preserve"> </w:t>
      </w:r>
      <w:r w:rsidRPr="00EB0FEB">
        <w:rPr>
          <w:snapToGrid w:val="0"/>
          <w:szCs w:val="22"/>
        </w:rPr>
        <w:t xml:space="preserve">including the same five functional classifications described earlier and the state's anti-degradation rules (as set out in Sections 62-302.300 and 62-4.242, F.A.C.).  </w:t>
      </w:r>
      <w:r>
        <w:rPr>
          <w:snapToGrid w:val="0"/>
          <w:szCs w:val="22"/>
        </w:rPr>
        <w:t xml:space="preserve">Most wetlands, like most surface waters in Florida, are designated as Class III Waters, except where a wetland is part of the landward extent of another waterbody that is classified otherwise (as Class I, II, IV, or V waters), in which case the water quality standards that apply to the wetland are the same as the waterbody with which the wetlands are associated.  </w:t>
      </w:r>
    </w:p>
    <w:p w:rsidR="00485094" w:rsidRDefault="00485094" w:rsidP="00B215C8">
      <w:pPr>
        <w:pStyle w:val="Bodytext"/>
        <w:rPr>
          <w:snapToGrid w:val="0"/>
        </w:rPr>
      </w:pPr>
    </w:p>
    <w:p w:rsidR="00485094" w:rsidRPr="00562005" w:rsidRDefault="00485094" w:rsidP="00B215C8">
      <w:pPr>
        <w:pStyle w:val="Bodytext"/>
        <w:rPr>
          <w:snapToGrid w:val="0"/>
          <w:szCs w:val="22"/>
        </w:rPr>
      </w:pPr>
      <w:r>
        <w:rPr>
          <w:snapToGrid w:val="0"/>
        </w:rPr>
        <w:t xml:space="preserve">Florida’s rules already contain qualitative and quantitative biological criteria—for example, substances shall not be present in concentrations that will result in a dominance of nuisance species, and there is a maximum allowable degradation of biological integrity.  The state has developed procedures for assessing biological communities in streams and lakes, defining relevant ecoregions, and identifying relatively pristine reference sites.  Florida has also developed and implemented the toughest standards for phosphate loading in the country (for the Everglades (10 parts per billion [ppb]). </w:t>
      </w:r>
      <w:r>
        <w:rPr>
          <w:snapToGrid w:val="0"/>
          <w:szCs w:val="22"/>
        </w:rPr>
        <w:t xml:space="preserve"> Lake Apopka (in central Florida), a lake that had been long degraded by agricultural runoff and wastewater discharges, and its associated wetlands also has a special standard of 55 ppb for </w:t>
      </w:r>
      <w:r w:rsidR="008C37FA">
        <w:rPr>
          <w:snapToGrid w:val="0"/>
          <w:szCs w:val="22"/>
        </w:rPr>
        <w:t>TP</w:t>
      </w:r>
      <w:r>
        <w:rPr>
          <w:snapToGrid w:val="0"/>
          <w:szCs w:val="22"/>
        </w:rPr>
        <w:t>.</w:t>
      </w:r>
      <w:r>
        <w:rPr>
          <w:rStyle w:val="FootnoteReference"/>
          <w:snapToGrid w:val="0"/>
          <w:szCs w:val="22"/>
        </w:rPr>
        <w:footnoteReference w:id="9"/>
      </w:r>
    </w:p>
    <w:p w:rsidR="00485094" w:rsidRDefault="00485094" w:rsidP="00B215C8">
      <w:pPr>
        <w:pStyle w:val="Bodytext"/>
        <w:rPr>
          <w:snapToGrid w:val="0"/>
        </w:rPr>
      </w:pPr>
    </w:p>
    <w:p w:rsidR="00485094" w:rsidRDefault="00485094" w:rsidP="00DF1A46">
      <w:pPr>
        <w:pStyle w:val="Heading4"/>
        <w:rPr>
          <w:snapToGrid w:val="0"/>
        </w:rPr>
      </w:pPr>
      <w:r w:rsidRPr="00313FDB">
        <w:rPr>
          <w:snapToGrid w:val="0"/>
        </w:rPr>
        <w:t>Wetlands Management and Protection</w:t>
      </w:r>
    </w:p>
    <w:p w:rsidR="00485094" w:rsidRDefault="00485094" w:rsidP="00B215C8">
      <w:pPr>
        <w:pStyle w:val="Bodytext"/>
        <w:rPr>
          <w:snapToGrid w:val="0"/>
          <w:szCs w:val="22"/>
        </w:rPr>
      </w:pPr>
      <w:r w:rsidRPr="00EB0FEB">
        <w:rPr>
          <w:snapToGrid w:val="0"/>
          <w:szCs w:val="22"/>
        </w:rPr>
        <w:t xml:space="preserve">Florida implements an independent </w:t>
      </w:r>
      <w:r>
        <w:rPr>
          <w:snapToGrid w:val="0"/>
          <w:szCs w:val="22"/>
        </w:rPr>
        <w:t xml:space="preserve">state regulatory </w:t>
      </w:r>
      <w:r w:rsidRPr="00EB0FEB">
        <w:rPr>
          <w:snapToGrid w:val="0"/>
          <w:szCs w:val="22"/>
        </w:rPr>
        <w:t xml:space="preserve">permitting program that operates </w:t>
      </w:r>
      <w:r w:rsidRPr="00EB0FEB">
        <w:rPr>
          <w:i/>
          <w:snapToGrid w:val="0"/>
          <w:szCs w:val="22"/>
        </w:rPr>
        <w:t>in addition to</w:t>
      </w:r>
      <w:r w:rsidRPr="00EB0FEB">
        <w:rPr>
          <w:snapToGrid w:val="0"/>
          <w:szCs w:val="22"/>
        </w:rPr>
        <w:t xml:space="preserve"> the federal dredge-and-fill permitting program.  </w:t>
      </w:r>
      <w:r>
        <w:rPr>
          <w:snapToGrid w:val="0"/>
          <w:szCs w:val="22"/>
        </w:rPr>
        <w:t>Under the authority of Part IV, Chapter 373, F.S.,</w:t>
      </w:r>
      <w:r w:rsidRPr="00EB0FEB">
        <w:rPr>
          <w:snapToGrid w:val="0"/>
          <w:szCs w:val="22"/>
        </w:rPr>
        <w:t xml:space="preserve"> </w:t>
      </w:r>
      <w:r>
        <w:rPr>
          <w:snapToGrid w:val="0"/>
          <w:szCs w:val="22"/>
        </w:rPr>
        <w:t>t</w:t>
      </w:r>
      <w:r w:rsidRPr="00EB0FEB">
        <w:rPr>
          <w:snapToGrid w:val="0"/>
          <w:szCs w:val="22"/>
        </w:rPr>
        <w:t>he state’s regulatory permit program</w:t>
      </w:r>
      <w:r>
        <w:rPr>
          <w:snapToGrid w:val="0"/>
          <w:szCs w:val="22"/>
        </w:rPr>
        <w:t>, known as the ERP Program,</w:t>
      </w:r>
      <w:r w:rsidRPr="00EB0FEB">
        <w:rPr>
          <w:snapToGrid w:val="0"/>
          <w:szCs w:val="22"/>
        </w:rPr>
        <w:t xml:space="preserve"> </w:t>
      </w:r>
      <w:r>
        <w:rPr>
          <w:snapToGrid w:val="0"/>
          <w:szCs w:val="22"/>
        </w:rPr>
        <w:t>governs the construction</w:t>
      </w:r>
      <w:r w:rsidRPr="004673B4">
        <w:rPr>
          <w:snapToGrid w:val="0"/>
          <w:szCs w:val="22"/>
        </w:rPr>
        <w:t xml:space="preserve">, alteration, operation, maintenance, abandonment or removal of any </w:t>
      </w:r>
      <w:r>
        <w:rPr>
          <w:snapToGrid w:val="0"/>
          <w:szCs w:val="22"/>
        </w:rPr>
        <w:t>surface water</w:t>
      </w:r>
      <w:r w:rsidRPr="004673B4">
        <w:rPr>
          <w:snapToGrid w:val="0"/>
          <w:szCs w:val="22"/>
        </w:rPr>
        <w:t xml:space="preserve"> management system</w:t>
      </w:r>
      <w:r>
        <w:rPr>
          <w:snapToGrid w:val="0"/>
          <w:szCs w:val="22"/>
        </w:rPr>
        <w:t xml:space="preserve"> (including stormwater management systems)</w:t>
      </w:r>
      <w:r w:rsidRPr="004673B4">
        <w:rPr>
          <w:snapToGrid w:val="0"/>
          <w:szCs w:val="22"/>
        </w:rPr>
        <w:t>, dam, impoundment, reservoir, appurtenant work or works, including dredging or filling</w:t>
      </w:r>
      <w:r>
        <w:rPr>
          <w:snapToGrid w:val="0"/>
          <w:szCs w:val="22"/>
        </w:rPr>
        <w:t xml:space="preserve"> in wetlands and other surface waters</w:t>
      </w:r>
      <w:r w:rsidRPr="004673B4">
        <w:rPr>
          <w:snapToGrid w:val="0"/>
          <w:szCs w:val="22"/>
        </w:rPr>
        <w:t xml:space="preserve">, and for the maintenance and operation of existing agricultural surface water management systems or the construction of new agricultural surface water management systems </w:t>
      </w:r>
      <w:r>
        <w:rPr>
          <w:snapToGrid w:val="0"/>
          <w:szCs w:val="22"/>
        </w:rPr>
        <w:t>dredging and filling.  A separate regulatory program under Sections 403.9321 through 403.9333, F.S., governs the trimming and alteration of mangroves, which consist of tropical to subtropical wetland swamp vegetation growing within tidal environments, primarily in south Florida.</w:t>
      </w:r>
    </w:p>
    <w:p w:rsidR="00485094" w:rsidRDefault="00485094" w:rsidP="00B215C8">
      <w:pPr>
        <w:pStyle w:val="Bodytext"/>
        <w:rPr>
          <w:snapToGrid w:val="0"/>
          <w:szCs w:val="22"/>
        </w:rPr>
      </w:pPr>
    </w:p>
    <w:p w:rsidR="00485094" w:rsidRPr="0001156C" w:rsidRDefault="00485094" w:rsidP="00B215C8">
      <w:pPr>
        <w:pStyle w:val="Bodytext"/>
        <w:rPr>
          <w:snapToGrid w:val="0"/>
          <w:szCs w:val="22"/>
        </w:rPr>
      </w:pPr>
      <w:r>
        <w:rPr>
          <w:snapToGrid w:val="0"/>
          <w:szCs w:val="22"/>
        </w:rPr>
        <w:t xml:space="preserve">As discussed below, Florida’s ERP Program </w:t>
      </w:r>
      <w:r w:rsidRPr="00EB0FEB">
        <w:rPr>
          <w:snapToGrid w:val="0"/>
          <w:szCs w:val="22"/>
        </w:rPr>
        <w:t xml:space="preserve">is implemented </w:t>
      </w:r>
      <w:r>
        <w:rPr>
          <w:snapToGrid w:val="0"/>
          <w:szCs w:val="22"/>
        </w:rPr>
        <w:t>jointly by FDEP and the five water management districts, as well as by one delegated local government.  As such, there are some differences in how the program is implemented statewide.</w:t>
      </w:r>
      <w:r w:rsidRPr="007318DE">
        <w:rPr>
          <w:snapToGrid w:val="0"/>
          <w:szCs w:val="22"/>
        </w:rPr>
        <w:t xml:space="preserve"> </w:t>
      </w:r>
      <w:r>
        <w:rPr>
          <w:snapToGrid w:val="0"/>
          <w:szCs w:val="22"/>
        </w:rPr>
        <w:t xml:space="preserve"> </w:t>
      </w:r>
      <w:r w:rsidRPr="00EB0FEB">
        <w:rPr>
          <w:snapToGrid w:val="0"/>
          <w:szCs w:val="22"/>
        </w:rPr>
        <w:t xml:space="preserve">Rules regulating impacts to wetlands and other surface waters have been adopted by FDEP and </w:t>
      </w:r>
      <w:r>
        <w:rPr>
          <w:snapToGrid w:val="0"/>
          <w:szCs w:val="22"/>
        </w:rPr>
        <w:t>each of the</w:t>
      </w:r>
      <w:r w:rsidRPr="00EB0FEB">
        <w:rPr>
          <w:snapToGrid w:val="0"/>
          <w:szCs w:val="22"/>
        </w:rPr>
        <w:t xml:space="preserve"> water management districts.  These include Chapter 62-312, F.A.C., which covers the Florida Panhandle, and Chapters 62-330, </w:t>
      </w:r>
      <w:r>
        <w:rPr>
          <w:snapToGrid w:val="0"/>
          <w:szCs w:val="22"/>
        </w:rPr>
        <w:t xml:space="preserve">62-340, </w:t>
      </w:r>
      <w:r w:rsidRPr="00EB0FEB">
        <w:rPr>
          <w:snapToGrid w:val="0"/>
          <w:szCs w:val="22"/>
        </w:rPr>
        <w:t xml:space="preserve">62-341, 62-343, </w:t>
      </w:r>
      <w:r>
        <w:rPr>
          <w:snapToGrid w:val="0"/>
          <w:szCs w:val="22"/>
        </w:rPr>
        <w:t xml:space="preserve">62-346, </w:t>
      </w:r>
      <w:r w:rsidRPr="00EB0FEB">
        <w:rPr>
          <w:snapToGrid w:val="0"/>
          <w:szCs w:val="22"/>
        </w:rPr>
        <w:t xml:space="preserve">40A-4, 40B-4, 40B-400, 40C-4, 40C-40, 40C-41, 40C-400, 40D-4, 40D-40, 40D-400, 40E-4, 40E-40, 40E-41, and 40E-400, F.A.C.  A </w:t>
      </w:r>
      <w:r w:rsidRPr="00EB0FEB">
        <w:rPr>
          <w:snapToGrid w:val="0"/>
          <w:szCs w:val="22"/>
        </w:rPr>
        <w:lastRenderedPageBreak/>
        <w:t xml:space="preserve">requirement for </w:t>
      </w:r>
      <w:r>
        <w:rPr>
          <w:snapToGrid w:val="0"/>
          <w:szCs w:val="22"/>
        </w:rPr>
        <w:t>issuing</w:t>
      </w:r>
      <w:r w:rsidRPr="00EB0FEB">
        <w:rPr>
          <w:snapToGrid w:val="0"/>
          <w:szCs w:val="22"/>
        </w:rPr>
        <w:t xml:space="preserve"> a permit is that the activity must not be contrary to the public interest, or, if located </w:t>
      </w:r>
      <w:r w:rsidRPr="0001156C">
        <w:rPr>
          <w:snapToGrid w:val="0"/>
          <w:szCs w:val="22"/>
        </w:rPr>
        <w:t>in OFWs, the activity must be clearly in the public interest.</w:t>
      </w:r>
      <w:r w:rsidRPr="0001156C">
        <w:rPr>
          <w:rStyle w:val="FootnoteReference"/>
          <w:snapToGrid w:val="0"/>
          <w:szCs w:val="22"/>
        </w:rPr>
        <w:footnoteReference w:id="10"/>
      </w:r>
    </w:p>
    <w:p w:rsidR="00485094" w:rsidRPr="00943AF3" w:rsidRDefault="00485094" w:rsidP="00B215C8">
      <w:pPr>
        <w:pStyle w:val="Bodytext"/>
        <w:rPr>
          <w:snapToGrid w:val="0"/>
        </w:rPr>
      </w:pPr>
    </w:p>
    <w:p w:rsidR="00485094" w:rsidRDefault="00485094" w:rsidP="00B215C8">
      <w:pPr>
        <w:pStyle w:val="StyleListBullet11pt"/>
        <w:tabs>
          <w:tab w:val="clear" w:pos="630"/>
          <w:tab w:val="num" w:pos="720"/>
        </w:tabs>
        <w:ind w:left="720"/>
        <w:rPr>
          <w:snapToGrid w:val="0"/>
        </w:rPr>
      </w:pPr>
      <w:r w:rsidRPr="007A0693">
        <w:rPr>
          <w:snapToGrid w:val="0"/>
        </w:rPr>
        <w:t>In peninsular Florida (encompassing the geographic territory of four water management districts, beginning south and east of mid-Jefferson County):</w:t>
      </w:r>
    </w:p>
    <w:p w:rsidR="00485094" w:rsidRPr="00C16590" w:rsidRDefault="00485094" w:rsidP="00B215C8">
      <w:pPr>
        <w:pStyle w:val="Listbulletsub"/>
        <w:rPr>
          <w:szCs w:val="20"/>
        </w:rPr>
      </w:pPr>
      <w:r w:rsidRPr="00C16590">
        <w:t>The ERP Program regulates virtually all alterations to the landscape, including all tidal and freshwater wetlands and other surface waters (including isolated wetlands) and uplands.  The ERP addresses dredging and filling in wetlands and other surface waters, as well as stormwater runoff quality (i.e., stormwater treatment) and quantity (i.e., stormwater attenuation and flooding of other properties), including that resulting from alterations of uplands.  The program regulates everything from the construction of single-family residences in wetlands, to convenience stores in uplands, to dredging and filling for any purpose in wetlands and other surface waters (including maintenance dredging), to the construction of roads located in uplands and wetlands, to agricultural alterations that impede or divert the flow of surface waters.  Issuance of the ERP also constitutes a water quality certification or waiver under Section 401 of the CWA, 33 U.S.C. 1341.  In addition, the issuance of an ERP in coastal counties constitutes a finding of consistency under the Florida Coastal Zone Management Program under Section 307 (Coastal Zone Management Act).  The ERP Program is implemented jointly by FDEP, four water management districts, and one (as of 2009) delegated local government (Broward County), in accordance with operating agreements that identify the respective divisions of responsibilities.</w:t>
      </w:r>
    </w:p>
    <w:p w:rsidR="00485094" w:rsidRPr="00C1328F" w:rsidRDefault="00485094" w:rsidP="00B215C8">
      <w:pPr>
        <w:pStyle w:val="StyleListBullet11pt"/>
        <w:tabs>
          <w:tab w:val="clear" w:pos="630"/>
          <w:tab w:val="num" w:pos="720"/>
        </w:tabs>
        <w:ind w:left="720"/>
        <w:rPr>
          <w:snapToGrid w:val="0"/>
        </w:rPr>
      </w:pPr>
      <w:r w:rsidRPr="00C1328F">
        <w:rPr>
          <w:snapToGrid w:val="0"/>
        </w:rPr>
        <w:t xml:space="preserve">In the </w:t>
      </w:r>
      <w:r>
        <w:rPr>
          <w:snapToGrid w:val="0"/>
        </w:rPr>
        <w:t>P</w:t>
      </w:r>
      <w:r w:rsidRPr="00C1328F">
        <w:rPr>
          <w:snapToGrid w:val="0"/>
        </w:rPr>
        <w:t>anhandle (encompassing the geographic territory of the Northwest Florida Water Management District, west of and including mid-Jefferson County):</w:t>
      </w:r>
    </w:p>
    <w:p w:rsidR="00485094" w:rsidRPr="00C16590" w:rsidRDefault="00485094" w:rsidP="00B215C8">
      <w:pPr>
        <w:pStyle w:val="Listbulletsub"/>
      </w:pPr>
      <w:r w:rsidRPr="00C16590">
        <w:t>A Wetland Resource Permit Program under Chapter 62-312, F.A.C, regulates dredging and filling in all tidal and freshwater wetlands and other surface waters that are connected (by one or more natural or artificial waters) to other bays, bayous, streams, rivers, lakes, estuaries, or the Gulf of Mexico.  It does not regulate dredging or filling in isolated wetlands.  The issuance of a Wetland Resource Permit also constitutes a water quality certification or waiver under Section 401 of the CWA, 33 U.S.C. 1341, and a finding of consistency under the Florida Coastal Zone Management Program under Section 307 (Coastal Zone Management Act).  This program is implemented solely by FDEP.</w:t>
      </w:r>
    </w:p>
    <w:p w:rsidR="00485094" w:rsidRDefault="00485094" w:rsidP="00B215C8">
      <w:pPr>
        <w:pStyle w:val="Listbulletsub"/>
        <w:ind w:left="1008"/>
      </w:pPr>
      <w:r w:rsidRPr="00146EF5">
        <w:t xml:space="preserve">A separate stormwater permit program under </w:t>
      </w:r>
      <w:r>
        <w:t>Chapter</w:t>
      </w:r>
      <w:r w:rsidRPr="00146EF5">
        <w:t xml:space="preserve"> 62-346, F.A.C., regulates construction and land alterations (typically in uplands) that collect, convey, channel, hold, inhibit, or divert the movement of stormwater and that discharge into surface waters.  This rule addresses the quality and quantity (i.e.</w:t>
      </w:r>
      <w:r>
        <w:t>,</w:t>
      </w:r>
      <w:r w:rsidRPr="00146EF5">
        <w:t xml:space="preserve"> flooding) of water.  It became effective on October 1, 2007, replacing </w:t>
      </w:r>
      <w:r>
        <w:t>Chapter</w:t>
      </w:r>
      <w:r w:rsidRPr="00146EF5">
        <w:t xml:space="preserve"> 62-25, F.A.C., which only regulated the quality, not the quantity of stormwater.  </w:t>
      </w:r>
      <w:r>
        <w:t>Chapter</w:t>
      </w:r>
      <w:r w:rsidRPr="00146EF5">
        <w:t xml:space="preserve"> 62-346, F.A.C., is implemented jointly by FDEP and the Northwest Florida Water Management District in accordance with an activity-based division of responsibilities (</w:t>
      </w:r>
      <w:r>
        <w:t xml:space="preserve">for additional information, </w:t>
      </w:r>
      <w:r w:rsidRPr="00146EF5">
        <w:t xml:space="preserve">see </w:t>
      </w:r>
      <w:r>
        <w:t xml:space="preserve">the Northwest Florida Water Management District brochure, </w:t>
      </w:r>
      <w:hyperlink r:id="rId199" w:history="1">
        <w:r>
          <w:rPr>
            <w:rStyle w:val="Hyperlink"/>
          </w:rPr>
          <w:t>Environmental Resource Permitting in Florida’s Panhandle</w:t>
        </w:r>
      </w:hyperlink>
      <w:r>
        <w:t>).</w:t>
      </w:r>
      <w:r w:rsidRPr="00562005">
        <w:rPr>
          <w:sz w:val="22"/>
        </w:rPr>
        <w:t xml:space="preserve"> </w:t>
      </w:r>
      <w:r>
        <w:rPr>
          <w:sz w:val="22"/>
        </w:rPr>
        <w:t xml:space="preserve"> </w:t>
      </w:r>
      <w:r w:rsidR="00E22C45">
        <w:rPr>
          <w:szCs w:val="20"/>
        </w:rPr>
        <w:t>FDEP</w:t>
      </w:r>
      <w:r w:rsidRPr="00A67E6F">
        <w:rPr>
          <w:szCs w:val="20"/>
        </w:rPr>
        <w:t xml:space="preserve"> is the process of rulemaking under the authority of Section 373.4145(1),</w:t>
      </w:r>
      <w:r>
        <w:rPr>
          <w:szCs w:val="20"/>
        </w:rPr>
        <w:t xml:space="preserve"> F.S.,</w:t>
      </w:r>
      <w:r w:rsidRPr="00A67E6F">
        <w:rPr>
          <w:szCs w:val="20"/>
        </w:rPr>
        <w:t xml:space="preserve"> to expand Chapter 62-346, F.A.C., to also regulate management and storage of surface waters in the same </w:t>
      </w:r>
      <w:r w:rsidRPr="00A67E6F">
        <w:rPr>
          <w:szCs w:val="20"/>
        </w:rPr>
        <w:lastRenderedPageBreak/>
        <w:t>manner as they are regulated in peninsular Florida.  Once adopted, Chapter 62-346, F.A.C., will also regulate dredging and filling in wetlands and other surface waters, including isolated wetlands, which will effectively replace the need for a separate wetland resource permit under Chapter 62-312, F.A.C.</w:t>
      </w:r>
    </w:p>
    <w:p w:rsidR="00485094" w:rsidRPr="00C16590" w:rsidRDefault="00485094" w:rsidP="00B215C8">
      <w:pPr>
        <w:pStyle w:val="Listbulletsub"/>
      </w:pPr>
      <w:r w:rsidRPr="00C16590">
        <w:t>An agricultural and dam safety program implemented by the Northwest Florida Water Management District under Chapters 40A-44 and 40A-4, F.A.C., respectively.  This includes regulating the management, storage, and drainage of surface waters associated with agricultural and forestry projects.  The program has jurisdiction over impacts to isolated wetlands in agricultural lands, and the issuance of this permit constitutes water quality certification under Section 401 of the CWA, 33 U.S.C. 1341.  The dam safety program regulates the construction, alteration, or abandonment of dams or levees used in nonagricultural settings.</w:t>
      </w:r>
    </w:p>
    <w:p w:rsidR="00485094" w:rsidRPr="00943AF3" w:rsidRDefault="00485094" w:rsidP="00B215C8">
      <w:pPr>
        <w:pStyle w:val="Bodytextreduced"/>
        <w:rPr>
          <w:snapToGrid w:val="0"/>
        </w:rPr>
      </w:pPr>
    </w:p>
    <w:p w:rsidR="00485094" w:rsidRPr="00E27CA2" w:rsidRDefault="00485094" w:rsidP="00B215C8">
      <w:pPr>
        <w:pStyle w:val="Bodytext"/>
        <w:rPr>
          <w:snapToGrid w:val="0"/>
        </w:rPr>
      </w:pPr>
      <w:r w:rsidRPr="00943AF3">
        <w:rPr>
          <w:snapToGrid w:val="0"/>
        </w:rPr>
        <w:t xml:space="preserve">In addition to the </w:t>
      </w:r>
      <w:r w:rsidRPr="00203C4C">
        <w:rPr>
          <w:i/>
          <w:snapToGrid w:val="0"/>
        </w:rPr>
        <w:t>regulatory</w:t>
      </w:r>
      <w:r w:rsidRPr="00943AF3">
        <w:rPr>
          <w:snapToGrid w:val="0"/>
        </w:rPr>
        <w:t xml:space="preserve"> permit programs</w:t>
      </w:r>
      <w:r>
        <w:rPr>
          <w:snapToGrid w:val="0"/>
        </w:rPr>
        <w:t xml:space="preserve"> described above</w:t>
      </w:r>
      <w:r w:rsidRPr="00943AF3">
        <w:rPr>
          <w:snapToGrid w:val="0"/>
        </w:rPr>
        <w:t xml:space="preserve">, activities that are located on submerged lands owned by the state (otherwise called sovereign submerged lands) also require a </w:t>
      </w:r>
      <w:r w:rsidRPr="00203C4C">
        <w:rPr>
          <w:i/>
          <w:snapToGrid w:val="0"/>
        </w:rPr>
        <w:t>proprietary</w:t>
      </w:r>
      <w:r w:rsidRPr="00943AF3">
        <w:rPr>
          <w:snapToGrid w:val="0"/>
        </w:rPr>
        <w:t xml:space="preserve"> authorization for such use under </w:t>
      </w:r>
      <w:r>
        <w:rPr>
          <w:snapToGrid w:val="0"/>
        </w:rPr>
        <w:t>C</w:t>
      </w:r>
      <w:r w:rsidRPr="00943AF3">
        <w:rPr>
          <w:snapToGrid w:val="0"/>
        </w:rPr>
        <w:t>hapter 253</w:t>
      </w:r>
      <w:r>
        <w:rPr>
          <w:snapToGrid w:val="0"/>
        </w:rPr>
        <w:t>, F</w:t>
      </w:r>
      <w:r w:rsidRPr="00E27CA2">
        <w:rPr>
          <w:snapToGrid w:val="0"/>
        </w:rPr>
        <w:t xml:space="preserve">.S., and Chapter 18-21, F.A.C.  Such lands generally extend waterward from the mean high water line (of tidal waters) or the ordinary high water line (of fresh waters) both inland and out to the state’s territorial limit (approximately 3 miles into the Atlantic Ocean, and 10 miles into the Gulf of Mexico).  </w:t>
      </w:r>
    </w:p>
    <w:p w:rsidR="00485094" w:rsidRPr="00E27CA2" w:rsidRDefault="00485094" w:rsidP="00B215C8">
      <w:pPr>
        <w:pStyle w:val="Bodytext"/>
        <w:rPr>
          <w:snapToGrid w:val="0"/>
        </w:rPr>
      </w:pPr>
    </w:p>
    <w:p w:rsidR="00485094" w:rsidRPr="00943AF3" w:rsidRDefault="00485094" w:rsidP="00B215C8">
      <w:pPr>
        <w:pStyle w:val="Bodytext"/>
        <w:rPr>
          <w:snapToGrid w:val="0"/>
        </w:rPr>
      </w:pPr>
      <w:r w:rsidRPr="00E27CA2">
        <w:rPr>
          <w:snapToGrid w:val="0"/>
        </w:rPr>
        <w:t>If such lands are located in certain designated Aquatic Preserves, the authorization also must meet the requirements of Chapter 258, F.S., and Chapter 18-18, F.A.C. (in the Biscayne Bay Aquatic Preserve)</w:t>
      </w:r>
      <w:r>
        <w:rPr>
          <w:snapToGrid w:val="0"/>
        </w:rPr>
        <w:t>,</w:t>
      </w:r>
      <w:r w:rsidRPr="00E27CA2">
        <w:rPr>
          <w:snapToGrid w:val="0"/>
        </w:rPr>
        <w:t xml:space="preserve"> and Chapt</w:t>
      </w:r>
      <w:r>
        <w:rPr>
          <w:snapToGrid w:val="0"/>
        </w:rPr>
        <w:t xml:space="preserve">er 18-20, F.A.C. (in all the other aquatic preserves).  </w:t>
      </w:r>
      <w:r w:rsidRPr="00943AF3">
        <w:rPr>
          <w:snapToGrid w:val="0"/>
        </w:rPr>
        <w:t xml:space="preserve">Such authorization considers issues such as riparian rights, impacts to submerged land resources, and </w:t>
      </w:r>
      <w:r>
        <w:rPr>
          <w:snapToGrid w:val="0"/>
        </w:rPr>
        <w:t xml:space="preserve">the </w:t>
      </w:r>
      <w:r w:rsidRPr="00943AF3">
        <w:rPr>
          <w:snapToGrid w:val="0"/>
        </w:rPr>
        <w:t xml:space="preserve">preemption of other uses of the water by the public.  Authorizations typically are in the form of consents of use, easements, and leases.  This program is implemented jointly by </w:t>
      </w:r>
      <w:r>
        <w:rPr>
          <w:snapToGrid w:val="0"/>
        </w:rPr>
        <w:t>FDEP</w:t>
      </w:r>
      <w:r w:rsidRPr="00943AF3">
        <w:rPr>
          <w:snapToGrid w:val="0"/>
        </w:rPr>
        <w:t xml:space="preserve"> and four of the state’s five water management districts</w:t>
      </w:r>
      <w:r>
        <w:rPr>
          <w:snapToGrid w:val="0"/>
        </w:rPr>
        <w:t>,</w:t>
      </w:r>
      <w:r w:rsidRPr="00943AF3">
        <w:rPr>
          <w:snapToGrid w:val="0"/>
        </w:rPr>
        <w:t xml:space="preserve"> in accordance with the same operating agreement that governs the ERP </w:t>
      </w:r>
      <w:r>
        <w:rPr>
          <w:snapToGrid w:val="0"/>
        </w:rPr>
        <w:t>P</w:t>
      </w:r>
      <w:r w:rsidRPr="00943AF3">
        <w:rPr>
          <w:snapToGrid w:val="0"/>
        </w:rPr>
        <w:t>rogram.  The program is structured s</w:t>
      </w:r>
      <w:r>
        <w:rPr>
          <w:snapToGrid w:val="0"/>
        </w:rPr>
        <w:t>o</w:t>
      </w:r>
      <w:r w:rsidRPr="00943AF3">
        <w:rPr>
          <w:snapToGrid w:val="0"/>
        </w:rPr>
        <w:t xml:space="preserve"> that applicants who do not qualify at the time of the permit application for both the regulatory permit and the proprietary authorization cannot receive either </w:t>
      </w:r>
      <w:r>
        <w:rPr>
          <w:snapToGrid w:val="0"/>
        </w:rPr>
        <w:t xml:space="preserve">a </w:t>
      </w:r>
      <w:r w:rsidRPr="00943AF3">
        <w:rPr>
          <w:snapToGrid w:val="0"/>
        </w:rPr>
        <w:t xml:space="preserve">permit or </w:t>
      </w:r>
      <w:r>
        <w:rPr>
          <w:snapToGrid w:val="0"/>
        </w:rPr>
        <w:t xml:space="preserve">an </w:t>
      </w:r>
      <w:r w:rsidRPr="00943AF3">
        <w:rPr>
          <w:snapToGrid w:val="0"/>
        </w:rPr>
        <w:t>authorization.</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Although each </w:t>
      </w:r>
      <w:r>
        <w:rPr>
          <w:snapToGrid w:val="0"/>
        </w:rPr>
        <w:t>FDEP</w:t>
      </w:r>
      <w:r w:rsidRPr="00943AF3">
        <w:rPr>
          <w:snapToGrid w:val="0"/>
        </w:rPr>
        <w:t xml:space="preserve"> and water management district </w:t>
      </w:r>
      <w:r>
        <w:rPr>
          <w:snapToGrid w:val="0"/>
        </w:rPr>
        <w:t xml:space="preserve">office </w:t>
      </w:r>
      <w:r w:rsidRPr="00943AF3">
        <w:rPr>
          <w:snapToGrid w:val="0"/>
        </w:rPr>
        <w:t>has its own enforcement officers, the public reports many violations.  Public education occurs through several state pamphlets and documents, technical and regulatory workshops, and newspaper coverage.  The press has done a good job of reporting on wetlands issues.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As discussed above, Florida uses its own methodology (</w:t>
      </w:r>
      <w:r>
        <w:rPr>
          <w:snapToGrid w:val="0"/>
        </w:rPr>
        <w:t>Chapter</w:t>
      </w:r>
      <w:r w:rsidRPr="00943AF3">
        <w:rPr>
          <w:snapToGrid w:val="0"/>
        </w:rPr>
        <w:t xml:space="preserve"> 62-340, F.A.C.), rather than the federal methodology, to </w:t>
      </w:r>
      <w:r>
        <w:rPr>
          <w:snapToGrid w:val="0"/>
        </w:rPr>
        <w:t>delineate</w:t>
      </w:r>
      <w:r w:rsidRPr="00943AF3">
        <w:rPr>
          <w:snapToGrid w:val="0"/>
        </w:rPr>
        <w:t xml:space="preserve"> the boundaries of wetlands and other surface waters.  This approach, designed specifically for Florida</w:t>
      </w:r>
      <w:r>
        <w:rPr>
          <w:snapToGrid w:val="0"/>
        </w:rPr>
        <w:t xml:space="preserve"> wetland</w:t>
      </w:r>
      <w:r w:rsidRPr="00943AF3">
        <w:rPr>
          <w:snapToGrid w:val="0"/>
        </w:rPr>
        <w:t xml:space="preserve"> communities, determines the landward extent of wetlands and other surface waters.  It applies to both isolated and contiguous wetlands, with some exceptions in northwest Florida, and must be used by all local, state, and regional governments.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Numerous programs are working to restore both freshwater and estuarine wetlands—most notably the Everglades system.  Over 60,000 acres of filtration marshes, known as stormwater treatment areas, </w:t>
      </w:r>
      <w:r>
        <w:rPr>
          <w:snapToGrid w:val="0"/>
        </w:rPr>
        <w:t xml:space="preserve">or STAs, </w:t>
      </w:r>
      <w:r w:rsidRPr="00943AF3">
        <w:rPr>
          <w:snapToGrid w:val="0"/>
        </w:rPr>
        <w:t>are being built to reduce the phosphorus in agricultural r</w:t>
      </w:r>
      <w:r>
        <w:rPr>
          <w:snapToGrid w:val="0"/>
        </w:rPr>
        <w:t>unoff entering the Everglades.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Land acquisition is crucial to wetlands preservation.  The state has bought </w:t>
      </w:r>
      <w:r>
        <w:rPr>
          <w:snapToGrid w:val="0"/>
        </w:rPr>
        <w:t>thousands of acres of</w:t>
      </w:r>
      <w:r w:rsidRPr="00943AF3">
        <w:rPr>
          <w:snapToGrid w:val="0"/>
        </w:rPr>
        <w:t xml:space="preserve"> wetlands and other environmentally sensitive lands since 1963, mainly through the Florida </w:t>
      </w:r>
      <w:r w:rsidRPr="00943AF3">
        <w:rPr>
          <w:snapToGrid w:val="0"/>
        </w:rPr>
        <w:lastRenderedPageBreak/>
        <w:t>Forever and Conservation and Recreation Lands (CARL) Programs, administered by FDEP, and the Save Our Rivers (SOR) Program, administered by the water management districts.  Both are funded primarily by the documentary stamp tax on the transfer of property.  Additional funding comes from the Preservation 2000 (P-2000) Trust Fund.  In addition to outright land purchases, the state and water management districts can enter into agreements where the owner retains use of the property with certain restrictions such as conservation easements, the purchase of development rights, leasebacks, and sale with reserved life estates.</w:t>
      </w:r>
    </w:p>
    <w:p w:rsidR="00485094" w:rsidRPr="00943AF3"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Florida’s five water management districts regulate agriculture and silviculture under </w:t>
      </w:r>
      <w:r>
        <w:rPr>
          <w:snapToGrid w:val="0"/>
        </w:rPr>
        <w:t xml:space="preserve">Part IV, </w:t>
      </w:r>
      <w:r w:rsidRPr="00943AF3">
        <w:rPr>
          <w:snapToGrid w:val="0"/>
        </w:rPr>
        <w:t xml:space="preserve">Chapter 373, F.S.  Permit applicants must show that they will not harm wetlands (including isolated wetlands) of five acres or larger.  </w:t>
      </w:r>
      <w:r>
        <w:rPr>
          <w:snapToGrid w:val="0"/>
        </w:rPr>
        <w:t>FDACS a</w:t>
      </w:r>
      <w:r w:rsidRPr="00943AF3">
        <w:rPr>
          <w:snapToGrid w:val="0"/>
        </w:rPr>
        <w:t xml:space="preserve">lso has developed and advises the districts on agricultural and silvicultural BMPs in hardwood forested wetlands.  </w:t>
      </w:r>
      <w:r>
        <w:rPr>
          <w:snapToGrid w:val="0"/>
        </w:rPr>
        <w:t>In addition, t</w:t>
      </w:r>
      <w:r w:rsidRPr="00943AF3">
        <w:rPr>
          <w:snapToGrid w:val="0"/>
        </w:rPr>
        <w:t>he districts administer permits for surface water and ground water withdrawals (consumptive use permitting) under Part II, Chapter 373, F.S.</w:t>
      </w:r>
    </w:p>
    <w:p w:rsidR="00485094" w:rsidRPr="00943AF3" w:rsidRDefault="00485094" w:rsidP="00B215C8">
      <w:pPr>
        <w:pStyle w:val="Bodytext"/>
        <w:rPr>
          <w:snapToGrid w:val="0"/>
        </w:rPr>
      </w:pPr>
    </w:p>
    <w:p w:rsidR="00485094" w:rsidRDefault="00485094" w:rsidP="00B215C8">
      <w:pPr>
        <w:pStyle w:val="Bodytext"/>
        <w:rPr>
          <w:snapToGrid w:val="0"/>
        </w:rPr>
      </w:pPr>
      <w:r w:rsidRPr="00943AF3">
        <w:rPr>
          <w:snapToGrid w:val="0"/>
        </w:rPr>
        <w:t>Mitigation</w:t>
      </w:r>
      <w:r>
        <w:rPr>
          <w:snapToGrid w:val="0"/>
        </w:rPr>
        <w:t>, which</w:t>
      </w:r>
      <w:r w:rsidRPr="00943AF3">
        <w:rPr>
          <w:snapToGrid w:val="0"/>
        </w:rPr>
        <w:t xml:space="preserve"> is often used to offset otherwise unpermittable wetlands impacts</w:t>
      </w:r>
      <w:r>
        <w:rPr>
          <w:snapToGrid w:val="0"/>
        </w:rPr>
        <w:t xml:space="preserve">, </w:t>
      </w:r>
      <w:r w:rsidRPr="00943AF3">
        <w:rPr>
          <w:snapToGrid w:val="0"/>
        </w:rPr>
        <w:t>may include the restoration, enhancement, creation, or preservation of wetlands, other surface waters, or upland</w:t>
      </w:r>
      <w:r>
        <w:rPr>
          <w:snapToGrid w:val="0"/>
        </w:rPr>
        <w:t xml:space="preserve">s.  Before 2004, the recommended </w:t>
      </w:r>
      <w:r w:rsidRPr="00943AF3">
        <w:rPr>
          <w:snapToGrid w:val="0"/>
        </w:rPr>
        <w:t xml:space="preserve">ranges of ratios for offsetting wetland impacts through mitigation generally ranged from 1.5:1 to 4:1 for created or restored marshes, 2:1 to 5:1 for created or restored swamps, 4:1 to 20:1 for wetlands enhancement, 10:1 to 60:1 for wetlands preservation, and 3:1 to </w:t>
      </w:r>
      <w:r>
        <w:rPr>
          <w:snapToGrid w:val="0"/>
        </w:rPr>
        <w:t>20:1 for uplands preservation.</w:t>
      </w:r>
    </w:p>
    <w:p w:rsidR="00485094" w:rsidRDefault="00485094" w:rsidP="00B215C8">
      <w:pPr>
        <w:pStyle w:val="Bodytext"/>
        <w:rPr>
          <w:snapToGrid w:val="0"/>
        </w:rPr>
      </w:pPr>
    </w:p>
    <w:p w:rsidR="00485094" w:rsidRPr="00943AF3" w:rsidRDefault="00485094" w:rsidP="00B215C8">
      <w:pPr>
        <w:pStyle w:val="Bodytext"/>
        <w:rPr>
          <w:snapToGrid w:val="0"/>
        </w:rPr>
      </w:pPr>
      <w:r w:rsidRPr="00943AF3">
        <w:rPr>
          <w:snapToGrid w:val="0"/>
        </w:rPr>
        <w:t xml:space="preserve">In 2004, </w:t>
      </w:r>
      <w:r>
        <w:rPr>
          <w:snapToGrid w:val="0"/>
        </w:rPr>
        <w:t>FDEP</w:t>
      </w:r>
      <w:r w:rsidRPr="00943AF3">
        <w:rPr>
          <w:snapToGrid w:val="0"/>
        </w:rPr>
        <w:t xml:space="preserve">, in consultation with the water management districts, adopted a statewide Uniform Mitigation Assessment Method (UMAM) in </w:t>
      </w:r>
      <w:r>
        <w:rPr>
          <w:snapToGrid w:val="0"/>
        </w:rPr>
        <w:t>Chapter</w:t>
      </w:r>
      <w:r w:rsidRPr="00943AF3">
        <w:rPr>
          <w:snapToGrid w:val="0"/>
        </w:rPr>
        <w:t xml:space="preserve"> 62-345, F.A.C.  </w:t>
      </w:r>
      <w:r>
        <w:rPr>
          <w:snapToGrid w:val="0"/>
        </w:rPr>
        <w:t>A</w:t>
      </w:r>
      <w:r w:rsidRPr="00943AF3">
        <w:rPr>
          <w:snapToGrid w:val="0"/>
        </w:rPr>
        <w:t xml:space="preserve">ll state, regional, and local agencies in the state </w:t>
      </w:r>
      <w:r>
        <w:rPr>
          <w:snapToGrid w:val="0"/>
        </w:rPr>
        <w:t xml:space="preserve">use UMAM </w:t>
      </w:r>
      <w:r w:rsidRPr="00943AF3">
        <w:rPr>
          <w:snapToGrid w:val="0"/>
        </w:rPr>
        <w:t>to determine the amount of mitigation required to offset impacts to wetlands and other surface waters.  As of August 2005, the U.S. Army Corps of Engineers, Jacksonville District</w:t>
      </w:r>
      <w:r>
        <w:rPr>
          <w:snapToGrid w:val="0"/>
        </w:rPr>
        <w:t>, also began using this method</w:t>
      </w:r>
      <w:r w:rsidRPr="00943AF3">
        <w:rPr>
          <w:snapToGrid w:val="0"/>
        </w:rPr>
        <w:t>.</w:t>
      </w:r>
      <w:r>
        <w:rPr>
          <w:snapToGrid w:val="0"/>
        </w:rPr>
        <w:t xml:space="preserve">  </w:t>
      </w:r>
      <w:r w:rsidRPr="00943AF3">
        <w:rPr>
          <w:snapToGrid w:val="0"/>
        </w:rPr>
        <w:t>It is used to determine the amount of functional loss caused by a proposed project, and the amount of “lift” need to</w:t>
      </w:r>
      <w:r>
        <w:rPr>
          <w:snapToGrid w:val="0"/>
        </w:rPr>
        <w:t xml:space="preserve"> offset that loss of function.</w:t>
      </w:r>
    </w:p>
    <w:p w:rsidR="00485094" w:rsidRPr="00943AF3" w:rsidRDefault="00485094" w:rsidP="00B215C8">
      <w:pPr>
        <w:pStyle w:val="Bodytext"/>
        <w:rPr>
          <w:snapToGrid w:val="0"/>
        </w:rPr>
      </w:pPr>
    </w:p>
    <w:p w:rsidR="00485094" w:rsidRDefault="00485094" w:rsidP="00B215C8">
      <w:pPr>
        <w:pStyle w:val="Bodytext"/>
        <w:rPr>
          <w:snapToGrid w:val="0"/>
        </w:rPr>
      </w:pPr>
      <w:r w:rsidRPr="00943AF3">
        <w:rPr>
          <w:snapToGrid w:val="0"/>
        </w:rPr>
        <w:t>FDEP and the water management districts adopted rules governing mitigation banks in 1994 (</w:t>
      </w:r>
      <w:r>
        <w:rPr>
          <w:snapToGrid w:val="0"/>
        </w:rPr>
        <w:t>Chapter</w:t>
      </w:r>
      <w:r w:rsidRPr="00943AF3">
        <w:rPr>
          <w:snapToGrid w:val="0"/>
        </w:rPr>
        <w:t xml:space="preserve"> 62-342, F.A.C.</w:t>
      </w:r>
      <w:r w:rsidRPr="00DA2DFA">
        <w:rPr>
          <w:snapToGrid w:val="0"/>
        </w:rPr>
        <w:t>).</w:t>
      </w:r>
      <w:r>
        <w:rPr>
          <w:snapToGrid w:val="0"/>
        </w:rPr>
        <w:t xml:space="preserve">  </w:t>
      </w:r>
      <w:r w:rsidRPr="00943AF3">
        <w:rPr>
          <w:snapToGrid w:val="0"/>
        </w:rPr>
        <w:t>A mitigation bank is a large area set aside for enhancement, restoration</w:t>
      </w:r>
      <w:r>
        <w:rPr>
          <w:snapToGrid w:val="0"/>
        </w:rPr>
        <w:t>,</w:t>
      </w:r>
      <w:r w:rsidRPr="00943AF3">
        <w:rPr>
          <w:snapToGrid w:val="0"/>
        </w:rPr>
        <w:t xml:space="preserve"> and preservation.  Mitigation credits are the increase in ecological value from restoring, creating, enhan</w:t>
      </w:r>
      <w:r>
        <w:rPr>
          <w:snapToGrid w:val="0"/>
        </w:rPr>
        <w:t xml:space="preserve">cing, or preserving wetlands.  </w:t>
      </w:r>
      <w:r w:rsidRPr="00943AF3">
        <w:rPr>
          <w:snapToGrid w:val="0"/>
        </w:rPr>
        <w:t xml:space="preserve">Permit applicants can use mitigation credits to offset </w:t>
      </w:r>
      <w:r>
        <w:rPr>
          <w:snapToGrid w:val="0"/>
        </w:rPr>
        <w:t xml:space="preserve">damage to wetlands functions.  </w:t>
      </w:r>
      <w:r w:rsidRPr="005A668C">
        <w:rPr>
          <w:b/>
          <w:i/>
          <w:snapToGrid w:val="0"/>
        </w:rPr>
        <w:t xml:space="preserve">Table </w:t>
      </w:r>
      <w:r>
        <w:rPr>
          <w:b/>
          <w:i/>
          <w:snapToGrid w:val="0"/>
        </w:rPr>
        <w:t>11.</w:t>
      </w:r>
      <w:r w:rsidR="00EB08C5">
        <w:rPr>
          <w:b/>
          <w:i/>
          <w:snapToGrid w:val="0"/>
        </w:rPr>
        <w:t>5</w:t>
      </w:r>
      <w:r>
        <w:rPr>
          <w:b/>
          <w:i/>
          <w:snapToGrid w:val="0"/>
        </w:rPr>
        <w:t xml:space="preserve"> </w:t>
      </w:r>
      <w:r w:rsidRPr="00943AF3">
        <w:rPr>
          <w:snapToGrid w:val="0"/>
        </w:rPr>
        <w:t xml:space="preserve">lists all </w:t>
      </w:r>
      <w:r>
        <w:rPr>
          <w:snapToGrid w:val="0"/>
        </w:rPr>
        <w:t xml:space="preserve">open </w:t>
      </w:r>
      <w:r w:rsidRPr="00943AF3">
        <w:rPr>
          <w:snapToGrid w:val="0"/>
        </w:rPr>
        <w:t>mitigation banks in the state</w:t>
      </w:r>
      <w:r>
        <w:rPr>
          <w:snapToGrid w:val="0"/>
        </w:rPr>
        <w:t xml:space="preserve"> and </w:t>
      </w:r>
      <w:r w:rsidRPr="00943AF3">
        <w:rPr>
          <w:snapToGrid w:val="0"/>
        </w:rPr>
        <w:t xml:space="preserve">the </w:t>
      </w:r>
      <w:r w:rsidRPr="00084DB2">
        <w:rPr>
          <w:snapToGrid w:val="0"/>
        </w:rPr>
        <w:t xml:space="preserve">agency administering each of them.  </w:t>
      </w:r>
    </w:p>
    <w:p w:rsidR="00485094" w:rsidRPr="00F62FCA" w:rsidRDefault="00485094" w:rsidP="00B215C8">
      <w:pPr>
        <w:pStyle w:val="Bodytextreduced"/>
      </w:pPr>
    </w:p>
    <w:p w:rsidR="00657C91" w:rsidRDefault="00485094">
      <w:pPr>
        <w:pStyle w:val="Bodytextreduced"/>
      </w:pPr>
      <w:r>
        <w:br w:type="page"/>
      </w:r>
    </w:p>
    <w:p w:rsidR="00485094" w:rsidRDefault="00485094" w:rsidP="00B215C8">
      <w:pPr>
        <w:pStyle w:val="Tableheading"/>
        <w:rPr>
          <w:vertAlign w:val="superscript"/>
        </w:rPr>
      </w:pPr>
      <w:bookmarkStart w:id="779" w:name="_Toc271889883"/>
      <w:r>
        <w:lastRenderedPageBreak/>
        <w:t>Table 11.</w:t>
      </w:r>
      <w:r w:rsidR="00EB08C5">
        <w:t>5</w:t>
      </w:r>
      <w:r>
        <w:t>.  Open Mitigation Banks in Florida</w:t>
      </w:r>
      <w:r w:rsidRPr="000C3F88">
        <w:rPr>
          <w:vertAlign w:val="superscript"/>
        </w:rPr>
        <w:t>1</w:t>
      </w:r>
      <w:bookmarkEnd w:id="779"/>
    </w:p>
    <w:p w:rsidR="00485094" w:rsidRPr="00146EF5" w:rsidRDefault="00550C22" w:rsidP="00B215C8">
      <w:pPr>
        <w:pStyle w:val="TabledescriptionBF"/>
      </w:pPr>
      <w:r>
        <w:t xml:space="preserve">This is a six-column table.  </w:t>
      </w:r>
      <w:r w:rsidR="00485094" w:rsidRPr="00146EF5">
        <w:t>Column 1 lists the bank name, Column 2 the administrative agency, Column 3 the acreage, Column 4 the potential credits, Column 5 the credits released, and Column 6 the credits used.</w:t>
      </w:r>
    </w:p>
    <w:p w:rsidR="00485094" w:rsidRPr="00146EF5" w:rsidRDefault="00485094" w:rsidP="00B215C8">
      <w:pPr>
        <w:pStyle w:val="TabledescriptionBF"/>
      </w:pPr>
    </w:p>
    <w:p w:rsidR="00485094" w:rsidRPr="00516383" w:rsidRDefault="00485094" w:rsidP="00B215C8">
      <w:pPr>
        <w:pStyle w:val="TableText"/>
        <w:ind w:left="90"/>
        <w:rPr>
          <w:rFonts w:cs="Arial"/>
          <w:sz w:val="16"/>
          <w:szCs w:val="16"/>
        </w:rPr>
      </w:pPr>
      <w:r w:rsidRPr="00516383">
        <w:rPr>
          <w:rFonts w:cs="Arial"/>
          <w:snapToGrid w:val="0"/>
          <w:sz w:val="16"/>
          <w:szCs w:val="16"/>
          <w:vertAlign w:val="superscript"/>
        </w:rPr>
        <w:t>1</w:t>
      </w:r>
      <w:r>
        <w:rPr>
          <w:rFonts w:cs="Arial"/>
          <w:sz w:val="16"/>
          <w:szCs w:val="16"/>
        </w:rPr>
        <w:t xml:space="preserve"> C</w:t>
      </w:r>
      <w:r w:rsidRPr="00516383">
        <w:rPr>
          <w:rFonts w:cs="Arial"/>
          <w:sz w:val="16"/>
          <w:szCs w:val="16"/>
        </w:rPr>
        <w:t xml:space="preserve">urrent data </w:t>
      </w:r>
      <w:r>
        <w:rPr>
          <w:rFonts w:cs="Arial"/>
          <w:sz w:val="16"/>
          <w:szCs w:val="16"/>
        </w:rPr>
        <w:t>were</w:t>
      </w:r>
      <w:r w:rsidRPr="00516383">
        <w:rPr>
          <w:rFonts w:cs="Arial"/>
          <w:sz w:val="16"/>
          <w:szCs w:val="16"/>
        </w:rPr>
        <w:t xml:space="preserve"> updated December 2008</w:t>
      </w:r>
      <w:r w:rsidRPr="00516383">
        <w:rPr>
          <w:rFonts w:cs="Arial"/>
          <w:snapToGrid w:val="0"/>
          <w:sz w:val="16"/>
          <w:szCs w:val="16"/>
        </w:rPr>
        <w:t>.</w:t>
      </w:r>
    </w:p>
    <w:p w:rsidR="00485094" w:rsidRDefault="00485094" w:rsidP="00B215C8">
      <w:pPr>
        <w:pStyle w:val="TableText"/>
        <w:ind w:left="180" w:hanging="90"/>
        <w:rPr>
          <w:rFonts w:cs="Arial"/>
          <w:sz w:val="16"/>
          <w:szCs w:val="16"/>
        </w:rPr>
      </w:pPr>
      <w:r w:rsidRPr="00516383">
        <w:rPr>
          <w:rFonts w:cs="Arial"/>
          <w:sz w:val="16"/>
          <w:szCs w:val="16"/>
          <w:vertAlign w:val="superscript"/>
        </w:rPr>
        <w:t>2</w:t>
      </w:r>
      <w:r>
        <w:rPr>
          <w:rFonts w:cs="Arial"/>
          <w:sz w:val="16"/>
          <w:szCs w:val="16"/>
          <w:vertAlign w:val="superscript"/>
        </w:rPr>
        <w:t xml:space="preserve"> </w:t>
      </w:r>
      <w:r w:rsidRPr="00516383">
        <w:rPr>
          <w:rFonts w:cs="Arial"/>
          <w:sz w:val="16"/>
          <w:szCs w:val="16"/>
        </w:rPr>
        <w:t xml:space="preserve">SFWMD </w:t>
      </w:r>
      <w:r>
        <w:rPr>
          <w:rFonts w:cs="Arial"/>
          <w:sz w:val="16"/>
          <w:szCs w:val="16"/>
        </w:rPr>
        <w:t>=</w:t>
      </w:r>
      <w:r w:rsidRPr="00516383">
        <w:rPr>
          <w:rFonts w:cs="Arial"/>
          <w:sz w:val="16"/>
          <w:szCs w:val="16"/>
        </w:rPr>
        <w:t xml:space="preserve"> South Florida Water Manag</w:t>
      </w:r>
      <w:r>
        <w:rPr>
          <w:rFonts w:cs="Arial"/>
          <w:sz w:val="16"/>
          <w:szCs w:val="16"/>
        </w:rPr>
        <w:t>ement District</w:t>
      </w:r>
    </w:p>
    <w:p w:rsidR="00485094" w:rsidRDefault="00485094" w:rsidP="00B215C8">
      <w:pPr>
        <w:pStyle w:val="TableText"/>
        <w:ind w:left="180"/>
        <w:rPr>
          <w:rFonts w:cs="Arial"/>
          <w:sz w:val="16"/>
          <w:szCs w:val="16"/>
        </w:rPr>
      </w:pPr>
      <w:r w:rsidRPr="00516383">
        <w:rPr>
          <w:rFonts w:cs="Arial"/>
          <w:sz w:val="16"/>
          <w:szCs w:val="16"/>
        </w:rPr>
        <w:t xml:space="preserve">SJRWMD – St. Johns </w:t>
      </w:r>
      <w:r>
        <w:rPr>
          <w:rFonts w:cs="Arial"/>
          <w:sz w:val="16"/>
          <w:szCs w:val="16"/>
        </w:rPr>
        <w:t>River Water Management District</w:t>
      </w:r>
    </w:p>
    <w:p w:rsidR="00485094" w:rsidRDefault="00485094" w:rsidP="00B215C8">
      <w:pPr>
        <w:ind w:left="180"/>
        <w:rPr>
          <w:rFonts w:ascii="Arial" w:hAnsi="Arial" w:cs="Arial"/>
          <w:sz w:val="16"/>
          <w:szCs w:val="16"/>
        </w:rPr>
      </w:pPr>
      <w:r w:rsidRPr="00516383">
        <w:rPr>
          <w:rFonts w:ascii="Arial" w:hAnsi="Arial" w:cs="Arial"/>
          <w:sz w:val="16"/>
          <w:szCs w:val="16"/>
        </w:rPr>
        <w:t xml:space="preserve">SWFWMD </w:t>
      </w:r>
      <w:r>
        <w:rPr>
          <w:rFonts w:ascii="Arial" w:hAnsi="Arial" w:cs="Arial"/>
          <w:sz w:val="16"/>
          <w:szCs w:val="16"/>
        </w:rPr>
        <w:t>=</w:t>
      </w:r>
      <w:r w:rsidRPr="00516383">
        <w:rPr>
          <w:rFonts w:ascii="Arial" w:hAnsi="Arial" w:cs="Arial"/>
          <w:sz w:val="16"/>
          <w:szCs w:val="16"/>
        </w:rPr>
        <w:t xml:space="preserve"> Southwest Fl</w:t>
      </w:r>
      <w:r>
        <w:rPr>
          <w:rFonts w:ascii="Arial" w:hAnsi="Arial" w:cs="Arial"/>
          <w:sz w:val="16"/>
          <w:szCs w:val="16"/>
        </w:rPr>
        <w:t>orida Water Management District</w:t>
      </w:r>
    </w:p>
    <w:p w:rsidR="00485094" w:rsidRDefault="00485094" w:rsidP="00B215C8">
      <w:pPr>
        <w:tabs>
          <w:tab w:val="left" w:pos="4107"/>
        </w:tabs>
        <w:ind w:left="180"/>
      </w:pPr>
      <w:r>
        <w:rPr>
          <w:rFonts w:ascii="Arial" w:hAnsi="Arial" w:cs="Arial"/>
          <w:sz w:val="16"/>
          <w:szCs w:val="16"/>
        </w:rPr>
        <w:t>- = Empty cell/no data</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tblPr>
      <w:tblGrid>
        <w:gridCol w:w="2268"/>
        <w:gridCol w:w="1446"/>
        <w:gridCol w:w="1374"/>
        <w:gridCol w:w="1350"/>
        <w:gridCol w:w="1350"/>
        <w:gridCol w:w="1350"/>
      </w:tblGrid>
      <w:tr w:rsidR="00485094" w:rsidRPr="003A02D8" w:rsidTr="00394CAD">
        <w:trPr>
          <w:trHeight w:val="288"/>
          <w:tblHeader/>
          <w:jc w:val="center"/>
        </w:trPr>
        <w:tc>
          <w:tcPr>
            <w:tcW w:w="2268"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Bank Name</w:t>
            </w:r>
          </w:p>
        </w:tc>
        <w:tc>
          <w:tcPr>
            <w:tcW w:w="1446"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Administrative Agency</w:t>
            </w:r>
            <w:r w:rsidRPr="001F00C8">
              <w:rPr>
                <w:b/>
                <w:i/>
                <w:vertAlign w:val="superscript"/>
              </w:rPr>
              <w:t>2</w:t>
            </w:r>
          </w:p>
        </w:tc>
        <w:tc>
          <w:tcPr>
            <w:tcW w:w="1374"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Acres</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Potential Credits</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Credits Released</w:t>
            </w:r>
          </w:p>
        </w:tc>
        <w:tc>
          <w:tcPr>
            <w:tcW w:w="1350" w:type="dxa"/>
            <w:tcBorders>
              <w:bottom w:val="double" w:sz="4" w:space="0" w:color="auto"/>
            </w:tcBorders>
            <w:shd w:val="clear" w:color="auto" w:fill="BDFFFF"/>
            <w:vAlign w:val="bottom"/>
          </w:tcPr>
          <w:p w:rsidR="00485094" w:rsidRPr="003A02D8" w:rsidRDefault="00485094" w:rsidP="00394CAD">
            <w:pPr>
              <w:pStyle w:val="TableText"/>
              <w:jc w:val="center"/>
              <w:rPr>
                <w:b/>
                <w:i/>
              </w:rPr>
            </w:pPr>
            <w:r w:rsidRPr="003A02D8">
              <w:rPr>
                <w:b/>
                <w:i/>
              </w:rPr>
              <w:t>Credits</w:t>
            </w:r>
          </w:p>
          <w:p w:rsidR="00485094" w:rsidRPr="003A02D8" w:rsidRDefault="00485094" w:rsidP="00394CAD">
            <w:pPr>
              <w:pStyle w:val="TableText"/>
              <w:jc w:val="center"/>
              <w:rPr>
                <w:b/>
                <w:i/>
              </w:rPr>
            </w:pPr>
            <w:r w:rsidRPr="003A02D8">
              <w:rPr>
                <w:b/>
                <w:i/>
              </w:rPr>
              <w:t>Used</w:t>
            </w:r>
          </w:p>
        </w:tc>
      </w:tr>
      <w:tr w:rsidR="00485094" w:rsidTr="00394CAD">
        <w:trPr>
          <w:trHeight w:val="288"/>
          <w:jc w:val="center"/>
        </w:trPr>
        <w:tc>
          <w:tcPr>
            <w:tcW w:w="2268" w:type="dxa"/>
            <w:tcBorders>
              <w:top w:val="double" w:sz="4" w:space="0" w:color="auto"/>
            </w:tcBorders>
            <w:shd w:val="clear" w:color="auto" w:fill="FFFFCC"/>
            <w:vAlign w:val="center"/>
          </w:tcPr>
          <w:p w:rsidR="00485094" w:rsidRDefault="00485094" w:rsidP="00394CAD">
            <w:pPr>
              <w:pStyle w:val="TableText"/>
              <w:jc w:val="center"/>
            </w:pPr>
            <w:r w:rsidRPr="0043602E">
              <w:t>B</w:t>
            </w:r>
            <w:r>
              <w:t>ear Point</w:t>
            </w:r>
          </w:p>
        </w:tc>
        <w:tc>
          <w:tcPr>
            <w:tcW w:w="1446" w:type="dxa"/>
            <w:tcBorders>
              <w:top w:val="double" w:sz="4" w:space="0" w:color="auto"/>
            </w:tcBorders>
            <w:vAlign w:val="center"/>
          </w:tcPr>
          <w:p w:rsidR="00485094" w:rsidRDefault="00485094" w:rsidP="00394CAD">
            <w:pPr>
              <w:pStyle w:val="TableText"/>
              <w:jc w:val="center"/>
            </w:pPr>
            <w:r>
              <w:t>F</w:t>
            </w:r>
            <w:r w:rsidRPr="0043602E">
              <w:t>DEP</w:t>
            </w:r>
          </w:p>
        </w:tc>
        <w:tc>
          <w:tcPr>
            <w:tcW w:w="1374" w:type="dxa"/>
            <w:tcBorders>
              <w:top w:val="double" w:sz="4" w:space="0" w:color="auto"/>
            </w:tcBorders>
            <w:vAlign w:val="center"/>
          </w:tcPr>
          <w:p w:rsidR="00485094" w:rsidRDefault="00485094" w:rsidP="00394CAD">
            <w:pPr>
              <w:pStyle w:val="TableText"/>
              <w:jc w:val="center"/>
            </w:pPr>
            <w:r w:rsidRPr="0043602E">
              <w:t>317.00</w:t>
            </w:r>
          </w:p>
        </w:tc>
        <w:tc>
          <w:tcPr>
            <w:tcW w:w="1350" w:type="dxa"/>
            <w:tcBorders>
              <w:top w:val="double" w:sz="4" w:space="0" w:color="auto"/>
            </w:tcBorders>
            <w:vAlign w:val="center"/>
          </w:tcPr>
          <w:p w:rsidR="00485094" w:rsidRDefault="00485094" w:rsidP="00394CAD">
            <w:pPr>
              <w:pStyle w:val="TableText"/>
              <w:jc w:val="center"/>
            </w:pPr>
            <w:r w:rsidRPr="0043602E">
              <w:t>49.80</w:t>
            </w:r>
          </w:p>
        </w:tc>
        <w:tc>
          <w:tcPr>
            <w:tcW w:w="1350" w:type="dxa"/>
            <w:tcBorders>
              <w:top w:val="double" w:sz="4" w:space="0" w:color="auto"/>
            </w:tcBorders>
            <w:vAlign w:val="center"/>
          </w:tcPr>
          <w:p w:rsidR="00485094" w:rsidRDefault="00485094" w:rsidP="00394CAD">
            <w:pPr>
              <w:pStyle w:val="TableText"/>
              <w:jc w:val="center"/>
            </w:pPr>
            <w:r>
              <w:t>45.00</w:t>
            </w:r>
          </w:p>
        </w:tc>
        <w:tc>
          <w:tcPr>
            <w:tcW w:w="1350" w:type="dxa"/>
            <w:tcBorders>
              <w:top w:val="double" w:sz="4" w:space="0" w:color="auto"/>
            </w:tcBorders>
            <w:vAlign w:val="center"/>
          </w:tcPr>
          <w:p w:rsidR="00485094" w:rsidRDefault="00485094" w:rsidP="00394CAD">
            <w:pPr>
              <w:pStyle w:val="TableText"/>
              <w:jc w:val="center"/>
            </w:pPr>
            <w:r>
              <w:t>3.9</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B</w:t>
            </w:r>
            <w:r>
              <w:t>reakfast Point</w:t>
            </w:r>
          </w:p>
        </w:tc>
        <w:tc>
          <w:tcPr>
            <w:tcW w:w="1446" w:type="dxa"/>
            <w:vAlign w:val="center"/>
          </w:tcPr>
          <w:p w:rsidR="00485094" w:rsidRDefault="00485094" w:rsidP="00394CAD">
            <w:pPr>
              <w:pStyle w:val="TableText"/>
              <w:jc w:val="center"/>
            </w:pPr>
            <w:r>
              <w:t>F</w:t>
            </w:r>
            <w:r w:rsidRPr="0043602E">
              <w:t>DEP</w:t>
            </w:r>
          </w:p>
        </w:tc>
        <w:tc>
          <w:tcPr>
            <w:tcW w:w="1374" w:type="dxa"/>
            <w:vAlign w:val="center"/>
          </w:tcPr>
          <w:p w:rsidR="00485094" w:rsidRDefault="00485094" w:rsidP="00394CAD">
            <w:pPr>
              <w:pStyle w:val="TableText"/>
              <w:jc w:val="center"/>
            </w:pPr>
            <w:r w:rsidRPr="0043602E">
              <w:t>4,637.00</w:t>
            </w:r>
          </w:p>
        </w:tc>
        <w:tc>
          <w:tcPr>
            <w:tcW w:w="1350" w:type="dxa"/>
            <w:vAlign w:val="center"/>
          </w:tcPr>
          <w:p w:rsidR="00485094" w:rsidRDefault="00485094" w:rsidP="00394CAD">
            <w:pPr>
              <w:pStyle w:val="TableText"/>
              <w:jc w:val="center"/>
            </w:pPr>
            <w:r w:rsidRPr="0043602E">
              <w:t>1,051.66</w:t>
            </w:r>
          </w:p>
        </w:tc>
        <w:tc>
          <w:tcPr>
            <w:tcW w:w="1350" w:type="dxa"/>
            <w:vAlign w:val="center"/>
          </w:tcPr>
          <w:p w:rsidR="00485094" w:rsidRDefault="00485094" w:rsidP="00394CAD">
            <w:pPr>
              <w:pStyle w:val="TableText"/>
              <w:jc w:val="center"/>
            </w:pPr>
            <w:r>
              <w:t>151.50</w:t>
            </w:r>
          </w:p>
        </w:tc>
        <w:tc>
          <w:tcPr>
            <w:tcW w:w="1350" w:type="dxa"/>
            <w:vAlign w:val="center"/>
          </w:tcPr>
          <w:p w:rsidR="00485094" w:rsidRDefault="00485094" w:rsidP="00394CAD">
            <w:pPr>
              <w:pStyle w:val="TableText"/>
              <w:jc w:val="center"/>
            </w:pPr>
            <w:r>
              <w:t>29.50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Corkscrew</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635.00</w:t>
            </w:r>
          </w:p>
        </w:tc>
        <w:tc>
          <w:tcPr>
            <w:tcW w:w="1350" w:type="dxa"/>
            <w:vAlign w:val="center"/>
          </w:tcPr>
          <w:p w:rsidR="00485094" w:rsidRDefault="00485094" w:rsidP="00394CAD">
            <w:pPr>
              <w:pStyle w:val="TableText"/>
              <w:jc w:val="center"/>
            </w:pPr>
            <w:r w:rsidRPr="0043602E">
              <w:t>351.80</w:t>
            </w:r>
          </w:p>
        </w:tc>
        <w:tc>
          <w:tcPr>
            <w:tcW w:w="1350" w:type="dxa"/>
            <w:vAlign w:val="center"/>
          </w:tcPr>
          <w:p w:rsidR="00485094" w:rsidRDefault="00485094" w:rsidP="00394CAD">
            <w:pPr>
              <w:pStyle w:val="TableText"/>
              <w:jc w:val="center"/>
            </w:pPr>
            <w:r>
              <w:t>144.73</w:t>
            </w:r>
          </w:p>
        </w:tc>
        <w:tc>
          <w:tcPr>
            <w:tcW w:w="1350" w:type="dxa"/>
            <w:vAlign w:val="center"/>
          </w:tcPr>
          <w:p w:rsidR="00485094" w:rsidRDefault="00485094" w:rsidP="00394CAD">
            <w:pPr>
              <w:pStyle w:val="TableText"/>
              <w:jc w:val="center"/>
            </w:pPr>
            <w:r>
              <w:t>18.70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D</w:t>
            </w:r>
            <w:r>
              <w:t>evils Swamp</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3,049.20</w:t>
            </w:r>
          </w:p>
        </w:tc>
        <w:tc>
          <w:tcPr>
            <w:tcW w:w="1350" w:type="dxa"/>
            <w:vAlign w:val="center"/>
          </w:tcPr>
          <w:p w:rsidR="00485094" w:rsidRDefault="00485094" w:rsidP="00394CAD">
            <w:pPr>
              <w:pStyle w:val="TableText"/>
              <w:jc w:val="center"/>
            </w:pPr>
            <w:r w:rsidRPr="0043602E">
              <w:t>526.80</w:t>
            </w:r>
          </w:p>
        </w:tc>
        <w:tc>
          <w:tcPr>
            <w:tcW w:w="1350" w:type="dxa"/>
            <w:vAlign w:val="center"/>
          </w:tcPr>
          <w:p w:rsidR="00485094" w:rsidRDefault="00485094" w:rsidP="00394CAD">
            <w:pPr>
              <w:pStyle w:val="TableText"/>
              <w:jc w:val="center"/>
            </w:pPr>
            <w:r>
              <w:t>208.20</w:t>
            </w:r>
          </w:p>
        </w:tc>
        <w:tc>
          <w:tcPr>
            <w:tcW w:w="1350" w:type="dxa"/>
            <w:vAlign w:val="center"/>
          </w:tcPr>
          <w:p w:rsidR="00485094" w:rsidRDefault="00485094" w:rsidP="00394CAD">
            <w:pPr>
              <w:pStyle w:val="TableText"/>
              <w:jc w:val="center"/>
            </w:pPr>
            <w:r>
              <w:t>1.57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FMB</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1,582.00</w:t>
            </w:r>
          </w:p>
        </w:tc>
        <w:tc>
          <w:tcPr>
            <w:tcW w:w="1350" w:type="dxa"/>
            <w:vAlign w:val="center"/>
          </w:tcPr>
          <w:p w:rsidR="00485094" w:rsidRDefault="00485094" w:rsidP="00394CAD">
            <w:pPr>
              <w:pStyle w:val="TableText"/>
              <w:jc w:val="center"/>
            </w:pPr>
            <w:r w:rsidRPr="0043602E">
              <w:t>847.50</w:t>
            </w:r>
          </w:p>
        </w:tc>
        <w:tc>
          <w:tcPr>
            <w:tcW w:w="1350" w:type="dxa"/>
            <w:vAlign w:val="center"/>
          </w:tcPr>
          <w:p w:rsidR="00485094" w:rsidRDefault="00485094" w:rsidP="00394CAD">
            <w:pPr>
              <w:pStyle w:val="TableText"/>
              <w:jc w:val="center"/>
            </w:pPr>
            <w:r w:rsidRPr="0043602E">
              <w:t>847.50</w:t>
            </w:r>
          </w:p>
        </w:tc>
        <w:tc>
          <w:tcPr>
            <w:tcW w:w="1350" w:type="dxa"/>
            <w:vAlign w:val="center"/>
          </w:tcPr>
          <w:p w:rsidR="00485094" w:rsidRDefault="00485094" w:rsidP="00394CAD">
            <w:pPr>
              <w:pStyle w:val="TableText"/>
              <w:jc w:val="center"/>
            </w:pPr>
            <w:r>
              <w:t>799.90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FPL/EMB 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4,12</w:t>
            </w:r>
            <w:r>
              <w:t>5.00</w:t>
            </w:r>
          </w:p>
        </w:tc>
        <w:tc>
          <w:tcPr>
            <w:tcW w:w="1350" w:type="dxa"/>
            <w:vAlign w:val="center"/>
          </w:tcPr>
          <w:p w:rsidR="00485094" w:rsidRDefault="00485094" w:rsidP="00394CAD">
            <w:pPr>
              <w:pStyle w:val="TableText"/>
              <w:jc w:val="center"/>
            </w:pPr>
            <w:r w:rsidRPr="0043602E">
              <w:t>424.50</w:t>
            </w:r>
          </w:p>
        </w:tc>
        <w:tc>
          <w:tcPr>
            <w:tcW w:w="1350" w:type="dxa"/>
            <w:vAlign w:val="center"/>
          </w:tcPr>
          <w:p w:rsidR="00485094" w:rsidRDefault="00485094" w:rsidP="00394CAD">
            <w:pPr>
              <w:pStyle w:val="TableText"/>
              <w:jc w:val="center"/>
            </w:pPr>
            <w:r w:rsidRPr="0043602E">
              <w:t>382.00</w:t>
            </w:r>
          </w:p>
        </w:tc>
        <w:tc>
          <w:tcPr>
            <w:tcW w:w="1350" w:type="dxa"/>
            <w:vAlign w:val="center"/>
          </w:tcPr>
          <w:p w:rsidR="00485094" w:rsidRDefault="00485094" w:rsidP="00394CAD">
            <w:pPr>
              <w:pStyle w:val="TableText"/>
              <w:jc w:val="center"/>
            </w:pPr>
            <w:r>
              <w:t>270.27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FPL/EMB II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9,026.00</w:t>
            </w:r>
          </w:p>
        </w:tc>
        <w:tc>
          <w:tcPr>
            <w:tcW w:w="1350" w:type="dxa"/>
            <w:vAlign w:val="center"/>
          </w:tcPr>
          <w:p w:rsidR="00485094" w:rsidRDefault="00485094" w:rsidP="00394CAD">
            <w:pPr>
              <w:pStyle w:val="TableText"/>
              <w:jc w:val="center"/>
            </w:pPr>
            <w:r w:rsidRPr="0043602E">
              <w:t>1,769.53</w:t>
            </w:r>
          </w:p>
        </w:tc>
        <w:tc>
          <w:tcPr>
            <w:tcW w:w="1350" w:type="dxa"/>
            <w:vAlign w:val="center"/>
          </w:tcPr>
          <w:p w:rsidR="00485094" w:rsidRDefault="00485094" w:rsidP="00394CAD">
            <w:pPr>
              <w:pStyle w:val="TableText"/>
              <w:jc w:val="center"/>
            </w:pPr>
            <w:r>
              <w:t>547.27</w:t>
            </w:r>
          </w:p>
        </w:tc>
        <w:tc>
          <w:tcPr>
            <w:tcW w:w="1350" w:type="dxa"/>
            <w:vAlign w:val="center"/>
          </w:tcPr>
          <w:p w:rsidR="00485094" w:rsidRDefault="00485094" w:rsidP="00394CAD">
            <w:pPr>
              <w:pStyle w:val="TableText"/>
              <w:jc w:val="center"/>
            </w:pPr>
            <w:r>
              <w:t>139.35</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Garcon</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337.00</w:t>
            </w:r>
          </w:p>
        </w:tc>
        <w:tc>
          <w:tcPr>
            <w:tcW w:w="1350" w:type="dxa"/>
            <w:vAlign w:val="center"/>
          </w:tcPr>
          <w:p w:rsidR="00485094" w:rsidRDefault="00485094" w:rsidP="00394CAD">
            <w:pPr>
              <w:pStyle w:val="TableText"/>
              <w:jc w:val="center"/>
            </w:pPr>
            <w:r w:rsidRPr="0043602E">
              <w:t>172.39</w:t>
            </w:r>
          </w:p>
        </w:tc>
        <w:tc>
          <w:tcPr>
            <w:tcW w:w="1350" w:type="dxa"/>
            <w:vAlign w:val="center"/>
          </w:tcPr>
          <w:p w:rsidR="00485094" w:rsidRDefault="00485094" w:rsidP="00394CAD">
            <w:pPr>
              <w:pStyle w:val="TableText"/>
              <w:jc w:val="center"/>
            </w:pPr>
            <w:r w:rsidRPr="0043602E">
              <w:t>77.40</w:t>
            </w:r>
          </w:p>
        </w:tc>
        <w:tc>
          <w:tcPr>
            <w:tcW w:w="1350" w:type="dxa"/>
            <w:vAlign w:val="center"/>
          </w:tcPr>
          <w:p w:rsidR="00485094" w:rsidRDefault="00485094" w:rsidP="00394CAD">
            <w:pPr>
              <w:pStyle w:val="TableText"/>
              <w:jc w:val="center"/>
            </w:pPr>
            <w:r>
              <w:t>16.10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Graham</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t>66.00</w:t>
            </w:r>
          </w:p>
        </w:tc>
        <w:tc>
          <w:tcPr>
            <w:tcW w:w="1350" w:type="dxa"/>
            <w:vAlign w:val="center"/>
          </w:tcPr>
          <w:p w:rsidR="00485094" w:rsidRDefault="00485094" w:rsidP="00394CAD">
            <w:pPr>
              <w:pStyle w:val="TableText"/>
              <w:jc w:val="center"/>
            </w:pPr>
            <w:r w:rsidRPr="0043602E">
              <w:t>32.50</w:t>
            </w:r>
          </w:p>
        </w:tc>
        <w:tc>
          <w:tcPr>
            <w:tcW w:w="1350" w:type="dxa"/>
            <w:vAlign w:val="center"/>
          </w:tcPr>
          <w:p w:rsidR="00485094" w:rsidRDefault="00485094" w:rsidP="00394CAD">
            <w:pPr>
              <w:pStyle w:val="TableText"/>
              <w:jc w:val="center"/>
            </w:pPr>
            <w:r w:rsidRPr="0043602E">
              <w:t>29.25</w:t>
            </w:r>
          </w:p>
        </w:tc>
        <w:tc>
          <w:tcPr>
            <w:tcW w:w="1350" w:type="dxa"/>
            <w:vAlign w:val="center"/>
          </w:tcPr>
          <w:p w:rsidR="00485094" w:rsidRDefault="00485094" w:rsidP="00394CAD">
            <w:pPr>
              <w:pStyle w:val="TableText"/>
              <w:jc w:val="center"/>
            </w:pPr>
            <w:r w:rsidRPr="0043602E">
              <w:t>5.50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L</w:t>
            </w:r>
            <w:r>
              <w:t>ox</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1,264.00</w:t>
            </w:r>
          </w:p>
        </w:tc>
        <w:tc>
          <w:tcPr>
            <w:tcW w:w="1350" w:type="dxa"/>
            <w:vAlign w:val="center"/>
          </w:tcPr>
          <w:p w:rsidR="00485094" w:rsidRDefault="00485094" w:rsidP="00394CAD">
            <w:pPr>
              <w:pStyle w:val="TableText"/>
              <w:jc w:val="center"/>
            </w:pPr>
            <w:r w:rsidRPr="0043602E">
              <w:t>641.60</w:t>
            </w:r>
          </w:p>
        </w:tc>
        <w:tc>
          <w:tcPr>
            <w:tcW w:w="1350" w:type="dxa"/>
            <w:vAlign w:val="center"/>
          </w:tcPr>
          <w:p w:rsidR="00485094" w:rsidRDefault="00485094" w:rsidP="00394CAD">
            <w:pPr>
              <w:pStyle w:val="TableText"/>
              <w:jc w:val="center"/>
            </w:pPr>
            <w:r>
              <w:t>385.00</w:t>
            </w:r>
          </w:p>
        </w:tc>
        <w:tc>
          <w:tcPr>
            <w:tcW w:w="1350" w:type="dxa"/>
            <w:vAlign w:val="center"/>
          </w:tcPr>
          <w:p w:rsidR="00485094" w:rsidRDefault="00485094" w:rsidP="00394CAD">
            <w:pPr>
              <w:pStyle w:val="TableText"/>
              <w:jc w:val="center"/>
            </w:pPr>
            <w:r>
              <w:t>319.80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LPI</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1,264.00</w:t>
            </w:r>
          </w:p>
        </w:tc>
        <w:tc>
          <w:tcPr>
            <w:tcW w:w="1350" w:type="dxa"/>
            <w:vAlign w:val="center"/>
          </w:tcPr>
          <w:p w:rsidR="00485094" w:rsidRDefault="00485094" w:rsidP="00394CAD">
            <w:pPr>
              <w:pStyle w:val="TableText"/>
              <w:jc w:val="center"/>
            </w:pPr>
            <w:r w:rsidRPr="0043602E">
              <w:t>807.00</w:t>
            </w:r>
          </w:p>
        </w:tc>
        <w:tc>
          <w:tcPr>
            <w:tcW w:w="1350" w:type="dxa"/>
            <w:vAlign w:val="center"/>
          </w:tcPr>
          <w:p w:rsidR="00485094" w:rsidRDefault="00485094" w:rsidP="00394CAD">
            <w:pPr>
              <w:pStyle w:val="TableText"/>
              <w:jc w:val="center"/>
            </w:pPr>
            <w:r>
              <w:t>330.60</w:t>
            </w:r>
          </w:p>
        </w:tc>
        <w:tc>
          <w:tcPr>
            <w:tcW w:w="1350" w:type="dxa"/>
            <w:vAlign w:val="center"/>
          </w:tcPr>
          <w:p w:rsidR="00485094" w:rsidRDefault="00485094" w:rsidP="00394CAD">
            <w:pPr>
              <w:pStyle w:val="TableText"/>
              <w:jc w:val="center"/>
            </w:pPr>
            <w:r>
              <w:t>199.18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NOKUSE</w:t>
            </w:r>
          </w:p>
        </w:tc>
        <w:tc>
          <w:tcPr>
            <w:tcW w:w="1446" w:type="dxa"/>
            <w:vAlign w:val="center"/>
          </w:tcPr>
          <w:p w:rsidR="00485094" w:rsidRPr="009A2E4B" w:rsidRDefault="00485094" w:rsidP="00394CAD">
            <w:pPr>
              <w:pStyle w:val="TableText"/>
              <w:jc w:val="center"/>
            </w:pPr>
            <w:r>
              <w:t>FDEP</w:t>
            </w:r>
          </w:p>
        </w:tc>
        <w:tc>
          <w:tcPr>
            <w:tcW w:w="1374" w:type="dxa"/>
            <w:vAlign w:val="center"/>
          </w:tcPr>
          <w:p w:rsidR="00485094" w:rsidRPr="0043602E" w:rsidRDefault="00485094" w:rsidP="00394CAD">
            <w:pPr>
              <w:pStyle w:val="TableText"/>
              <w:jc w:val="center"/>
            </w:pPr>
            <w:r>
              <w:t>2220.00</w:t>
            </w:r>
          </w:p>
        </w:tc>
        <w:tc>
          <w:tcPr>
            <w:tcW w:w="1350" w:type="dxa"/>
            <w:vAlign w:val="center"/>
          </w:tcPr>
          <w:p w:rsidR="00485094" w:rsidRPr="0043602E" w:rsidRDefault="00485094" w:rsidP="00394CAD">
            <w:pPr>
              <w:pStyle w:val="TableText"/>
              <w:jc w:val="center"/>
            </w:pPr>
            <w:r>
              <w:t>248.50</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San Pedro</w:t>
            </w:r>
          </w:p>
        </w:tc>
        <w:tc>
          <w:tcPr>
            <w:tcW w:w="1446" w:type="dxa"/>
            <w:vAlign w:val="center"/>
          </w:tcPr>
          <w:p w:rsidR="00485094" w:rsidRDefault="00485094" w:rsidP="00394CAD">
            <w:pPr>
              <w:pStyle w:val="TableText"/>
              <w:jc w:val="center"/>
            </w:pPr>
            <w:r w:rsidRPr="009A2E4B">
              <w:t>FDEP</w:t>
            </w:r>
          </w:p>
        </w:tc>
        <w:tc>
          <w:tcPr>
            <w:tcW w:w="1374" w:type="dxa"/>
            <w:vAlign w:val="center"/>
          </w:tcPr>
          <w:p w:rsidR="00485094" w:rsidRDefault="00485094" w:rsidP="00394CAD">
            <w:pPr>
              <w:pStyle w:val="TableText"/>
              <w:jc w:val="center"/>
            </w:pPr>
            <w:r w:rsidRPr="0043602E">
              <w:t>6,748.00</w:t>
            </w:r>
          </w:p>
        </w:tc>
        <w:tc>
          <w:tcPr>
            <w:tcW w:w="1350" w:type="dxa"/>
            <w:vAlign w:val="center"/>
          </w:tcPr>
          <w:p w:rsidR="00485094" w:rsidRDefault="00485094" w:rsidP="00394CAD">
            <w:pPr>
              <w:pStyle w:val="TableText"/>
              <w:jc w:val="center"/>
            </w:pPr>
            <w:r w:rsidRPr="0043602E">
              <w:t>1,083.00</w:t>
            </w:r>
          </w:p>
        </w:tc>
        <w:tc>
          <w:tcPr>
            <w:tcW w:w="1350" w:type="dxa"/>
            <w:vAlign w:val="center"/>
          </w:tcPr>
          <w:p w:rsidR="00485094" w:rsidRDefault="00485094" w:rsidP="00394CAD">
            <w:pPr>
              <w:pStyle w:val="TableText"/>
              <w:jc w:val="center"/>
            </w:pPr>
            <w:r>
              <w:t>282.10</w:t>
            </w:r>
          </w:p>
        </w:tc>
        <w:tc>
          <w:tcPr>
            <w:tcW w:w="1350" w:type="dxa"/>
            <w:vAlign w:val="center"/>
          </w:tcPr>
          <w:p w:rsidR="00485094" w:rsidRDefault="00485094" w:rsidP="00394CAD">
            <w:pPr>
              <w:pStyle w:val="TableText"/>
              <w:jc w:val="center"/>
            </w:pPr>
            <w:r>
              <w:t>10.77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S</w:t>
            </w:r>
            <w:r>
              <w:t>and Hill Lakes</w:t>
            </w:r>
          </w:p>
        </w:tc>
        <w:tc>
          <w:tcPr>
            <w:tcW w:w="1446" w:type="dxa"/>
            <w:vAlign w:val="center"/>
          </w:tcPr>
          <w:p w:rsidR="00485094" w:rsidRDefault="00485094" w:rsidP="00394CAD">
            <w:pPr>
              <w:pStyle w:val="TableText"/>
              <w:jc w:val="center"/>
            </w:pPr>
            <w:r w:rsidRPr="00E8085C">
              <w:t>FDEP</w:t>
            </w:r>
          </w:p>
        </w:tc>
        <w:tc>
          <w:tcPr>
            <w:tcW w:w="1374" w:type="dxa"/>
            <w:vAlign w:val="center"/>
          </w:tcPr>
          <w:p w:rsidR="00485094" w:rsidRDefault="00485094" w:rsidP="00394CAD">
            <w:pPr>
              <w:pStyle w:val="TableText"/>
              <w:jc w:val="center"/>
            </w:pPr>
            <w:r w:rsidRPr="0043602E">
              <w:t>2,155.00</w:t>
            </w:r>
          </w:p>
        </w:tc>
        <w:tc>
          <w:tcPr>
            <w:tcW w:w="1350" w:type="dxa"/>
            <w:vAlign w:val="center"/>
          </w:tcPr>
          <w:p w:rsidR="00485094" w:rsidRDefault="00485094" w:rsidP="00394CAD">
            <w:pPr>
              <w:pStyle w:val="TableText"/>
              <w:jc w:val="center"/>
            </w:pPr>
            <w:r w:rsidRPr="0043602E">
              <w:t>298.40</w:t>
            </w:r>
          </w:p>
        </w:tc>
        <w:tc>
          <w:tcPr>
            <w:tcW w:w="1350" w:type="dxa"/>
            <w:vAlign w:val="center"/>
          </w:tcPr>
          <w:p w:rsidR="00485094" w:rsidRDefault="00485094" w:rsidP="00394CAD">
            <w:pPr>
              <w:pStyle w:val="TableText"/>
              <w:jc w:val="center"/>
            </w:pPr>
            <w:r>
              <w:t>148</w:t>
            </w:r>
          </w:p>
        </w:tc>
        <w:tc>
          <w:tcPr>
            <w:tcW w:w="1350" w:type="dxa"/>
            <w:vAlign w:val="center"/>
          </w:tcPr>
          <w:p w:rsidR="00485094" w:rsidRDefault="00485094" w:rsidP="00394CAD">
            <w:pPr>
              <w:pStyle w:val="TableText"/>
              <w:jc w:val="center"/>
            </w:pPr>
            <w:r>
              <w:t>69.96</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W</w:t>
            </w:r>
            <w:r>
              <w:t>ekiva River</w:t>
            </w:r>
          </w:p>
        </w:tc>
        <w:tc>
          <w:tcPr>
            <w:tcW w:w="1446" w:type="dxa"/>
            <w:vAlign w:val="center"/>
          </w:tcPr>
          <w:p w:rsidR="00485094" w:rsidRDefault="00485094" w:rsidP="00394CAD">
            <w:pPr>
              <w:pStyle w:val="TableText"/>
              <w:jc w:val="center"/>
            </w:pPr>
            <w:r w:rsidRPr="00E8085C">
              <w:t>FDEP</w:t>
            </w:r>
          </w:p>
        </w:tc>
        <w:tc>
          <w:tcPr>
            <w:tcW w:w="1374" w:type="dxa"/>
            <w:vAlign w:val="center"/>
          </w:tcPr>
          <w:p w:rsidR="00485094" w:rsidRDefault="00485094" w:rsidP="00394CAD">
            <w:pPr>
              <w:pStyle w:val="TableText"/>
              <w:jc w:val="center"/>
            </w:pPr>
            <w:r w:rsidRPr="0043602E">
              <w:t>1,643.00</w:t>
            </w:r>
          </w:p>
        </w:tc>
        <w:tc>
          <w:tcPr>
            <w:tcW w:w="1350" w:type="dxa"/>
            <w:vAlign w:val="center"/>
          </w:tcPr>
          <w:p w:rsidR="00485094" w:rsidRDefault="00485094" w:rsidP="00394CAD">
            <w:pPr>
              <w:pStyle w:val="TableText"/>
              <w:jc w:val="center"/>
            </w:pPr>
            <w:r>
              <w:t>258.24</w:t>
            </w:r>
          </w:p>
        </w:tc>
        <w:tc>
          <w:tcPr>
            <w:tcW w:w="1350" w:type="dxa"/>
            <w:vAlign w:val="center"/>
          </w:tcPr>
          <w:p w:rsidR="00485094" w:rsidRDefault="00485094" w:rsidP="00394CAD">
            <w:pPr>
              <w:pStyle w:val="TableText"/>
              <w:jc w:val="center"/>
            </w:pPr>
            <w:r>
              <w:t>97.53</w:t>
            </w:r>
          </w:p>
        </w:tc>
        <w:tc>
          <w:tcPr>
            <w:tcW w:w="1350" w:type="dxa"/>
            <w:vAlign w:val="center"/>
          </w:tcPr>
          <w:p w:rsidR="00485094" w:rsidRDefault="00485094" w:rsidP="00394CAD">
            <w:pPr>
              <w:pStyle w:val="TableText"/>
              <w:jc w:val="center"/>
            </w:pPr>
            <w:r>
              <w:t>26.51</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B</w:t>
            </w:r>
            <w:r>
              <w:t>ig Cypress</w:t>
            </w:r>
          </w:p>
        </w:tc>
        <w:tc>
          <w:tcPr>
            <w:tcW w:w="1446" w:type="dxa"/>
            <w:vAlign w:val="center"/>
          </w:tcPr>
          <w:p w:rsidR="00485094" w:rsidRDefault="00485094" w:rsidP="00394CAD">
            <w:pPr>
              <w:pStyle w:val="TableText"/>
              <w:jc w:val="center"/>
            </w:pPr>
            <w:r>
              <w:t>S</w:t>
            </w:r>
            <w:r w:rsidRPr="0043602E">
              <w:t>FWMD</w:t>
            </w:r>
          </w:p>
        </w:tc>
        <w:tc>
          <w:tcPr>
            <w:tcW w:w="1374" w:type="dxa"/>
            <w:vAlign w:val="center"/>
          </w:tcPr>
          <w:p w:rsidR="00485094" w:rsidRDefault="00485094" w:rsidP="00394CAD">
            <w:pPr>
              <w:pStyle w:val="TableText"/>
              <w:jc w:val="center"/>
            </w:pPr>
            <w:r w:rsidRPr="0043602E">
              <w:t>1,280.00</w:t>
            </w:r>
          </w:p>
        </w:tc>
        <w:tc>
          <w:tcPr>
            <w:tcW w:w="1350" w:type="dxa"/>
            <w:vAlign w:val="center"/>
          </w:tcPr>
          <w:p w:rsidR="00485094" w:rsidRDefault="00485094" w:rsidP="00394CAD">
            <w:pPr>
              <w:pStyle w:val="TableText"/>
              <w:jc w:val="center"/>
            </w:pPr>
            <w:r w:rsidRPr="0043602E">
              <w:t>1,001.78</w:t>
            </w:r>
          </w:p>
        </w:tc>
        <w:tc>
          <w:tcPr>
            <w:tcW w:w="1350" w:type="dxa"/>
            <w:vAlign w:val="center"/>
          </w:tcPr>
          <w:p w:rsidR="00485094" w:rsidRDefault="00485094" w:rsidP="00394CAD">
            <w:pPr>
              <w:pStyle w:val="TableText"/>
              <w:jc w:val="center"/>
            </w:pPr>
            <w:r>
              <w:t>641.19</w:t>
            </w:r>
          </w:p>
        </w:tc>
        <w:tc>
          <w:tcPr>
            <w:tcW w:w="1350" w:type="dxa"/>
            <w:vAlign w:val="center"/>
          </w:tcPr>
          <w:p w:rsidR="00485094" w:rsidRDefault="00485094" w:rsidP="00394CAD">
            <w:pPr>
              <w:pStyle w:val="TableText"/>
              <w:jc w:val="center"/>
            </w:pPr>
            <w:r>
              <w:t>246.23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Bluefield</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2,6</w:t>
            </w:r>
            <w:r>
              <w:t>9</w:t>
            </w:r>
            <w:r w:rsidRPr="0043602E">
              <w:t>5.00</w:t>
            </w:r>
          </w:p>
        </w:tc>
        <w:tc>
          <w:tcPr>
            <w:tcW w:w="1350" w:type="dxa"/>
            <w:vAlign w:val="center"/>
          </w:tcPr>
          <w:p w:rsidR="00485094" w:rsidRDefault="00485094" w:rsidP="00394CAD">
            <w:pPr>
              <w:pStyle w:val="TableText"/>
              <w:jc w:val="center"/>
            </w:pPr>
            <w:r w:rsidRPr="0043602E">
              <w:t>1,240.00</w:t>
            </w:r>
          </w:p>
        </w:tc>
        <w:tc>
          <w:tcPr>
            <w:tcW w:w="1350" w:type="dxa"/>
            <w:vAlign w:val="center"/>
          </w:tcPr>
          <w:p w:rsidR="00485094" w:rsidRDefault="00485094" w:rsidP="00394CAD">
            <w:pPr>
              <w:pStyle w:val="TableText"/>
              <w:jc w:val="center"/>
            </w:pPr>
            <w:r>
              <w:t>686.00</w:t>
            </w:r>
          </w:p>
        </w:tc>
        <w:tc>
          <w:tcPr>
            <w:tcW w:w="1350" w:type="dxa"/>
            <w:vAlign w:val="center"/>
          </w:tcPr>
          <w:p w:rsidR="00485094" w:rsidRDefault="00485094" w:rsidP="00394CAD">
            <w:pPr>
              <w:pStyle w:val="TableText"/>
              <w:jc w:val="center"/>
            </w:pPr>
            <w:r>
              <w:t>331.00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Panther</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2,788.</w:t>
            </w:r>
            <w:r>
              <w:t>00</w:t>
            </w:r>
          </w:p>
        </w:tc>
        <w:tc>
          <w:tcPr>
            <w:tcW w:w="1350" w:type="dxa"/>
            <w:vAlign w:val="center"/>
          </w:tcPr>
          <w:p w:rsidR="00485094" w:rsidRDefault="00485094" w:rsidP="00394CAD">
            <w:pPr>
              <w:pStyle w:val="TableText"/>
              <w:jc w:val="center"/>
            </w:pPr>
            <w:r w:rsidRPr="0043602E">
              <w:t>934.64</w:t>
            </w:r>
          </w:p>
        </w:tc>
        <w:tc>
          <w:tcPr>
            <w:tcW w:w="1350" w:type="dxa"/>
            <w:vAlign w:val="center"/>
          </w:tcPr>
          <w:p w:rsidR="00485094" w:rsidRDefault="00485094" w:rsidP="00394CAD">
            <w:pPr>
              <w:pStyle w:val="TableText"/>
              <w:jc w:val="center"/>
            </w:pPr>
            <w:r>
              <w:t>880.85</w:t>
            </w:r>
          </w:p>
        </w:tc>
        <w:tc>
          <w:tcPr>
            <w:tcW w:w="1350" w:type="dxa"/>
            <w:vAlign w:val="center"/>
          </w:tcPr>
          <w:p w:rsidR="00485094" w:rsidRDefault="00485094" w:rsidP="00394CAD">
            <w:pPr>
              <w:pStyle w:val="TableText"/>
              <w:jc w:val="center"/>
            </w:pPr>
            <w:r>
              <w:t>851.63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R</w:t>
            </w:r>
            <w:r>
              <w:t>eedy Creek</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2,99</w:t>
            </w:r>
            <w:r>
              <w:t>3.00</w:t>
            </w:r>
          </w:p>
        </w:tc>
        <w:tc>
          <w:tcPr>
            <w:tcW w:w="1350" w:type="dxa"/>
            <w:vAlign w:val="center"/>
          </w:tcPr>
          <w:p w:rsidR="00485094" w:rsidRDefault="00485094" w:rsidP="00394CAD">
            <w:pPr>
              <w:pStyle w:val="TableText"/>
              <w:jc w:val="center"/>
            </w:pPr>
            <w:r>
              <w:t>627</w:t>
            </w:r>
          </w:p>
        </w:tc>
        <w:tc>
          <w:tcPr>
            <w:tcW w:w="1350" w:type="dxa"/>
            <w:vAlign w:val="center"/>
          </w:tcPr>
          <w:p w:rsidR="00485094" w:rsidRDefault="00485094" w:rsidP="00394CAD">
            <w:pPr>
              <w:pStyle w:val="TableText"/>
              <w:jc w:val="center"/>
            </w:pPr>
            <w:r>
              <w:t>590.13</w:t>
            </w:r>
          </w:p>
        </w:tc>
        <w:tc>
          <w:tcPr>
            <w:tcW w:w="1350" w:type="dxa"/>
            <w:vAlign w:val="center"/>
          </w:tcPr>
          <w:p w:rsidR="00485094" w:rsidRDefault="00485094" w:rsidP="00394CAD">
            <w:pPr>
              <w:pStyle w:val="TableText"/>
              <w:jc w:val="center"/>
            </w:pPr>
            <w:r>
              <w:t>416.00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 xml:space="preserve">RG </w:t>
            </w:r>
            <w:r>
              <w:t>Reserve</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638.00</w:t>
            </w:r>
          </w:p>
        </w:tc>
        <w:tc>
          <w:tcPr>
            <w:tcW w:w="1350" w:type="dxa"/>
            <w:vAlign w:val="center"/>
          </w:tcPr>
          <w:p w:rsidR="00485094" w:rsidRDefault="00485094" w:rsidP="00394CAD">
            <w:pPr>
              <w:pStyle w:val="TableText"/>
              <w:jc w:val="center"/>
            </w:pPr>
            <w:r w:rsidRPr="0043602E">
              <w:t>32.48</w:t>
            </w:r>
          </w:p>
        </w:tc>
        <w:tc>
          <w:tcPr>
            <w:tcW w:w="1350" w:type="dxa"/>
            <w:vAlign w:val="center"/>
          </w:tcPr>
          <w:p w:rsidR="00485094" w:rsidRDefault="00485094" w:rsidP="00394CAD">
            <w:pPr>
              <w:pStyle w:val="TableText"/>
              <w:jc w:val="center"/>
            </w:pPr>
            <w:r>
              <w:t>10.00</w:t>
            </w:r>
          </w:p>
        </w:tc>
        <w:tc>
          <w:tcPr>
            <w:tcW w:w="1350" w:type="dxa"/>
            <w:vAlign w:val="center"/>
          </w:tcPr>
          <w:p w:rsidR="00485094" w:rsidRDefault="00485094" w:rsidP="00394CAD">
            <w:pPr>
              <w:pStyle w:val="TableText"/>
              <w:jc w:val="center"/>
            </w:pPr>
            <w:r>
              <w:t>2.55</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Treasure Coast</w:t>
            </w:r>
          </w:p>
        </w:tc>
        <w:tc>
          <w:tcPr>
            <w:tcW w:w="1446" w:type="dxa"/>
            <w:vAlign w:val="center"/>
          </w:tcPr>
          <w:p w:rsidR="00485094" w:rsidRDefault="00485094" w:rsidP="00394CAD">
            <w:pPr>
              <w:pStyle w:val="TableText"/>
              <w:jc w:val="center"/>
            </w:pPr>
            <w:r w:rsidRPr="0043602E">
              <w:t>SFWMD</w:t>
            </w:r>
          </w:p>
        </w:tc>
        <w:tc>
          <w:tcPr>
            <w:tcW w:w="1374" w:type="dxa"/>
            <w:vAlign w:val="center"/>
          </w:tcPr>
          <w:p w:rsidR="00485094" w:rsidRDefault="00485094" w:rsidP="00394CAD">
            <w:pPr>
              <w:pStyle w:val="TableText"/>
              <w:jc w:val="center"/>
            </w:pPr>
            <w:r w:rsidRPr="0043602E">
              <w:t>2,545.14</w:t>
            </w:r>
          </w:p>
        </w:tc>
        <w:tc>
          <w:tcPr>
            <w:tcW w:w="1350" w:type="dxa"/>
            <w:vAlign w:val="center"/>
          </w:tcPr>
          <w:p w:rsidR="00485094" w:rsidRDefault="00485094" w:rsidP="00394CAD">
            <w:pPr>
              <w:pStyle w:val="TableText"/>
              <w:jc w:val="center"/>
            </w:pPr>
            <w:r w:rsidRPr="0043602E">
              <w:t>1,033.43</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Barberville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36</w:t>
            </w:r>
            <w:r>
              <w:t>6</w:t>
            </w:r>
          </w:p>
        </w:tc>
        <w:tc>
          <w:tcPr>
            <w:tcW w:w="1350" w:type="dxa"/>
            <w:vAlign w:val="center"/>
          </w:tcPr>
          <w:p w:rsidR="00485094" w:rsidRDefault="00485094" w:rsidP="00394CAD">
            <w:pPr>
              <w:pStyle w:val="TableText"/>
              <w:jc w:val="center"/>
            </w:pPr>
            <w:r w:rsidRPr="0043602E">
              <w:t>84.30</w:t>
            </w:r>
          </w:p>
        </w:tc>
        <w:tc>
          <w:tcPr>
            <w:tcW w:w="1350" w:type="dxa"/>
            <w:vAlign w:val="center"/>
          </w:tcPr>
          <w:p w:rsidR="00485094" w:rsidRDefault="00485094" w:rsidP="00394CAD">
            <w:pPr>
              <w:pStyle w:val="TableText"/>
              <w:jc w:val="center"/>
            </w:pPr>
            <w:r w:rsidRPr="0043602E">
              <w:t>5</w:t>
            </w:r>
            <w:r>
              <w:t>8.30</w:t>
            </w:r>
          </w:p>
        </w:tc>
        <w:tc>
          <w:tcPr>
            <w:tcW w:w="1350" w:type="dxa"/>
            <w:vAlign w:val="center"/>
          </w:tcPr>
          <w:p w:rsidR="00485094" w:rsidRDefault="00485094" w:rsidP="00394CAD">
            <w:pPr>
              <w:pStyle w:val="TableText"/>
              <w:jc w:val="center"/>
            </w:pPr>
            <w:r>
              <w:t>57.42</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Blackwater</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347.00</w:t>
            </w:r>
          </w:p>
        </w:tc>
        <w:tc>
          <w:tcPr>
            <w:tcW w:w="1350" w:type="dxa"/>
            <w:vAlign w:val="center"/>
          </w:tcPr>
          <w:p w:rsidR="00485094" w:rsidRPr="0043602E" w:rsidDel="00D62642" w:rsidRDefault="00485094" w:rsidP="00394CAD">
            <w:pPr>
              <w:pStyle w:val="TableText"/>
              <w:jc w:val="center"/>
            </w:pPr>
            <w:r>
              <w:t>152.13</w:t>
            </w:r>
          </w:p>
        </w:tc>
        <w:tc>
          <w:tcPr>
            <w:tcW w:w="1350" w:type="dxa"/>
            <w:vAlign w:val="center"/>
          </w:tcPr>
          <w:p w:rsidR="00485094" w:rsidRPr="0043602E" w:rsidDel="00D62642" w:rsidRDefault="00485094" w:rsidP="00394CAD">
            <w:pPr>
              <w:pStyle w:val="TableText"/>
              <w:jc w:val="center"/>
            </w:pPr>
            <w:r>
              <w:t>15.31</w:t>
            </w:r>
          </w:p>
        </w:tc>
        <w:tc>
          <w:tcPr>
            <w:tcW w:w="1350" w:type="dxa"/>
            <w:vAlign w:val="center"/>
          </w:tcPr>
          <w:p w:rsidR="00485094" w:rsidRPr="0043602E" w:rsidDel="00D62642" w:rsidRDefault="00485094" w:rsidP="00394CAD">
            <w:pPr>
              <w:pStyle w:val="TableText"/>
              <w:jc w:val="center"/>
            </w:pPr>
            <w:r>
              <w:t>2.01</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Brick Road</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2945.00</w:t>
            </w:r>
          </w:p>
        </w:tc>
        <w:tc>
          <w:tcPr>
            <w:tcW w:w="1350" w:type="dxa"/>
            <w:vAlign w:val="center"/>
          </w:tcPr>
          <w:p w:rsidR="00485094" w:rsidRPr="0043602E" w:rsidDel="00D62642" w:rsidRDefault="00485094" w:rsidP="00394CAD">
            <w:pPr>
              <w:pStyle w:val="TableText"/>
              <w:jc w:val="center"/>
            </w:pPr>
            <w:r>
              <w:t>451.41</w:t>
            </w:r>
          </w:p>
        </w:tc>
        <w:tc>
          <w:tcPr>
            <w:tcW w:w="1350" w:type="dxa"/>
            <w:vAlign w:val="center"/>
          </w:tcPr>
          <w:p w:rsidR="00485094" w:rsidRPr="0043602E" w:rsidDel="00D62642" w:rsidRDefault="00485094" w:rsidP="00394CAD">
            <w:pPr>
              <w:pStyle w:val="TableText"/>
              <w:jc w:val="center"/>
            </w:pPr>
            <w:r>
              <w:t>-</w:t>
            </w:r>
          </w:p>
        </w:tc>
        <w:tc>
          <w:tcPr>
            <w:tcW w:w="1350" w:type="dxa"/>
            <w:vAlign w:val="center"/>
          </w:tcPr>
          <w:p w:rsidR="00485094" w:rsidRPr="0043602E" w:rsidDel="00D62642"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CGW</w:t>
            </w:r>
          </w:p>
        </w:tc>
        <w:tc>
          <w:tcPr>
            <w:tcW w:w="1446" w:type="dxa"/>
            <w:vAlign w:val="center"/>
          </w:tcPr>
          <w:p w:rsidR="00485094" w:rsidRDefault="00485094" w:rsidP="00394CAD">
            <w:pPr>
              <w:pStyle w:val="TableText"/>
              <w:jc w:val="center"/>
            </w:pPr>
            <w:r>
              <w:t>S</w:t>
            </w:r>
            <w:r w:rsidRPr="0043602E">
              <w:t>JRWMD</w:t>
            </w:r>
          </w:p>
        </w:tc>
        <w:tc>
          <w:tcPr>
            <w:tcW w:w="1374" w:type="dxa"/>
            <w:vAlign w:val="center"/>
          </w:tcPr>
          <w:p w:rsidR="00485094" w:rsidRDefault="00485094" w:rsidP="00394CAD">
            <w:pPr>
              <w:pStyle w:val="TableText"/>
              <w:jc w:val="center"/>
            </w:pPr>
            <w:r w:rsidRPr="0043602E">
              <w:t>150.00</w:t>
            </w:r>
          </w:p>
        </w:tc>
        <w:tc>
          <w:tcPr>
            <w:tcW w:w="1350" w:type="dxa"/>
            <w:vAlign w:val="center"/>
          </w:tcPr>
          <w:p w:rsidR="00485094" w:rsidRDefault="00485094" w:rsidP="00394CAD">
            <w:pPr>
              <w:pStyle w:val="TableText"/>
              <w:jc w:val="center"/>
            </w:pPr>
            <w:r>
              <w:t>66.20</w:t>
            </w:r>
          </w:p>
        </w:tc>
        <w:tc>
          <w:tcPr>
            <w:tcW w:w="1350" w:type="dxa"/>
            <w:vAlign w:val="center"/>
          </w:tcPr>
          <w:p w:rsidR="00485094" w:rsidRDefault="00485094" w:rsidP="00394CAD">
            <w:pPr>
              <w:pStyle w:val="TableText"/>
              <w:jc w:val="center"/>
            </w:pPr>
            <w:r>
              <w:t>54.60</w:t>
            </w:r>
          </w:p>
        </w:tc>
        <w:tc>
          <w:tcPr>
            <w:tcW w:w="1350" w:type="dxa"/>
            <w:vAlign w:val="center"/>
          </w:tcPr>
          <w:p w:rsidR="00485094" w:rsidRDefault="00485094" w:rsidP="00394CAD">
            <w:pPr>
              <w:pStyle w:val="TableText"/>
              <w:jc w:val="center"/>
            </w:pPr>
            <w:r>
              <w:t>42.70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Colbert</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2,604.00</w:t>
            </w:r>
          </w:p>
        </w:tc>
        <w:tc>
          <w:tcPr>
            <w:tcW w:w="1350" w:type="dxa"/>
            <w:vAlign w:val="center"/>
          </w:tcPr>
          <w:p w:rsidR="00485094" w:rsidRDefault="00485094" w:rsidP="00394CAD">
            <w:pPr>
              <w:pStyle w:val="TableText"/>
              <w:jc w:val="center"/>
            </w:pPr>
            <w:r w:rsidRPr="0043602E">
              <w:t>718.80</w:t>
            </w:r>
          </w:p>
        </w:tc>
        <w:tc>
          <w:tcPr>
            <w:tcW w:w="1350" w:type="dxa"/>
            <w:vAlign w:val="center"/>
          </w:tcPr>
          <w:p w:rsidR="00485094" w:rsidRDefault="00485094" w:rsidP="00394CAD">
            <w:pPr>
              <w:pStyle w:val="TableText"/>
              <w:jc w:val="center"/>
            </w:pPr>
            <w:r>
              <w:t>560.30</w:t>
            </w:r>
          </w:p>
        </w:tc>
        <w:tc>
          <w:tcPr>
            <w:tcW w:w="1350" w:type="dxa"/>
            <w:vAlign w:val="center"/>
          </w:tcPr>
          <w:p w:rsidR="00485094" w:rsidRDefault="00485094" w:rsidP="00394CAD">
            <w:pPr>
              <w:pStyle w:val="TableText"/>
              <w:jc w:val="center"/>
            </w:pPr>
            <w:r>
              <w:t>515.90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East Central</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1,061.00</w:t>
            </w:r>
          </w:p>
        </w:tc>
        <w:tc>
          <w:tcPr>
            <w:tcW w:w="1350" w:type="dxa"/>
            <w:vAlign w:val="center"/>
          </w:tcPr>
          <w:p w:rsidR="00485094" w:rsidRDefault="00485094" w:rsidP="00394CAD">
            <w:pPr>
              <w:pStyle w:val="TableText"/>
              <w:jc w:val="center"/>
            </w:pPr>
            <w:r w:rsidRPr="0043602E">
              <w:t>286.30</w:t>
            </w:r>
          </w:p>
        </w:tc>
        <w:tc>
          <w:tcPr>
            <w:tcW w:w="1350" w:type="dxa"/>
            <w:vAlign w:val="center"/>
          </w:tcPr>
          <w:p w:rsidR="00485094" w:rsidRDefault="00485094" w:rsidP="00394CAD">
            <w:pPr>
              <w:pStyle w:val="TableText"/>
              <w:jc w:val="center"/>
            </w:pPr>
            <w:r w:rsidRPr="0043602E">
              <w:t>286.30</w:t>
            </w:r>
          </w:p>
        </w:tc>
        <w:tc>
          <w:tcPr>
            <w:tcW w:w="1350" w:type="dxa"/>
            <w:vAlign w:val="center"/>
          </w:tcPr>
          <w:p w:rsidR="00485094" w:rsidRDefault="00485094" w:rsidP="00394CAD">
            <w:pPr>
              <w:pStyle w:val="TableText"/>
              <w:jc w:val="center"/>
            </w:pPr>
            <w:r>
              <w:t>286.04</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Farmton</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23,992.00</w:t>
            </w:r>
          </w:p>
        </w:tc>
        <w:tc>
          <w:tcPr>
            <w:tcW w:w="1350" w:type="dxa"/>
            <w:vAlign w:val="center"/>
          </w:tcPr>
          <w:p w:rsidR="00485094" w:rsidRDefault="00485094" w:rsidP="00394CAD">
            <w:pPr>
              <w:pStyle w:val="TableText"/>
              <w:jc w:val="center"/>
            </w:pPr>
            <w:r w:rsidRPr="0043602E">
              <w:t>4,585.00</w:t>
            </w:r>
          </w:p>
        </w:tc>
        <w:tc>
          <w:tcPr>
            <w:tcW w:w="1350" w:type="dxa"/>
            <w:vAlign w:val="center"/>
          </w:tcPr>
          <w:p w:rsidR="00485094" w:rsidRDefault="00485094" w:rsidP="00394CAD">
            <w:pPr>
              <w:pStyle w:val="TableText"/>
              <w:jc w:val="center"/>
            </w:pPr>
            <w:r>
              <w:t>783.20</w:t>
            </w:r>
          </w:p>
        </w:tc>
        <w:tc>
          <w:tcPr>
            <w:tcW w:w="1350" w:type="dxa"/>
            <w:vAlign w:val="center"/>
          </w:tcPr>
          <w:p w:rsidR="00485094" w:rsidRDefault="00485094" w:rsidP="00394CAD">
            <w:pPr>
              <w:pStyle w:val="TableText"/>
              <w:jc w:val="center"/>
            </w:pPr>
            <w:r>
              <w:t>720.87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Lake Louisa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1,007.00</w:t>
            </w:r>
          </w:p>
        </w:tc>
        <w:tc>
          <w:tcPr>
            <w:tcW w:w="1350" w:type="dxa"/>
            <w:vAlign w:val="center"/>
          </w:tcPr>
          <w:p w:rsidR="00485094" w:rsidRDefault="00485094" w:rsidP="00394CAD">
            <w:pPr>
              <w:pStyle w:val="TableText"/>
              <w:jc w:val="center"/>
            </w:pPr>
            <w:r w:rsidRPr="0043602E">
              <w:t>297.90</w:t>
            </w:r>
          </w:p>
        </w:tc>
        <w:tc>
          <w:tcPr>
            <w:tcW w:w="1350" w:type="dxa"/>
            <w:vAlign w:val="center"/>
          </w:tcPr>
          <w:p w:rsidR="00485094" w:rsidRDefault="00485094" w:rsidP="00394CAD">
            <w:pPr>
              <w:pStyle w:val="TableText"/>
              <w:jc w:val="center"/>
            </w:pPr>
            <w:r>
              <w:t>246.00</w:t>
            </w:r>
          </w:p>
        </w:tc>
        <w:tc>
          <w:tcPr>
            <w:tcW w:w="1350" w:type="dxa"/>
            <w:vAlign w:val="center"/>
          </w:tcPr>
          <w:p w:rsidR="00485094" w:rsidRDefault="00485094" w:rsidP="00394CAD">
            <w:pPr>
              <w:pStyle w:val="TableText"/>
              <w:jc w:val="center"/>
            </w:pPr>
            <w:r>
              <w:t>245.90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Lake Monroe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603.00</w:t>
            </w:r>
          </w:p>
        </w:tc>
        <w:tc>
          <w:tcPr>
            <w:tcW w:w="1350" w:type="dxa"/>
            <w:vAlign w:val="center"/>
          </w:tcPr>
          <w:p w:rsidR="00485094" w:rsidRDefault="00485094" w:rsidP="00394CAD">
            <w:pPr>
              <w:pStyle w:val="TableText"/>
              <w:jc w:val="center"/>
            </w:pPr>
            <w:r w:rsidRPr="0043602E">
              <w:t>199.90</w:t>
            </w:r>
          </w:p>
        </w:tc>
        <w:tc>
          <w:tcPr>
            <w:tcW w:w="1350" w:type="dxa"/>
            <w:vAlign w:val="center"/>
          </w:tcPr>
          <w:p w:rsidR="00485094" w:rsidRDefault="00485094" w:rsidP="00394CAD">
            <w:pPr>
              <w:pStyle w:val="TableText"/>
              <w:jc w:val="center"/>
            </w:pPr>
            <w:r w:rsidRPr="0043602E">
              <w:t>130.00</w:t>
            </w:r>
          </w:p>
        </w:tc>
        <w:tc>
          <w:tcPr>
            <w:tcW w:w="1350" w:type="dxa"/>
            <w:vAlign w:val="center"/>
          </w:tcPr>
          <w:p w:rsidR="00485094" w:rsidRDefault="00485094" w:rsidP="00394CAD">
            <w:pPr>
              <w:pStyle w:val="TableText"/>
              <w:jc w:val="center"/>
            </w:pPr>
            <w:r>
              <w:t>114.58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Loblolly</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6,24</w:t>
            </w:r>
            <w:r>
              <w:t>7.00</w:t>
            </w:r>
          </w:p>
        </w:tc>
        <w:tc>
          <w:tcPr>
            <w:tcW w:w="1350" w:type="dxa"/>
            <w:vAlign w:val="center"/>
          </w:tcPr>
          <w:p w:rsidR="00485094" w:rsidRDefault="00485094" w:rsidP="00394CAD">
            <w:pPr>
              <w:pStyle w:val="TableText"/>
              <w:jc w:val="center"/>
            </w:pPr>
            <w:r w:rsidRPr="0043602E">
              <w:t>2,03</w:t>
            </w:r>
            <w:r>
              <w:t>1.80</w:t>
            </w:r>
          </w:p>
        </w:tc>
        <w:tc>
          <w:tcPr>
            <w:tcW w:w="1350" w:type="dxa"/>
            <w:vAlign w:val="center"/>
          </w:tcPr>
          <w:p w:rsidR="00485094" w:rsidRDefault="00485094" w:rsidP="00394CAD">
            <w:pPr>
              <w:pStyle w:val="TableText"/>
              <w:jc w:val="center"/>
            </w:pPr>
            <w:r>
              <w:t>1074.51</w:t>
            </w:r>
          </w:p>
        </w:tc>
        <w:tc>
          <w:tcPr>
            <w:tcW w:w="1350" w:type="dxa"/>
            <w:vAlign w:val="center"/>
          </w:tcPr>
          <w:p w:rsidR="00485094" w:rsidRDefault="00485094" w:rsidP="00394CAD">
            <w:pPr>
              <w:pStyle w:val="TableText"/>
              <w:jc w:val="center"/>
            </w:pPr>
            <w:r>
              <w:t>1008.50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Longleaf</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3,02</w:t>
            </w:r>
            <w:r>
              <w:t>1.00</w:t>
            </w:r>
          </w:p>
        </w:tc>
        <w:tc>
          <w:tcPr>
            <w:tcW w:w="1350" w:type="dxa"/>
            <w:vAlign w:val="center"/>
          </w:tcPr>
          <w:p w:rsidR="00485094" w:rsidRDefault="00485094" w:rsidP="00394CAD">
            <w:pPr>
              <w:pStyle w:val="TableText"/>
              <w:jc w:val="center"/>
            </w:pPr>
            <w:r>
              <w:t>808.30</w:t>
            </w:r>
          </w:p>
        </w:tc>
        <w:tc>
          <w:tcPr>
            <w:tcW w:w="1350" w:type="dxa"/>
            <w:vAlign w:val="center"/>
          </w:tcPr>
          <w:p w:rsidR="00485094" w:rsidRDefault="00485094" w:rsidP="00394CAD">
            <w:pPr>
              <w:pStyle w:val="TableText"/>
              <w:jc w:val="center"/>
            </w:pPr>
            <w:r>
              <w:t>444.58</w:t>
            </w:r>
          </w:p>
        </w:tc>
        <w:tc>
          <w:tcPr>
            <w:tcW w:w="1350" w:type="dxa"/>
            <w:vAlign w:val="center"/>
          </w:tcPr>
          <w:p w:rsidR="00485094" w:rsidRDefault="00485094" w:rsidP="00394CAD">
            <w:pPr>
              <w:pStyle w:val="TableText"/>
              <w:jc w:val="center"/>
            </w:pPr>
            <w:r>
              <w:t>169.13</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Mary</w:t>
            </w:r>
            <w:r w:rsidRPr="0043602E">
              <w:t xml:space="preserve"> 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2,06</w:t>
            </w:r>
            <w:r>
              <w:t>9.00</w:t>
            </w:r>
          </w:p>
        </w:tc>
        <w:tc>
          <w:tcPr>
            <w:tcW w:w="1350" w:type="dxa"/>
            <w:vAlign w:val="center"/>
          </w:tcPr>
          <w:p w:rsidR="00485094" w:rsidRDefault="00485094" w:rsidP="00394CAD">
            <w:pPr>
              <w:pStyle w:val="TableText"/>
              <w:jc w:val="center"/>
            </w:pPr>
            <w:r w:rsidRPr="0043602E">
              <w:t>1,252.80</w:t>
            </w:r>
          </w:p>
        </w:tc>
        <w:tc>
          <w:tcPr>
            <w:tcW w:w="1350" w:type="dxa"/>
            <w:vAlign w:val="center"/>
          </w:tcPr>
          <w:p w:rsidR="00485094" w:rsidRDefault="00485094" w:rsidP="00394CAD">
            <w:pPr>
              <w:pStyle w:val="TableText"/>
              <w:jc w:val="center"/>
            </w:pPr>
            <w:r>
              <w:t>707.29</w:t>
            </w:r>
          </w:p>
        </w:tc>
        <w:tc>
          <w:tcPr>
            <w:tcW w:w="1350" w:type="dxa"/>
            <w:vAlign w:val="center"/>
          </w:tcPr>
          <w:p w:rsidR="00485094" w:rsidRDefault="00485094" w:rsidP="00394CAD">
            <w:pPr>
              <w:pStyle w:val="TableText"/>
              <w:jc w:val="center"/>
            </w:pPr>
            <w:r>
              <w:t>394.92</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 xml:space="preserve">NE </w:t>
            </w:r>
            <w:r>
              <w:t>Florida</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779.00</w:t>
            </w:r>
          </w:p>
        </w:tc>
        <w:tc>
          <w:tcPr>
            <w:tcW w:w="1350" w:type="dxa"/>
            <w:vAlign w:val="center"/>
          </w:tcPr>
          <w:p w:rsidR="00485094" w:rsidRDefault="00485094" w:rsidP="00394CAD">
            <w:pPr>
              <w:pStyle w:val="TableText"/>
              <w:jc w:val="center"/>
            </w:pPr>
            <w:r w:rsidRPr="0043602E">
              <w:t>407.30</w:t>
            </w:r>
          </w:p>
        </w:tc>
        <w:tc>
          <w:tcPr>
            <w:tcW w:w="1350" w:type="dxa"/>
            <w:vAlign w:val="center"/>
          </w:tcPr>
          <w:p w:rsidR="00485094" w:rsidRDefault="00485094" w:rsidP="00394CAD">
            <w:pPr>
              <w:pStyle w:val="TableText"/>
              <w:jc w:val="center"/>
            </w:pPr>
            <w:r>
              <w:t>393.90</w:t>
            </w:r>
          </w:p>
        </w:tc>
        <w:tc>
          <w:tcPr>
            <w:tcW w:w="1350" w:type="dxa"/>
            <w:vAlign w:val="center"/>
          </w:tcPr>
          <w:p w:rsidR="00485094" w:rsidRDefault="00485094" w:rsidP="00394CAD">
            <w:pPr>
              <w:pStyle w:val="TableText"/>
              <w:jc w:val="center"/>
            </w:pPr>
            <w:r w:rsidRPr="0043602E">
              <w:t>376.9</w:t>
            </w:r>
            <w:r>
              <w:t>8</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Port Orange</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5,719.00</w:t>
            </w:r>
          </w:p>
        </w:tc>
        <w:tc>
          <w:tcPr>
            <w:tcW w:w="1350" w:type="dxa"/>
            <w:vAlign w:val="center"/>
          </w:tcPr>
          <w:p w:rsidR="00485094" w:rsidRDefault="00485094" w:rsidP="00394CAD">
            <w:pPr>
              <w:pStyle w:val="TableText"/>
              <w:jc w:val="center"/>
            </w:pPr>
            <w:r w:rsidRPr="0043602E">
              <w:t>1,176.30</w:t>
            </w:r>
          </w:p>
        </w:tc>
        <w:tc>
          <w:tcPr>
            <w:tcW w:w="1350" w:type="dxa"/>
            <w:vAlign w:val="center"/>
          </w:tcPr>
          <w:p w:rsidR="00485094" w:rsidRDefault="00485094" w:rsidP="00394CAD">
            <w:pPr>
              <w:pStyle w:val="TableText"/>
              <w:jc w:val="center"/>
            </w:pPr>
            <w:r w:rsidRPr="0043602E">
              <w:t>237.90</w:t>
            </w:r>
          </w:p>
        </w:tc>
        <w:tc>
          <w:tcPr>
            <w:tcW w:w="1350" w:type="dxa"/>
            <w:vAlign w:val="center"/>
          </w:tcPr>
          <w:p w:rsidR="00485094" w:rsidRDefault="00485094" w:rsidP="00394CAD">
            <w:pPr>
              <w:pStyle w:val="TableText"/>
              <w:jc w:val="center"/>
            </w:pPr>
            <w:r>
              <w:t>112.10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lastRenderedPageBreak/>
              <w:t>Sundew</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2,107.</w:t>
            </w:r>
            <w:r>
              <w:t>00</w:t>
            </w:r>
          </w:p>
        </w:tc>
        <w:tc>
          <w:tcPr>
            <w:tcW w:w="1350" w:type="dxa"/>
            <w:vAlign w:val="center"/>
          </w:tcPr>
          <w:p w:rsidR="00485094" w:rsidRDefault="00485094" w:rsidP="00394CAD">
            <w:pPr>
              <w:pStyle w:val="TableText"/>
              <w:jc w:val="center"/>
            </w:pPr>
            <w:r w:rsidRPr="0043602E">
              <w:t>698.30</w:t>
            </w:r>
          </w:p>
        </w:tc>
        <w:tc>
          <w:tcPr>
            <w:tcW w:w="1350" w:type="dxa"/>
            <w:vAlign w:val="center"/>
          </w:tcPr>
          <w:p w:rsidR="00485094" w:rsidRDefault="00485094" w:rsidP="00394CAD">
            <w:pPr>
              <w:pStyle w:val="TableText"/>
              <w:jc w:val="center"/>
            </w:pPr>
            <w:r>
              <w:t>192.01</w:t>
            </w:r>
          </w:p>
        </w:tc>
        <w:tc>
          <w:tcPr>
            <w:tcW w:w="1350" w:type="dxa"/>
            <w:vAlign w:val="center"/>
          </w:tcPr>
          <w:p w:rsidR="00485094" w:rsidRDefault="00485094" w:rsidP="00394CAD">
            <w:pPr>
              <w:pStyle w:val="TableText"/>
              <w:jc w:val="center"/>
            </w:pPr>
            <w:r>
              <w:t>129.85</w:t>
            </w:r>
          </w:p>
        </w:tc>
      </w:tr>
      <w:tr w:rsidR="00485094" w:rsidTr="00394CAD">
        <w:trPr>
          <w:trHeight w:val="288"/>
          <w:jc w:val="center"/>
        </w:trPr>
        <w:tc>
          <w:tcPr>
            <w:tcW w:w="2268" w:type="dxa"/>
            <w:shd w:val="clear" w:color="auto" w:fill="FFFFCC"/>
            <w:vAlign w:val="center"/>
          </w:tcPr>
          <w:p w:rsidR="00485094" w:rsidRPr="0043602E" w:rsidRDefault="00485094" w:rsidP="00394CAD">
            <w:pPr>
              <w:pStyle w:val="TableText"/>
              <w:jc w:val="center"/>
            </w:pPr>
            <w:r>
              <w:t>Thomas Creek</w:t>
            </w:r>
          </w:p>
        </w:tc>
        <w:tc>
          <w:tcPr>
            <w:tcW w:w="1446" w:type="dxa"/>
            <w:vAlign w:val="center"/>
          </w:tcPr>
          <w:p w:rsidR="00485094" w:rsidRPr="0043602E" w:rsidRDefault="00485094" w:rsidP="00394CAD">
            <w:pPr>
              <w:pStyle w:val="TableText"/>
              <w:jc w:val="center"/>
            </w:pPr>
            <w:r w:rsidRPr="0043602E">
              <w:t>SJRWMD</w:t>
            </w:r>
          </w:p>
        </w:tc>
        <w:tc>
          <w:tcPr>
            <w:tcW w:w="1374" w:type="dxa"/>
            <w:vAlign w:val="center"/>
          </w:tcPr>
          <w:p w:rsidR="00485094" w:rsidRPr="0043602E" w:rsidRDefault="00485094" w:rsidP="00394CAD">
            <w:pPr>
              <w:pStyle w:val="TableText"/>
              <w:jc w:val="center"/>
            </w:pPr>
            <w:r>
              <w:t>594.00</w:t>
            </w:r>
          </w:p>
        </w:tc>
        <w:tc>
          <w:tcPr>
            <w:tcW w:w="1350" w:type="dxa"/>
            <w:vAlign w:val="center"/>
          </w:tcPr>
          <w:p w:rsidR="00485094" w:rsidRPr="0043602E" w:rsidRDefault="00485094" w:rsidP="00394CAD">
            <w:pPr>
              <w:pStyle w:val="TableText"/>
              <w:jc w:val="center"/>
            </w:pPr>
            <w:r>
              <w:t>72.48</w:t>
            </w:r>
          </w:p>
        </w:tc>
        <w:tc>
          <w:tcPr>
            <w:tcW w:w="1350" w:type="dxa"/>
            <w:vAlign w:val="center"/>
          </w:tcPr>
          <w:p w:rsidR="00485094" w:rsidRPr="0043602E" w:rsidRDefault="00485094" w:rsidP="00394CAD">
            <w:pPr>
              <w:pStyle w:val="TableText"/>
              <w:jc w:val="center"/>
            </w:pPr>
            <w:r>
              <w:t>20.91</w:t>
            </w:r>
          </w:p>
        </w:tc>
        <w:tc>
          <w:tcPr>
            <w:tcW w:w="1350" w:type="dxa"/>
            <w:vAlign w:val="center"/>
          </w:tcPr>
          <w:p w:rsidR="00485094" w:rsidRPr="0043602E"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rsidRPr="0043602E">
              <w:t>TM-</w:t>
            </w:r>
            <w:r>
              <w:t>Econ</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5,19</w:t>
            </w:r>
            <w:r>
              <w:t>9.00</w:t>
            </w:r>
          </w:p>
        </w:tc>
        <w:tc>
          <w:tcPr>
            <w:tcW w:w="1350" w:type="dxa"/>
            <w:vAlign w:val="center"/>
          </w:tcPr>
          <w:p w:rsidR="00485094" w:rsidRDefault="00485094" w:rsidP="00394CAD">
            <w:pPr>
              <w:pStyle w:val="TableText"/>
              <w:jc w:val="center"/>
            </w:pPr>
            <w:r w:rsidRPr="0043602E">
              <w:t>1,568.60</w:t>
            </w:r>
          </w:p>
        </w:tc>
        <w:tc>
          <w:tcPr>
            <w:tcW w:w="1350" w:type="dxa"/>
            <w:vAlign w:val="center"/>
          </w:tcPr>
          <w:p w:rsidR="00485094" w:rsidRDefault="00485094" w:rsidP="00394CAD">
            <w:pPr>
              <w:pStyle w:val="TableText"/>
              <w:jc w:val="center"/>
            </w:pPr>
            <w:r>
              <w:t>879.46</w:t>
            </w:r>
          </w:p>
        </w:tc>
        <w:tc>
          <w:tcPr>
            <w:tcW w:w="1350" w:type="dxa"/>
            <w:vAlign w:val="center"/>
          </w:tcPr>
          <w:p w:rsidR="00485094" w:rsidRDefault="00485094" w:rsidP="00394CAD">
            <w:pPr>
              <w:pStyle w:val="TableText"/>
              <w:jc w:val="center"/>
            </w:pPr>
            <w:r>
              <w:t>538.94</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Toso</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1,312.00</w:t>
            </w:r>
          </w:p>
        </w:tc>
        <w:tc>
          <w:tcPr>
            <w:tcW w:w="1350" w:type="dxa"/>
            <w:vAlign w:val="center"/>
          </w:tcPr>
          <w:p w:rsidR="00485094" w:rsidRDefault="00485094" w:rsidP="00394CAD">
            <w:pPr>
              <w:pStyle w:val="TableText"/>
              <w:jc w:val="center"/>
            </w:pPr>
            <w:r w:rsidRPr="0043602E">
              <w:t>185.00</w:t>
            </w:r>
          </w:p>
        </w:tc>
        <w:tc>
          <w:tcPr>
            <w:tcW w:w="1350" w:type="dxa"/>
            <w:vAlign w:val="center"/>
          </w:tcPr>
          <w:p w:rsidR="00485094" w:rsidRDefault="00485094" w:rsidP="00394CAD">
            <w:pPr>
              <w:pStyle w:val="TableText"/>
              <w:jc w:val="center"/>
            </w:pPr>
            <w:r>
              <w:t>185.00</w:t>
            </w:r>
          </w:p>
        </w:tc>
        <w:tc>
          <w:tcPr>
            <w:tcW w:w="1350" w:type="dxa"/>
            <w:vAlign w:val="center"/>
          </w:tcPr>
          <w:p w:rsidR="00485094" w:rsidRDefault="00485094" w:rsidP="00394CAD">
            <w:pPr>
              <w:pStyle w:val="TableText"/>
              <w:jc w:val="center"/>
            </w:pPr>
            <w:r>
              <w:t>152.90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Tupelo</w:t>
            </w:r>
          </w:p>
        </w:tc>
        <w:tc>
          <w:tcPr>
            <w:tcW w:w="1446" w:type="dxa"/>
            <w:vAlign w:val="center"/>
          </w:tcPr>
          <w:p w:rsidR="00485094" w:rsidRDefault="00485094" w:rsidP="00394CAD">
            <w:pPr>
              <w:pStyle w:val="TableText"/>
              <w:jc w:val="center"/>
            </w:pPr>
            <w:r w:rsidRPr="0043602E">
              <w:t>SJRWMD</w:t>
            </w:r>
          </w:p>
        </w:tc>
        <w:tc>
          <w:tcPr>
            <w:tcW w:w="1374" w:type="dxa"/>
            <w:vAlign w:val="center"/>
          </w:tcPr>
          <w:p w:rsidR="00485094" w:rsidRDefault="00485094" w:rsidP="00394CAD">
            <w:pPr>
              <w:pStyle w:val="TableText"/>
              <w:jc w:val="center"/>
            </w:pPr>
            <w:r w:rsidRPr="0043602E">
              <w:t>1,524.80</w:t>
            </w:r>
          </w:p>
        </w:tc>
        <w:tc>
          <w:tcPr>
            <w:tcW w:w="1350" w:type="dxa"/>
            <w:vAlign w:val="center"/>
          </w:tcPr>
          <w:p w:rsidR="00485094" w:rsidRDefault="00485094" w:rsidP="00394CAD">
            <w:pPr>
              <w:pStyle w:val="TableText"/>
              <w:jc w:val="center"/>
            </w:pPr>
            <w:r w:rsidRPr="0043602E">
              <w:t>459.70</w:t>
            </w:r>
          </w:p>
        </w:tc>
        <w:tc>
          <w:tcPr>
            <w:tcW w:w="1350" w:type="dxa"/>
            <w:vAlign w:val="center"/>
          </w:tcPr>
          <w:p w:rsidR="00485094" w:rsidRDefault="00485094" w:rsidP="00394CAD">
            <w:pPr>
              <w:pStyle w:val="TableText"/>
              <w:jc w:val="center"/>
            </w:pPr>
            <w:r>
              <w:t>258.76</w:t>
            </w:r>
          </w:p>
        </w:tc>
        <w:tc>
          <w:tcPr>
            <w:tcW w:w="1350" w:type="dxa"/>
            <w:vAlign w:val="center"/>
          </w:tcPr>
          <w:p w:rsidR="00485094" w:rsidRDefault="00485094" w:rsidP="00394CAD">
            <w:pPr>
              <w:pStyle w:val="TableText"/>
              <w:jc w:val="center"/>
            </w:pPr>
            <w:r>
              <w:t>209.37</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Boran</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23</w:t>
            </w:r>
            <w:r>
              <w:t>7.00</w:t>
            </w:r>
          </w:p>
        </w:tc>
        <w:tc>
          <w:tcPr>
            <w:tcW w:w="1350" w:type="dxa"/>
            <w:vAlign w:val="center"/>
          </w:tcPr>
          <w:p w:rsidR="00485094" w:rsidRDefault="00485094" w:rsidP="00394CAD">
            <w:pPr>
              <w:pStyle w:val="TableText"/>
              <w:jc w:val="center"/>
            </w:pPr>
            <w:r w:rsidRPr="0043602E">
              <w:t>108.59</w:t>
            </w:r>
          </w:p>
        </w:tc>
        <w:tc>
          <w:tcPr>
            <w:tcW w:w="1350" w:type="dxa"/>
            <w:vAlign w:val="center"/>
          </w:tcPr>
          <w:p w:rsidR="00485094" w:rsidRDefault="00485094" w:rsidP="00394CAD">
            <w:pPr>
              <w:pStyle w:val="TableText"/>
              <w:jc w:val="center"/>
            </w:pPr>
            <w:r>
              <w:t>108.59</w:t>
            </w:r>
          </w:p>
        </w:tc>
        <w:tc>
          <w:tcPr>
            <w:tcW w:w="1350" w:type="dxa"/>
            <w:vAlign w:val="center"/>
          </w:tcPr>
          <w:p w:rsidR="00485094" w:rsidRDefault="00485094" w:rsidP="00394CAD">
            <w:pPr>
              <w:pStyle w:val="TableText"/>
              <w:jc w:val="center"/>
            </w:pPr>
            <w:r>
              <w:t>100.70</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Hammock Lakes</w:t>
            </w:r>
          </w:p>
        </w:tc>
        <w:tc>
          <w:tcPr>
            <w:tcW w:w="1446" w:type="dxa"/>
            <w:vAlign w:val="center"/>
          </w:tcPr>
          <w:p w:rsidR="00485094" w:rsidRPr="0043602E" w:rsidRDefault="00485094" w:rsidP="00394CAD">
            <w:pPr>
              <w:pStyle w:val="TableText"/>
              <w:jc w:val="center"/>
            </w:pPr>
            <w:r w:rsidRPr="0043602E">
              <w:t>SWFWMD</w:t>
            </w:r>
          </w:p>
        </w:tc>
        <w:tc>
          <w:tcPr>
            <w:tcW w:w="1374" w:type="dxa"/>
            <w:vAlign w:val="center"/>
          </w:tcPr>
          <w:p w:rsidR="00485094" w:rsidRPr="0043602E" w:rsidRDefault="00485094" w:rsidP="00394CAD">
            <w:pPr>
              <w:pStyle w:val="TableText"/>
              <w:jc w:val="center"/>
            </w:pPr>
            <w:r>
              <w:t>819.00</w:t>
            </w:r>
          </w:p>
        </w:tc>
        <w:tc>
          <w:tcPr>
            <w:tcW w:w="1350" w:type="dxa"/>
            <w:vAlign w:val="center"/>
          </w:tcPr>
          <w:p w:rsidR="00485094" w:rsidRPr="0043602E" w:rsidRDefault="00485094" w:rsidP="00394CAD">
            <w:pPr>
              <w:pStyle w:val="TableText"/>
              <w:jc w:val="center"/>
            </w:pPr>
            <w:r>
              <w:t>58.04</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Myakka</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380.00</w:t>
            </w:r>
          </w:p>
        </w:tc>
        <w:tc>
          <w:tcPr>
            <w:tcW w:w="1350" w:type="dxa"/>
            <w:vAlign w:val="center"/>
          </w:tcPr>
          <w:p w:rsidR="00485094" w:rsidRDefault="00485094" w:rsidP="00394CAD">
            <w:pPr>
              <w:pStyle w:val="TableText"/>
              <w:jc w:val="center"/>
            </w:pPr>
            <w:r w:rsidRPr="0043602E">
              <w:t>224.60</w:t>
            </w:r>
          </w:p>
        </w:tc>
        <w:tc>
          <w:tcPr>
            <w:tcW w:w="1350" w:type="dxa"/>
            <w:vAlign w:val="center"/>
          </w:tcPr>
          <w:p w:rsidR="00485094" w:rsidRDefault="00485094" w:rsidP="00394CAD">
            <w:pPr>
              <w:pStyle w:val="TableText"/>
              <w:jc w:val="center"/>
            </w:pPr>
            <w:r>
              <w:t>38.20</w:t>
            </w:r>
          </w:p>
        </w:tc>
        <w:tc>
          <w:tcPr>
            <w:tcW w:w="1350" w:type="dxa"/>
            <w:vAlign w:val="center"/>
          </w:tcPr>
          <w:p w:rsidR="00485094" w:rsidRDefault="00485094" w:rsidP="00394CAD">
            <w:pPr>
              <w:pStyle w:val="TableText"/>
              <w:jc w:val="center"/>
            </w:pPr>
            <w:r>
              <w:t>12.09</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Tampa Bay</w:t>
            </w:r>
          </w:p>
        </w:tc>
        <w:tc>
          <w:tcPr>
            <w:tcW w:w="1446" w:type="dxa"/>
            <w:vAlign w:val="center"/>
          </w:tcPr>
          <w:p w:rsidR="00485094" w:rsidRDefault="00485094" w:rsidP="00394CAD">
            <w:pPr>
              <w:pStyle w:val="TableText"/>
              <w:jc w:val="center"/>
            </w:pPr>
            <w:r w:rsidRPr="0043602E">
              <w:t>SWFWMD</w:t>
            </w:r>
          </w:p>
        </w:tc>
        <w:tc>
          <w:tcPr>
            <w:tcW w:w="1374" w:type="dxa"/>
            <w:vAlign w:val="center"/>
          </w:tcPr>
          <w:p w:rsidR="00485094" w:rsidRDefault="00485094" w:rsidP="00394CAD">
            <w:pPr>
              <w:pStyle w:val="TableText"/>
              <w:jc w:val="center"/>
            </w:pPr>
            <w:r w:rsidRPr="0043602E">
              <w:t>161.2</w:t>
            </w:r>
            <w:r>
              <w:t>00</w:t>
            </w:r>
          </w:p>
        </w:tc>
        <w:tc>
          <w:tcPr>
            <w:tcW w:w="1350" w:type="dxa"/>
            <w:vAlign w:val="center"/>
          </w:tcPr>
          <w:p w:rsidR="00485094" w:rsidRDefault="00485094" w:rsidP="00394CAD">
            <w:pPr>
              <w:pStyle w:val="TableText"/>
              <w:jc w:val="center"/>
            </w:pPr>
            <w:r w:rsidRPr="0043602E">
              <w:t>111.55</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Tr="00394CAD">
        <w:trPr>
          <w:trHeight w:val="288"/>
          <w:jc w:val="center"/>
        </w:trPr>
        <w:tc>
          <w:tcPr>
            <w:tcW w:w="2268" w:type="dxa"/>
            <w:shd w:val="clear" w:color="auto" w:fill="FFFFCC"/>
            <w:vAlign w:val="center"/>
          </w:tcPr>
          <w:p w:rsidR="00485094" w:rsidRDefault="00485094" w:rsidP="00394CAD">
            <w:pPr>
              <w:pStyle w:val="TableText"/>
              <w:jc w:val="center"/>
            </w:pPr>
            <w:r>
              <w:t>Upper Coastal</w:t>
            </w:r>
          </w:p>
        </w:tc>
        <w:tc>
          <w:tcPr>
            <w:tcW w:w="1446" w:type="dxa"/>
            <w:vAlign w:val="center"/>
          </w:tcPr>
          <w:p w:rsidR="00485094" w:rsidRPr="0043602E" w:rsidRDefault="00485094" w:rsidP="00394CAD">
            <w:pPr>
              <w:pStyle w:val="TableText"/>
              <w:jc w:val="center"/>
            </w:pPr>
            <w:r w:rsidRPr="0043602E">
              <w:t>SWFWMD</w:t>
            </w:r>
          </w:p>
        </w:tc>
        <w:tc>
          <w:tcPr>
            <w:tcW w:w="1374" w:type="dxa"/>
            <w:vAlign w:val="center"/>
          </w:tcPr>
          <w:p w:rsidR="00485094" w:rsidRPr="0043602E" w:rsidRDefault="00485094" w:rsidP="00394CAD">
            <w:pPr>
              <w:pStyle w:val="TableText"/>
              <w:jc w:val="center"/>
            </w:pPr>
            <w:r>
              <w:t>149.00</w:t>
            </w:r>
          </w:p>
        </w:tc>
        <w:tc>
          <w:tcPr>
            <w:tcW w:w="1350" w:type="dxa"/>
            <w:vAlign w:val="center"/>
          </w:tcPr>
          <w:p w:rsidR="00485094" w:rsidRPr="0043602E" w:rsidRDefault="00485094" w:rsidP="00394CAD">
            <w:pPr>
              <w:pStyle w:val="TableText"/>
              <w:jc w:val="center"/>
            </w:pPr>
            <w:r>
              <w:t>47.62</w:t>
            </w:r>
          </w:p>
        </w:tc>
        <w:tc>
          <w:tcPr>
            <w:tcW w:w="1350" w:type="dxa"/>
            <w:vAlign w:val="center"/>
          </w:tcPr>
          <w:p w:rsidR="00485094" w:rsidRDefault="00485094" w:rsidP="00394CAD">
            <w:pPr>
              <w:pStyle w:val="TableText"/>
              <w:jc w:val="center"/>
            </w:pPr>
            <w:r>
              <w:t>-</w:t>
            </w:r>
          </w:p>
        </w:tc>
        <w:tc>
          <w:tcPr>
            <w:tcW w:w="1350" w:type="dxa"/>
            <w:vAlign w:val="center"/>
          </w:tcPr>
          <w:p w:rsidR="00485094" w:rsidRDefault="00485094" w:rsidP="00394CAD">
            <w:pPr>
              <w:pStyle w:val="TableText"/>
              <w:jc w:val="center"/>
            </w:pPr>
            <w:r>
              <w:t>-</w:t>
            </w:r>
          </w:p>
        </w:tc>
      </w:tr>
      <w:tr w:rsidR="00485094" w:rsidRPr="00146EF5" w:rsidTr="00394CAD">
        <w:trPr>
          <w:trHeight w:val="288"/>
          <w:jc w:val="center"/>
        </w:trPr>
        <w:tc>
          <w:tcPr>
            <w:tcW w:w="2268" w:type="dxa"/>
            <w:shd w:val="clear" w:color="auto" w:fill="FFFFCC"/>
            <w:vAlign w:val="center"/>
          </w:tcPr>
          <w:p w:rsidR="00485094" w:rsidRPr="00146EF5" w:rsidRDefault="00485094" w:rsidP="00394CAD">
            <w:pPr>
              <w:pStyle w:val="TableText"/>
              <w:jc w:val="center"/>
              <w:rPr>
                <w:szCs w:val="18"/>
              </w:rPr>
            </w:pPr>
            <w:r w:rsidRPr="00146EF5">
              <w:rPr>
                <w:szCs w:val="18"/>
              </w:rPr>
              <w:t>Wetlandsbank</w:t>
            </w:r>
          </w:p>
        </w:tc>
        <w:tc>
          <w:tcPr>
            <w:tcW w:w="1446" w:type="dxa"/>
            <w:vAlign w:val="center"/>
          </w:tcPr>
          <w:p w:rsidR="00485094" w:rsidRPr="00146EF5" w:rsidRDefault="00485094" w:rsidP="00394CAD">
            <w:pPr>
              <w:pStyle w:val="TableText"/>
              <w:jc w:val="center"/>
              <w:rPr>
                <w:szCs w:val="18"/>
              </w:rPr>
            </w:pPr>
            <w:r w:rsidRPr="00146EF5">
              <w:rPr>
                <w:szCs w:val="18"/>
              </w:rPr>
              <w:t>SFWMD</w:t>
            </w:r>
          </w:p>
        </w:tc>
        <w:tc>
          <w:tcPr>
            <w:tcW w:w="1374" w:type="dxa"/>
            <w:vAlign w:val="center"/>
          </w:tcPr>
          <w:p w:rsidR="00485094" w:rsidRPr="00146EF5" w:rsidRDefault="00485094" w:rsidP="00394CAD">
            <w:pPr>
              <w:pStyle w:val="TableText"/>
              <w:jc w:val="center"/>
              <w:rPr>
                <w:szCs w:val="18"/>
              </w:rPr>
            </w:pPr>
            <w:r w:rsidRPr="00146EF5">
              <w:rPr>
                <w:rFonts w:cs="Arial"/>
                <w:szCs w:val="18"/>
              </w:rPr>
              <w:t>420.00</w:t>
            </w:r>
          </w:p>
        </w:tc>
        <w:tc>
          <w:tcPr>
            <w:tcW w:w="1350" w:type="dxa"/>
            <w:vAlign w:val="center"/>
          </w:tcPr>
          <w:p w:rsidR="00485094" w:rsidRPr="00146EF5" w:rsidRDefault="00485094" w:rsidP="00394CAD">
            <w:pPr>
              <w:pStyle w:val="TableText"/>
              <w:jc w:val="center"/>
              <w:rPr>
                <w:szCs w:val="18"/>
              </w:rPr>
            </w:pPr>
            <w:r w:rsidRPr="00146EF5">
              <w:rPr>
                <w:rFonts w:cs="Arial"/>
                <w:szCs w:val="18"/>
              </w:rPr>
              <w:t>370.00</w:t>
            </w:r>
          </w:p>
        </w:tc>
        <w:tc>
          <w:tcPr>
            <w:tcW w:w="1350" w:type="dxa"/>
            <w:vAlign w:val="center"/>
          </w:tcPr>
          <w:p w:rsidR="00485094" w:rsidRPr="00146EF5" w:rsidRDefault="00485094" w:rsidP="00394CAD">
            <w:pPr>
              <w:pStyle w:val="TableText"/>
              <w:jc w:val="center"/>
              <w:rPr>
                <w:szCs w:val="18"/>
              </w:rPr>
            </w:pPr>
            <w:r w:rsidRPr="00146EF5">
              <w:rPr>
                <w:rFonts w:cs="Arial"/>
                <w:szCs w:val="18"/>
              </w:rPr>
              <w:t>367.37</w:t>
            </w:r>
          </w:p>
        </w:tc>
        <w:tc>
          <w:tcPr>
            <w:tcW w:w="1350" w:type="dxa"/>
            <w:vAlign w:val="center"/>
          </w:tcPr>
          <w:p w:rsidR="00485094" w:rsidRPr="00146EF5" w:rsidRDefault="00485094" w:rsidP="00394CAD">
            <w:pPr>
              <w:pStyle w:val="TableText"/>
              <w:jc w:val="center"/>
              <w:rPr>
                <w:szCs w:val="18"/>
              </w:rPr>
            </w:pPr>
            <w:r w:rsidRPr="00146EF5">
              <w:rPr>
                <w:rFonts w:cs="Arial"/>
                <w:szCs w:val="18"/>
              </w:rPr>
              <w:t>367.37</w:t>
            </w:r>
          </w:p>
        </w:tc>
      </w:tr>
      <w:tr w:rsidR="00485094" w:rsidRPr="00146EF5" w:rsidTr="00394CAD">
        <w:trPr>
          <w:trHeight w:val="288"/>
          <w:jc w:val="center"/>
        </w:trPr>
        <w:tc>
          <w:tcPr>
            <w:tcW w:w="2268" w:type="dxa"/>
            <w:shd w:val="clear" w:color="auto" w:fill="FFFFCC"/>
            <w:vAlign w:val="center"/>
          </w:tcPr>
          <w:p w:rsidR="00485094" w:rsidRPr="00146EF5" w:rsidRDefault="00485094" w:rsidP="00394CAD">
            <w:pPr>
              <w:pStyle w:val="TableText"/>
              <w:jc w:val="center"/>
              <w:rPr>
                <w:szCs w:val="18"/>
              </w:rPr>
            </w:pPr>
            <w:r w:rsidRPr="00146EF5">
              <w:rPr>
                <w:szCs w:val="18"/>
              </w:rPr>
              <w:t>Split Oak</w:t>
            </w:r>
          </w:p>
        </w:tc>
        <w:tc>
          <w:tcPr>
            <w:tcW w:w="1446" w:type="dxa"/>
            <w:vAlign w:val="center"/>
          </w:tcPr>
          <w:p w:rsidR="00485094" w:rsidRPr="00146EF5" w:rsidRDefault="00485094" w:rsidP="00394CAD">
            <w:pPr>
              <w:pStyle w:val="TableText"/>
              <w:jc w:val="center"/>
              <w:rPr>
                <w:szCs w:val="18"/>
              </w:rPr>
            </w:pPr>
            <w:r w:rsidRPr="00146EF5">
              <w:rPr>
                <w:szCs w:val="18"/>
              </w:rPr>
              <w:t>SFWMD</w:t>
            </w:r>
          </w:p>
        </w:tc>
        <w:tc>
          <w:tcPr>
            <w:tcW w:w="1374" w:type="dxa"/>
            <w:vAlign w:val="center"/>
          </w:tcPr>
          <w:p w:rsidR="00485094" w:rsidRPr="00146EF5" w:rsidRDefault="00485094" w:rsidP="00394CAD">
            <w:pPr>
              <w:pStyle w:val="TableText"/>
              <w:jc w:val="center"/>
              <w:rPr>
                <w:szCs w:val="18"/>
              </w:rPr>
            </w:pPr>
            <w:r w:rsidRPr="00146EF5">
              <w:rPr>
                <w:rFonts w:cs="Arial"/>
                <w:szCs w:val="18"/>
              </w:rPr>
              <w:t>1,049.00</w:t>
            </w:r>
          </w:p>
        </w:tc>
        <w:tc>
          <w:tcPr>
            <w:tcW w:w="1350" w:type="dxa"/>
            <w:vAlign w:val="center"/>
          </w:tcPr>
          <w:p w:rsidR="00485094" w:rsidRPr="00146EF5" w:rsidRDefault="00485094" w:rsidP="00394CAD">
            <w:pPr>
              <w:pStyle w:val="TableText"/>
              <w:jc w:val="center"/>
              <w:rPr>
                <w:szCs w:val="18"/>
              </w:rPr>
            </w:pPr>
            <w:r w:rsidRPr="00146EF5">
              <w:rPr>
                <w:rFonts w:cs="Arial"/>
                <w:szCs w:val="18"/>
              </w:rPr>
              <w:t>206.50</w:t>
            </w:r>
          </w:p>
        </w:tc>
        <w:tc>
          <w:tcPr>
            <w:tcW w:w="1350" w:type="dxa"/>
            <w:vAlign w:val="center"/>
          </w:tcPr>
          <w:p w:rsidR="00485094" w:rsidRPr="00146EF5" w:rsidRDefault="00485094" w:rsidP="00394CAD">
            <w:pPr>
              <w:pStyle w:val="TableText"/>
              <w:jc w:val="center"/>
              <w:rPr>
                <w:szCs w:val="18"/>
              </w:rPr>
            </w:pPr>
            <w:r w:rsidRPr="00146EF5">
              <w:rPr>
                <w:rFonts w:cs="Arial"/>
                <w:szCs w:val="18"/>
              </w:rPr>
              <w:t>88.80</w:t>
            </w:r>
          </w:p>
        </w:tc>
        <w:tc>
          <w:tcPr>
            <w:tcW w:w="1350" w:type="dxa"/>
            <w:vAlign w:val="center"/>
          </w:tcPr>
          <w:p w:rsidR="00485094" w:rsidRPr="00146EF5" w:rsidRDefault="00485094" w:rsidP="00394CAD">
            <w:pPr>
              <w:pStyle w:val="TableText"/>
              <w:jc w:val="center"/>
              <w:rPr>
                <w:szCs w:val="18"/>
              </w:rPr>
            </w:pPr>
            <w:r w:rsidRPr="00146EF5">
              <w:rPr>
                <w:rFonts w:cs="Arial"/>
                <w:szCs w:val="18"/>
              </w:rPr>
              <w:t>88.80</w:t>
            </w:r>
          </w:p>
        </w:tc>
      </w:tr>
    </w:tbl>
    <w:p w:rsidR="00485094" w:rsidRDefault="00485094" w:rsidP="00B215C8">
      <w:pPr>
        <w:pStyle w:val="TableText"/>
        <w:rPr>
          <w:b/>
        </w:rPr>
      </w:pPr>
    </w:p>
    <w:p w:rsidR="00485094" w:rsidRDefault="00485094" w:rsidP="00B215C8">
      <w:pPr>
        <w:pStyle w:val="TableText"/>
        <w:rPr>
          <w:b/>
        </w:rPr>
      </w:pPr>
    </w:p>
    <w:p w:rsidR="00485094" w:rsidRDefault="00485094" w:rsidP="00DF1A46">
      <w:pPr>
        <w:pStyle w:val="Heading4"/>
        <w:rPr>
          <w:snapToGrid w:val="0"/>
        </w:rPr>
      </w:pPr>
      <w:r w:rsidRPr="00313FDB">
        <w:rPr>
          <w:snapToGrid w:val="0"/>
        </w:rPr>
        <w:t>Integrity of Wetlands Resources</w:t>
      </w:r>
    </w:p>
    <w:p w:rsidR="00485094" w:rsidRPr="005E258C" w:rsidRDefault="00485094" w:rsidP="00B215C8">
      <w:pPr>
        <w:pStyle w:val="Bodytext"/>
        <w:rPr>
          <w:snapToGrid w:val="0"/>
        </w:rPr>
      </w:pPr>
      <w:r w:rsidRPr="005E258C">
        <w:rPr>
          <w:snapToGrid w:val="0"/>
          <w:szCs w:val="22"/>
        </w:rPr>
        <w:t xml:space="preserve">The acreage of wetlands that have been authorized to be dredged, filled, created, improved, and preserved as a result of ERP and wetland resource permits issued by FDEP and the water management districts from 2004 to 2009 is shown in </w:t>
      </w:r>
      <w:r w:rsidRPr="00EB0FEB">
        <w:rPr>
          <w:b/>
          <w:i/>
          <w:snapToGrid w:val="0"/>
          <w:szCs w:val="22"/>
        </w:rPr>
        <w:t xml:space="preserve">Table </w:t>
      </w:r>
      <w:r>
        <w:rPr>
          <w:b/>
          <w:i/>
          <w:snapToGrid w:val="0"/>
          <w:szCs w:val="22"/>
        </w:rPr>
        <w:t>11</w:t>
      </w:r>
      <w:r w:rsidRPr="00EB0FEB">
        <w:rPr>
          <w:b/>
          <w:i/>
          <w:snapToGrid w:val="0"/>
          <w:szCs w:val="22"/>
        </w:rPr>
        <w:t>.</w:t>
      </w:r>
      <w:r w:rsidR="00EB08C5">
        <w:rPr>
          <w:b/>
          <w:i/>
          <w:snapToGrid w:val="0"/>
          <w:szCs w:val="22"/>
        </w:rPr>
        <w:t>6</w:t>
      </w:r>
      <w:r>
        <w:rPr>
          <w:snapToGrid w:val="0"/>
          <w:szCs w:val="22"/>
        </w:rPr>
        <w:t>.</w:t>
      </w:r>
    </w:p>
    <w:p w:rsidR="00485094" w:rsidRDefault="00485094" w:rsidP="00B215C8">
      <w:pPr>
        <w:pStyle w:val="Bodytext"/>
        <w:rPr>
          <w:snapToGrid w:val="0"/>
        </w:rPr>
      </w:pPr>
    </w:p>
    <w:p w:rsidR="00485094" w:rsidRDefault="00485094" w:rsidP="00B215C8">
      <w:pPr>
        <w:pStyle w:val="Tableheading"/>
        <w:rPr>
          <w:snapToGrid w:val="0"/>
        </w:rPr>
      </w:pPr>
      <w:bookmarkStart w:id="780" w:name="_Toc271889884"/>
      <w:r>
        <w:rPr>
          <w:snapToGrid w:val="0"/>
        </w:rPr>
        <w:t>Table 11.</w:t>
      </w:r>
      <w:r w:rsidR="00EB08C5">
        <w:rPr>
          <w:snapToGrid w:val="0"/>
        </w:rPr>
        <w:t>6</w:t>
      </w:r>
      <w:r>
        <w:rPr>
          <w:snapToGrid w:val="0"/>
        </w:rPr>
        <w:t>.  Acreage of Affected Wetlands Regulated by FDEP and the Water Management Districts (2004–09)</w:t>
      </w:r>
      <w:bookmarkEnd w:id="780"/>
    </w:p>
    <w:p w:rsidR="00485094" w:rsidRDefault="00550C22" w:rsidP="00B215C8">
      <w:pPr>
        <w:pStyle w:val="TabledescriptionBF"/>
        <w:rPr>
          <w:snapToGrid w:val="0"/>
        </w:rPr>
      </w:pPr>
      <w:r>
        <w:rPr>
          <w:snapToGrid w:val="0"/>
        </w:rPr>
        <w:t xml:space="preserve">This is a five-column table.  </w:t>
      </w:r>
      <w:r w:rsidR="00485094">
        <w:rPr>
          <w:snapToGrid w:val="0"/>
        </w:rPr>
        <w:t>Column 1 lists the agency, Column 2 lists the wetlands acreage permanently lost, Column 3 lists the acreage created, Column 4 lists the acreage preserved, and Column 5 lists the acreage improved.</w:t>
      </w:r>
    </w:p>
    <w:p w:rsidR="00485094" w:rsidRDefault="00485094" w:rsidP="00B215C8">
      <w:pPr>
        <w:pStyle w:val="Bodytextreduced"/>
        <w:rPr>
          <w:snapToGrid w:val="0"/>
        </w:rPr>
      </w:pPr>
    </w:p>
    <w:p w:rsidR="00485094" w:rsidRPr="003421EC" w:rsidRDefault="00485094" w:rsidP="00B215C8">
      <w:pPr>
        <w:pStyle w:val="TableText"/>
        <w:rPr>
          <w:snapToGrid w:val="0"/>
          <w:sz w:val="16"/>
          <w:szCs w:val="16"/>
        </w:rPr>
      </w:pPr>
      <w:r w:rsidRPr="003421EC">
        <w:rPr>
          <w:snapToGrid w:val="0"/>
          <w:sz w:val="16"/>
          <w:szCs w:val="16"/>
          <w:vertAlign w:val="superscript"/>
        </w:rPr>
        <w:t>1</w:t>
      </w:r>
      <w:r w:rsidRPr="003421EC">
        <w:rPr>
          <w:snapToGrid w:val="0"/>
          <w:sz w:val="16"/>
          <w:szCs w:val="16"/>
        </w:rPr>
        <w:t xml:space="preserve"> </w:t>
      </w:r>
      <w:r>
        <w:rPr>
          <w:snapToGrid w:val="0"/>
          <w:sz w:val="16"/>
          <w:szCs w:val="16"/>
        </w:rPr>
        <w:t>FDEP</w:t>
      </w:r>
      <w:r w:rsidRPr="003421EC">
        <w:rPr>
          <w:snapToGrid w:val="0"/>
          <w:sz w:val="16"/>
          <w:szCs w:val="16"/>
        </w:rPr>
        <w:t xml:space="preserve"> data coverage is from </w:t>
      </w:r>
      <w:r>
        <w:rPr>
          <w:snapToGrid w:val="0"/>
          <w:sz w:val="16"/>
          <w:szCs w:val="16"/>
        </w:rPr>
        <w:t>October 2004</w:t>
      </w:r>
      <w:r w:rsidRPr="003421EC">
        <w:rPr>
          <w:snapToGrid w:val="0"/>
          <w:sz w:val="16"/>
          <w:szCs w:val="16"/>
        </w:rPr>
        <w:t xml:space="preserve"> to </w:t>
      </w:r>
      <w:r>
        <w:rPr>
          <w:snapToGrid w:val="0"/>
          <w:sz w:val="16"/>
          <w:szCs w:val="16"/>
        </w:rPr>
        <w:t>September 2009</w:t>
      </w:r>
      <w:r w:rsidRPr="003421EC">
        <w:rPr>
          <w:snapToGrid w:val="0"/>
          <w:sz w:val="16"/>
          <w:szCs w:val="16"/>
        </w:rPr>
        <w:t xml:space="preserve">.  </w:t>
      </w:r>
    </w:p>
    <w:p w:rsidR="00485094" w:rsidRPr="003421EC" w:rsidRDefault="00485094" w:rsidP="00B215C8">
      <w:pPr>
        <w:pStyle w:val="TableText"/>
        <w:rPr>
          <w:snapToGrid w:val="0"/>
          <w:sz w:val="16"/>
          <w:szCs w:val="16"/>
        </w:rPr>
      </w:pPr>
      <w:r w:rsidRPr="003421EC">
        <w:rPr>
          <w:snapToGrid w:val="0"/>
          <w:sz w:val="16"/>
          <w:szCs w:val="16"/>
          <w:vertAlign w:val="superscript"/>
        </w:rPr>
        <w:t>2</w:t>
      </w:r>
      <w:r w:rsidRPr="003421EC">
        <w:rPr>
          <w:snapToGrid w:val="0"/>
          <w:sz w:val="16"/>
          <w:szCs w:val="16"/>
        </w:rPr>
        <w:t xml:space="preserve"> Data do not represent impacts from nonregulated or unpermitted activities</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3</w:t>
      </w:r>
      <w:r w:rsidRPr="003421EC">
        <w:rPr>
          <w:snapToGrid w:val="0"/>
          <w:sz w:val="16"/>
          <w:szCs w:val="16"/>
        </w:rPr>
        <w:t xml:space="preserve"> Wetlands that have been destroyed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4</w:t>
      </w:r>
      <w:r w:rsidRPr="003421EC">
        <w:rPr>
          <w:snapToGrid w:val="0"/>
          <w:sz w:val="16"/>
          <w:szCs w:val="16"/>
        </w:rPr>
        <w:t xml:space="preserve"> Wetlands created where non</w:t>
      </w:r>
      <w:r>
        <w:rPr>
          <w:snapToGrid w:val="0"/>
          <w:sz w:val="16"/>
          <w:szCs w:val="16"/>
        </w:rPr>
        <w:t>e</w:t>
      </w:r>
      <w:r w:rsidRPr="003421EC">
        <w:rPr>
          <w:snapToGrid w:val="0"/>
          <w:sz w:val="16"/>
          <w:szCs w:val="16"/>
        </w:rPr>
        <w:t xml:space="preserve"> existed</w:t>
      </w:r>
      <w:r>
        <w:rPr>
          <w:snapToGrid w:val="0"/>
          <w:sz w:val="16"/>
          <w:szCs w:val="16"/>
        </w:rPr>
        <w:t>.</w:t>
      </w:r>
    </w:p>
    <w:p w:rsidR="00485094" w:rsidRPr="003421EC" w:rsidRDefault="00485094" w:rsidP="00B215C8">
      <w:pPr>
        <w:pStyle w:val="TableText"/>
        <w:rPr>
          <w:snapToGrid w:val="0"/>
          <w:sz w:val="16"/>
          <w:szCs w:val="16"/>
        </w:rPr>
      </w:pPr>
      <w:r w:rsidRPr="003421EC">
        <w:rPr>
          <w:snapToGrid w:val="0"/>
          <w:sz w:val="16"/>
          <w:szCs w:val="16"/>
          <w:vertAlign w:val="superscript"/>
        </w:rPr>
        <w:t>5</w:t>
      </w:r>
      <w:r w:rsidRPr="003421EC">
        <w:rPr>
          <w:snapToGrid w:val="0"/>
          <w:sz w:val="16"/>
          <w:szCs w:val="16"/>
        </w:rPr>
        <w:t xml:space="preserve"> Wetlands having additional protective devices placed on them (i.e.</w:t>
      </w:r>
      <w:r>
        <w:rPr>
          <w:snapToGrid w:val="0"/>
          <w:sz w:val="16"/>
          <w:szCs w:val="16"/>
        </w:rPr>
        <w:t>,</w:t>
      </w:r>
      <w:r w:rsidRPr="003421EC">
        <w:rPr>
          <w:snapToGrid w:val="0"/>
          <w:sz w:val="16"/>
          <w:szCs w:val="16"/>
        </w:rPr>
        <w:t xml:space="preserve"> conservation easements)</w:t>
      </w:r>
      <w:r>
        <w:rPr>
          <w:snapToGrid w:val="0"/>
          <w:sz w:val="16"/>
          <w:szCs w:val="16"/>
        </w:rPr>
        <w:t>.</w:t>
      </w:r>
    </w:p>
    <w:p w:rsidR="00485094" w:rsidRDefault="00485094" w:rsidP="00B215C8">
      <w:pPr>
        <w:pStyle w:val="TableText"/>
        <w:rPr>
          <w:snapToGrid w:val="0"/>
          <w:sz w:val="16"/>
          <w:szCs w:val="16"/>
        </w:rPr>
      </w:pPr>
      <w:r w:rsidRPr="003421EC">
        <w:rPr>
          <w:snapToGrid w:val="0"/>
          <w:sz w:val="16"/>
          <w:szCs w:val="16"/>
          <w:vertAlign w:val="superscript"/>
        </w:rPr>
        <w:t>6</w:t>
      </w:r>
      <w:r w:rsidRPr="003421EC">
        <w:rPr>
          <w:snapToGrid w:val="0"/>
          <w:sz w:val="16"/>
          <w:szCs w:val="16"/>
        </w:rPr>
        <w:t xml:space="preserve"> Poor or lesser quality jurisdictional wetlands that have been enhanced through various activities (i.e.</w:t>
      </w:r>
      <w:r>
        <w:rPr>
          <w:snapToGrid w:val="0"/>
          <w:sz w:val="16"/>
          <w:szCs w:val="16"/>
        </w:rPr>
        <w:t>,</w:t>
      </w:r>
      <w:r w:rsidRPr="003421EC">
        <w:rPr>
          <w:snapToGrid w:val="0"/>
          <w:sz w:val="16"/>
          <w:szCs w:val="16"/>
        </w:rPr>
        <w:t xml:space="preserve"> improved hydrology; </w:t>
      </w:r>
    </w:p>
    <w:p w:rsidR="00485094" w:rsidRDefault="00485094" w:rsidP="00B215C8">
      <w:pPr>
        <w:pStyle w:val="TableText"/>
        <w:ind w:left="90" w:hanging="90"/>
        <w:rPr>
          <w:snapToGrid w:val="0"/>
        </w:rPr>
      </w:pPr>
      <w:r>
        <w:rPr>
          <w:snapToGrid w:val="0"/>
          <w:sz w:val="16"/>
          <w:szCs w:val="16"/>
        </w:rPr>
        <w:tab/>
      </w:r>
      <w:r w:rsidRPr="003421EC">
        <w:rPr>
          <w:snapToGrid w:val="0"/>
          <w:sz w:val="16"/>
          <w:szCs w:val="16"/>
        </w:rPr>
        <w:t>removal of exotics, re-establishment of native flora)</w:t>
      </w:r>
      <w:r>
        <w:rPr>
          <w:snapToGrid w:val="0"/>
          <w:sz w:val="16"/>
          <w:szCs w:val="16"/>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1"/>
        <w:gridCol w:w="1876"/>
        <w:gridCol w:w="1858"/>
        <w:gridCol w:w="1867"/>
        <w:gridCol w:w="1864"/>
      </w:tblGrid>
      <w:tr w:rsidR="00485094" w:rsidRPr="00562005" w:rsidTr="00550C22">
        <w:trPr>
          <w:trHeight w:val="288"/>
          <w:jc w:val="center"/>
        </w:trPr>
        <w:tc>
          <w:tcPr>
            <w:tcW w:w="2167" w:type="dxa"/>
            <w:tcBorders>
              <w:bottom w:val="double" w:sz="4" w:space="0" w:color="auto"/>
            </w:tcBorders>
            <w:shd w:val="clear" w:color="auto" w:fill="BDFFFF"/>
            <w:vAlign w:val="bottom"/>
          </w:tcPr>
          <w:p w:rsidR="00485094" w:rsidRPr="00562005" w:rsidRDefault="00485094" w:rsidP="00550C22">
            <w:pPr>
              <w:spacing w:before="100" w:beforeAutospacing="1" w:after="100" w:afterAutospacing="1"/>
              <w:jc w:val="center"/>
              <w:rPr>
                <w:rStyle w:val="msoins0"/>
                <w:rFonts w:ascii="Arial" w:hAnsi="Arial" w:cs="Arial"/>
                <w:b/>
                <w:i/>
                <w:sz w:val="18"/>
                <w:szCs w:val="18"/>
              </w:rPr>
            </w:pPr>
            <w:r w:rsidRPr="00562005">
              <w:rPr>
                <w:rStyle w:val="msoins0"/>
                <w:rFonts w:ascii="Arial" w:hAnsi="Arial" w:cs="Arial"/>
                <w:b/>
                <w:i/>
                <w:sz w:val="18"/>
                <w:szCs w:val="18"/>
              </w:rPr>
              <w:t>Agency</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Permanently Lost</w:t>
            </w:r>
            <w:r w:rsidRPr="00A67E6F">
              <w:rPr>
                <w:rStyle w:val="msoins0"/>
                <w:rFonts w:ascii="Arial" w:hAnsi="Arial" w:cs="Arial"/>
                <w:b/>
                <w:i/>
                <w:sz w:val="18"/>
                <w:szCs w:val="18"/>
                <w:vertAlign w:val="superscript"/>
              </w:rPr>
              <w:t>3</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Created</w:t>
            </w:r>
            <w:r w:rsidRPr="00A67E6F">
              <w:rPr>
                <w:rStyle w:val="msoins0"/>
                <w:rFonts w:ascii="Arial" w:hAnsi="Arial" w:cs="Arial"/>
                <w:b/>
                <w:i/>
                <w:sz w:val="18"/>
                <w:szCs w:val="18"/>
                <w:vertAlign w:val="superscript"/>
              </w:rPr>
              <w:t>4</w:t>
            </w:r>
          </w:p>
        </w:tc>
        <w:tc>
          <w:tcPr>
            <w:tcW w:w="1915"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Preserved</w:t>
            </w:r>
            <w:r w:rsidRPr="00A67E6F">
              <w:rPr>
                <w:rStyle w:val="msoins0"/>
                <w:rFonts w:ascii="Arial" w:hAnsi="Arial" w:cs="Arial"/>
                <w:b/>
                <w:i/>
                <w:sz w:val="18"/>
                <w:szCs w:val="18"/>
                <w:vertAlign w:val="superscript"/>
              </w:rPr>
              <w:t>5</w:t>
            </w:r>
          </w:p>
        </w:tc>
        <w:tc>
          <w:tcPr>
            <w:tcW w:w="1916" w:type="dxa"/>
            <w:tcBorders>
              <w:bottom w:val="double" w:sz="4" w:space="0" w:color="auto"/>
            </w:tcBorders>
            <w:shd w:val="clear" w:color="auto" w:fill="BDFFFF"/>
            <w:vAlign w:val="bottom"/>
          </w:tcPr>
          <w:p w:rsidR="0064329B" w:rsidRDefault="00485094">
            <w:pPr>
              <w:spacing w:before="100" w:beforeAutospacing="1" w:after="100" w:afterAutospacing="1"/>
              <w:jc w:val="center"/>
              <w:rPr>
                <w:rStyle w:val="msoins0"/>
                <w:rFonts w:ascii="Arial" w:hAnsi="Arial" w:cs="Arial"/>
                <w:sz w:val="18"/>
                <w:szCs w:val="18"/>
              </w:rPr>
            </w:pPr>
            <w:r w:rsidRPr="00562005">
              <w:rPr>
                <w:rStyle w:val="msoins0"/>
                <w:rFonts w:ascii="Arial" w:hAnsi="Arial" w:cs="Arial"/>
                <w:b/>
                <w:i/>
                <w:sz w:val="18"/>
                <w:szCs w:val="18"/>
              </w:rPr>
              <w:t>Wetlands Acreage Improved</w:t>
            </w:r>
            <w:r w:rsidRPr="00A67E6F">
              <w:rPr>
                <w:rStyle w:val="msoins0"/>
                <w:rFonts w:ascii="Arial" w:hAnsi="Arial" w:cs="Arial"/>
                <w:b/>
                <w:i/>
                <w:sz w:val="18"/>
                <w:szCs w:val="18"/>
                <w:vertAlign w:val="superscript"/>
              </w:rPr>
              <w:t>6</w:t>
            </w:r>
          </w:p>
        </w:tc>
      </w:tr>
      <w:tr w:rsidR="00485094" w:rsidRPr="00562005" w:rsidTr="009C0237">
        <w:trPr>
          <w:trHeight w:val="288"/>
          <w:jc w:val="center"/>
        </w:trPr>
        <w:tc>
          <w:tcPr>
            <w:tcW w:w="2167" w:type="dxa"/>
            <w:tcBorders>
              <w:top w:val="double" w:sz="4" w:space="0" w:color="auto"/>
            </w:tcBorders>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FDEP</w:t>
            </w:r>
            <w:r w:rsidRPr="00A67E6F">
              <w:rPr>
                <w:rStyle w:val="msoins0"/>
                <w:rFonts w:ascii="Arial" w:hAnsi="Arial" w:cs="Arial"/>
                <w:b/>
                <w:sz w:val="18"/>
                <w:szCs w:val="18"/>
                <w:vertAlign w:val="superscript"/>
              </w:rPr>
              <w:t>1</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996.77</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146.52</w:t>
            </w:r>
          </w:p>
        </w:tc>
        <w:tc>
          <w:tcPr>
            <w:tcW w:w="1915"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2,409.60</w:t>
            </w:r>
          </w:p>
        </w:tc>
        <w:tc>
          <w:tcPr>
            <w:tcW w:w="1916" w:type="dxa"/>
            <w:tcBorders>
              <w:top w:val="double" w:sz="4" w:space="0" w:color="auto"/>
            </w:tcBorders>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2,563.09</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Northwest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100.94</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105.34</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1,847.54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66.93</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Southwest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2,971.50</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3,638.19</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14,061.54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4,148.72</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St. Johns River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8,305.69</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762.01</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48,593.66</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6,317.77</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South Florida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9,776.05</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4,735.26</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22,404.55</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13,517.66</w:t>
            </w:r>
          </w:p>
        </w:tc>
      </w:tr>
      <w:tr w:rsidR="00485094" w:rsidRPr="00562005" w:rsidTr="009C0237">
        <w:trPr>
          <w:trHeight w:val="288"/>
          <w:jc w:val="center"/>
        </w:trPr>
        <w:tc>
          <w:tcPr>
            <w:tcW w:w="2167" w:type="dxa"/>
            <w:shd w:val="clear" w:color="auto" w:fill="FFFFCC"/>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Suwannee River Water Management District</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36.71</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25.26</w:t>
            </w:r>
          </w:p>
        </w:tc>
        <w:tc>
          <w:tcPr>
            <w:tcW w:w="1915"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276.34</w:t>
            </w:r>
          </w:p>
        </w:tc>
        <w:tc>
          <w:tcPr>
            <w:tcW w:w="1916" w:type="dxa"/>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sz w:val="18"/>
                <w:szCs w:val="18"/>
              </w:rPr>
              <w:t>235.08</w:t>
            </w:r>
          </w:p>
        </w:tc>
      </w:tr>
      <w:tr w:rsidR="00485094" w:rsidRPr="00562005" w:rsidTr="009C0237">
        <w:trPr>
          <w:trHeight w:val="288"/>
          <w:jc w:val="center"/>
        </w:trPr>
        <w:tc>
          <w:tcPr>
            <w:tcW w:w="2167"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Totals</w:t>
            </w:r>
            <w:r w:rsidRPr="00A67E6F">
              <w:rPr>
                <w:rStyle w:val="msoins0"/>
                <w:rFonts w:ascii="Arial" w:hAnsi="Arial" w:cs="Arial"/>
                <w:b/>
                <w:bCs/>
                <w:sz w:val="18"/>
                <w:szCs w:val="18"/>
                <w:vertAlign w:val="superscript"/>
              </w:rPr>
              <w:t>2</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22,187.66</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9,412.58</w:t>
            </w:r>
          </w:p>
        </w:tc>
        <w:tc>
          <w:tcPr>
            <w:tcW w:w="1915"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89,593.23</w:t>
            </w:r>
          </w:p>
        </w:tc>
        <w:tc>
          <w:tcPr>
            <w:tcW w:w="1916" w:type="dxa"/>
            <w:shd w:val="clear" w:color="auto" w:fill="FFD9FF"/>
            <w:vAlign w:val="center"/>
          </w:tcPr>
          <w:p w:rsidR="00485094" w:rsidRPr="00562005" w:rsidRDefault="00485094" w:rsidP="00394CAD">
            <w:pPr>
              <w:spacing w:before="100" w:beforeAutospacing="1" w:after="100" w:afterAutospacing="1"/>
              <w:jc w:val="center"/>
              <w:rPr>
                <w:rFonts w:ascii="Arial" w:hAnsi="Arial" w:cs="Arial"/>
              </w:rPr>
            </w:pPr>
            <w:r w:rsidRPr="00562005">
              <w:rPr>
                <w:rStyle w:val="msoins0"/>
                <w:rFonts w:ascii="Arial" w:hAnsi="Arial" w:cs="Arial"/>
                <w:b/>
                <w:bCs/>
                <w:sz w:val="18"/>
                <w:szCs w:val="18"/>
              </w:rPr>
              <w:t>26,849.25</w:t>
            </w:r>
          </w:p>
        </w:tc>
      </w:tr>
    </w:tbl>
    <w:p w:rsidR="00485094" w:rsidRPr="003421EC" w:rsidRDefault="00485094" w:rsidP="00B215C8">
      <w:pPr>
        <w:pStyle w:val="TableText"/>
        <w:rPr>
          <w:snapToGrid w:val="0"/>
          <w:sz w:val="16"/>
          <w:szCs w:val="16"/>
        </w:rPr>
      </w:pPr>
    </w:p>
    <w:p w:rsidR="00485094" w:rsidRDefault="00485094">
      <w:pPr>
        <w:pStyle w:val="Bodytextreduced"/>
      </w:pPr>
    </w:p>
    <w:p w:rsidR="00485094" w:rsidRDefault="00485094" w:rsidP="00DF1A46">
      <w:pPr>
        <w:pStyle w:val="Heading3"/>
      </w:pPr>
      <w:bookmarkStart w:id="781" w:name="_Toc271794418"/>
      <w:r w:rsidRPr="009C0237">
        <w:lastRenderedPageBreak/>
        <w:t>Results of Florida’s Surface Water Protection Programs</w:t>
      </w:r>
      <w:bookmarkEnd w:id="781"/>
    </w:p>
    <w:p w:rsidR="00485094" w:rsidRDefault="00485094" w:rsidP="009C0237">
      <w:pPr>
        <w:pStyle w:val="Bodytext"/>
      </w:pPr>
      <w:r>
        <w:t xml:space="preserve">Despite the increase in Florida’s population over the past 35 years, from 6.8 million to more than 18 million, the state’s surface water management programs have been successful in preventing and minimizing pollution from new sources, especially from new nonpoint sources of pollution, and in reducing existing pollutant loadings, especially from point sources of pollution.  This has been accomplished by implementing new technologies, requiring better treatment of </w:t>
      </w:r>
      <w:r w:rsidRPr="00DA37AF">
        <w:t>waste</w:t>
      </w:r>
      <w:r>
        <w:t>water discharge</w:t>
      </w:r>
      <w:r w:rsidRPr="00DA37AF">
        <w:t>s, eliminating many surface water discha</w:t>
      </w:r>
      <w:r>
        <w:t>rges, and treating stormwater.</w:t>
      </w:r>
    </w:p>
    <w:p w:rsidR="00485094" w:rsidRPr="00B670C6" w:rsidRDefault="00485094" w:rsidP="009C0237">
      <w:pPr>
        <w:pStyle w:val="Bodytext"/>
        <w:rPr>
          <w:rFonts w:cs="Arial"/>
          <w:bCs/>
          <w:szCs w:val="22"/>
        </w:rPr>
      </w:pPr>
    </w:p>
    <w:p w:rsidR="00485094" w:rsidRPr="00513392" w:rsidRDefault="00485094" w:rsidP="00513392">
      <w:pPr>
        <w:pStyle w:val="Bodytextreduced"/>
      </w:pPr>
      <w:r w:rsidRPr="00CA461C">
        <w:br w:type="page"/>
      </w:r>
    </w:p>
    <w:p w:rsidR="00485094" w:rsidRDefault="00485094" w:rsidP="006313FD">
      <w:pPr>
        <w:pStyle w:val="Heading1"/>
      </w:pPr>
      <w:bookmarkStart w:id="782" w:name="_Toc255822587"/>
      <w:bookmarkStart w:id="783" w:name="_Toc271794419"/>
      <w:bookmarkEnd w:id="663"/>
      <w:bookmarkEnd w:id="664"/>
      <w:r w:rsidRPr="003A4461">
        <w:lastRenderedPageBreak/>
        <w:t>References</w:t>
      </w:r>
      <w:bookmarkEnd w:id="782"/>
      <w:bookmarkEnd w:id="783"/>
      <w:r w:rsidRPr="003A4461">
        <w:t xml:space="preserve"> </w:t>
      </w:r>
    </w:p>
    <w:p w:rsidR="00485094" w:rsidRDefault="00485094" w:rsidP="00FE7836">
      <w:pPr>
        <w:pStyle w:val="Bodytextreduced"/>
      </w:pPr>
    </w:p>
    <w:p w:rsidR="00485094" w:rsidRPr="00026328" w:rsidRDefault="00485094" w:rsidP="007A2902">
      <w:pPr>
        <w:pStyle w:val="References"/>
        <w:rPr>
          <w:szCs w:val="22"/>
        </w:rPr>
      </w:pPr>
      <w:r>
        <w:rPr>
          <w:szCs w:val="22"/>
        </w:rPr>
        <w:t>Abbott, J.</w:t>
      </w:r>
      <w:r w:rsidRPr="00026328">
        <w:rPr>
          <w:szCs w:val="22"/>
        </w:rPr>
        <w:t xml:space="preserve">P., </w:t>
      </w:r>
      <w:r>
        <w:rPr>
          <w:szCs w:val="22"/>
        </w:rPr>
        <w:t xml:space="preserve">L.J. </w:t>
      </w:r>
      <w:r w:rsidRPr="00026328">
        <w:rPr>
          <w:szCs w:val="22"/>
        </w:rPr>
        <w:t xml:space="preserve">Flewelling, </w:t>
      </w:r>
      <w:r>
        <w:rPr>
          <w:szCs w:val="22"/>
        </w:rPr>
        <w:t xml:space="preserve">and J.H. </w:t>
      </w:r>
      <w:r w:rsidRPr="00026328">
        <w:rPr>
          <w:szCs w:val="22"/>
        </w:rPr>
        <w:t>Landsberg.</w:t>
      </w:r>
      <w:r>
        <w:rPr>
          <w:szCs w:val="22"/>
        </w:rPr>
        <w:t xml:space="preserve"> </w:t>
      </w:r>
      <w:r w:rsidRPr="00026328">
        <w:rPr>
          <w:szCs w:val="22"/>
        </w:rPr>
        <w:t xml:space="preserve"> 2009.</w:t>
      </w:r>
      <w:r>
        <w:rPr>
          <w:szCs w:val="22"/>
        </w:rPr>
        <w:t xml:space="preserve"> </w:t>
      </w:r>
      <w:r w:rsidRPr="00026328">
        <w:rPr>
          <w:szCs w:val="22"/>
        </w:rPr>
        <w:t xml:space="preserve"> Saxitoxin monitoring of three species of Florida puffer ﬁsh.</w:t>
      </w:r>
      <w:r>
        <w:rPr>
          <w:szCs w:val="22"/>
        </w:rPr>
        <w:t xml:space="preserve"> </w:t>
      </w:r>
      <w:r w:rsidRPr="00026328">
        <w:rPr>
          <w:szCs w:val="22"/>
        </w:rPr>
        <w:t xml:space="preserve"> </w:t>
      </w:r>
      <w:r w:rsidRPr="001319C1">
        <w:rPr>
          <w:i/>
          <w:szCs w:val="22"/>
        </w:rPr>
        <w:t>Harmful Algae 8: 343–348.</w:t>
      </w:r>
      <w:r w:rsidRPr="00026328">
        <w:rPr>
          <w:szCs w:val="22"/>
        </w:rPr>
        <w:t xml:space="preserve"> </w:t>
      </w:r>
    </w:p>
    <w:p w:rsidR="00485094" w:rsidRPr="00200ACD" w:rsidRDefault="00485094" w:rsidP="00E25E53">
      <w:pPr>
        <w:pStyle w:val="References"/>
        <w:rPr>
          <w:color w:val="1F497D"/>
          <w:szCs w:val="22"/>
        </w:rPr>
      </w:pPr>
      <w:r w:rsidRPr="00200ACD">
        <w:rPr>
          <w:color w:val="000000"/>
          <w:szCs w:val="22"/>
        </w:rPr>
        <w:t xml:space="preserve">Abbott, G.M., </w:t>
      </w:r>
      <w:r>
        <w:rPr>
          <w:color w:val="000000"/>
          <w:szCs w:val="22"/>
        </w:rPr>
        <w:t xml:space="preserve">J.H. </w:t>
      </w:r>
      <w:r w:rsidRPr="00200ACD">
        <w:rPr>
          <w:color w:val="000000"/>
          <w:szCs w:val="22"/>
        </w:rPr>
        <w:t xml:space="preserve">Landsberg, </w:t>
      </w:r>
      <w:r>
        <w:rPr>
          <w:color w:val="000000"/>
          <w:szCs w:val="22"/>
        </w:rPr>
        <w:t xml:space="preserve">A.R. </w:t>
      </w:r>
      <w:r w:rsidRPr="00200ACD">
        <w:rPr>
          <w:color w:val="000000"/>
          <w:szCs w:val="22"/>
        </w:rPr>
        <w:t xml:space="preserve">Reich, </w:t>
      </w:r>
      <w:r>
        <w:rPr>
          <w:color w:val="000000"/>
          <w:szCs w:val="22"/>
        </w:rPr>
        <w:t>K.A.</w:t>
      </w:r>
      <w:r w:rsidRPr="00200ACD">
        <w:rPr>
          <w:color w:val="000000"/>
          <w:szCs w:val="22"/>
        </w:rPr>
        <w:t xml:space="preserve"> Steidinger, </w:t>
      </w:r>
      <w:r>
        <w:rPr>
          <w:color w:val="000000"/>
          <w:szCs w:val="22"/>
        </w:rPr>
        <w:t>S.</w:t>
      </w:r>
      <w:r w:rsidRPr="00200ACD">
        <w:rPr>
          <w:color w:val="000000"/>
          <w:szCs w:val="22"/>
        </w:rPr>
        <w:t xml:space="preserve"> Ketchen, </w:t>
      </w:r>
      <w:r>
        <w:rPr>
          <w:color w:val="000000"/>
          <w:szCs w:val="22"/>
        </w:rPr>
        <w:t>and C.</w:t>
      </w:r>
      <w:r w:rsidRPr="00200ACD">
        <w:rPr>
          <w:color w:val="000000"/>
          <w:szCs w:val="22"/>
        </w:rPr>
        <w:t xml:space="preserve"> Blackmore.</w:t>
      </w:r>
      <w:r w:rsidRPr="00200ACD">
        <w:rPr>
          <w:bCs/>
          <w:color w:val="000000"/>
          <w:szCs w:val="22"/>
        </w:rPr>
        <w:t xml:space="preserve"> </w:t>
      </w:r>
      <w:r>
        <w:rPr>
          <w:bCs/>
          <w:color w:val="000000"/>
          <w:szCs w:val="22"/>
        </w:rPr>
        <w:t xml:space="preserve"> </w:t>
      </w:r>
      <w:r w:rsidRPr="00200ACD">
        <w:rPr>
          <w:color w:val="000000"/>
          <w:szCs w:val="22"/>
        </w:rPr>
        <w:t xml:space="preserve">2009. </w:t>
      </w:r>
      <w:r>
        <w:rPr>
          <w:color w:val="000000"/>
          <w:szCs w:val="22"/>
        </w:rPr>
        <w:t xml:space="preserve"> </w:t>
      </w:r>
      <w:r w:rsidRPr="0074349B">
        <w:rPr>
          <w:bCs/>
          <w:i/>
          <w:color w:val="000000"/>
          <w:szCs w:val="22"/>
        </w:rPr>
        <w:t xml:space="preserve">Resource guide for public health response to harmful algal blooms in Florida.  </w:t>
      </w:r>
      <w:r w:rsidRPr="00200ACD">
        <w:rPr>
          <w:bCs/>
          <w:color w:val="000000"/>
          <w:szCs w:val="22"/>
        </w:rPr>
        <w:t xml:space="preserve">Florida Fish and Wildlife Conservation Commission, </w:t>
      </w:r>
      <w:r w:rsidRPr="00200ACD">
        <w:rPr>
          <w:color w:val="000000"/>
          <w:szCs w:val="22"/>
        </w:rPr>
        <w:t>Fish and Wildlife Research Institute, Technical Report TR-14.</w:t>
      </w:r>
      <w:r>
        <w:rPr>
          <w:color w:val="000000"/>
          <w:szCs w:val="22"/>
        </w:rPr>
        <w:t xml:space="preserve"> </w:t>
      </w:r>
      <w:r w:rsidRPr="00200ACD">
        <w:rPr>
          <w:color w:val="000000"/>
          <w:szCs w:val="22"/>
        </w:rPr>
        <w:t xml:space="preserve"> Available</w:t>
      </w:r>
      <w:r>
        <w:rPr>
          <w:color w:val="000000"/>
          <w:szCs w:val="22"/>
        </w:rPr>
        <w:t xml:space="preserve">:  </w:t>
      </w:r>
      <w:hyperlink r:id="rId200" w:history="1">
        <w:r w:rsidRPr="005F7EAB">
          <w:rPr>
            <w:rStyle w:val="Hyperlink"/>
            <w:rFonts w:cs="Arial"/>
            <w:szCs w:val="22"/>
          </w:rPr>
          <w:t>http://research.myfwc.com/engine/download_</w:t>
        </w:r>
        <w:r w:rsidRPr="005F7EAB">
          <w:rPr>
            <w:rStyle w:val="Hyperlink"/>
            <w:rFonts w:cs="Arial"/>
            <w:szCs w:val="22"/>
          </w:rPr>
          <w:br/>
          <w:t>redirection_process.asp?file=TR_14screen.pdf&amp;objid=20125&amp;dltype=article</w:t>
        </w:r>
      </w:hyperlink>
      <w:r>
        <w:rPr>
          <w:szCs w:val="22"/>
        </w:rPr>
        <w:t>.</w:t>
      </w:r>
    </w:p>
    <w:p w:rsidR="00485094" w:rsidRDefault="00485094" w:rsidP="00513392">
      <w:pPr>
        <w:pStyle w:val="References"/>
      </w:pPr>
      <w:r>
        <w:t xml:space="preserve">American Public Health Association.  1995.  </w:t>
      </w:r>
      <w:r w:rsidRPr="00F75599">
        <w:rPr>
          <w:i/>
        </w:rPr>
        <w:t>Standard methods for the examination of water and wastewater resources.</w:t>
      </w:r>
      <w:r>
        <w:t xml:space="preserve">  19</w:t>
      </w:r>
      <w:r w:rsidRPr="00471295">
        <w:rPr>
          <w:vertAlign w:val="superscript"/>
        </w:rPr>
        <w:t>th</w:t>
      </w:r>
      <w:r>
        <w:t xml:space="preserve"> Edition.  Baltimore, MD:  United Book Press.</w:t>
      </w:r>
    </w:p>
    <w:p w:rsidR="00485094" w:rsidRDefault="00485094" w:rsidP="00A81A6F">
      <w:pPr>
        <w:pStyle w:val="References"/>
      </w:pPr>
      <w:r>
        <w:t xml:space="preserve">American Safety Council website.  2010.  </w:t>
      </w:r>
      <w:r w:rsidRPr="007A2902">
        <w:rPr>
          <w:i/>
        </w:rPr>
        <w:t>Florida quickfacts.</w:t>
      </w:r>
      <w:r>
        <w:t xml:space="preserve">  Available:  </w:t>
      </w:r>
      <w:hyperlink r:id="rId201" w:history="1">
        <w:r w:rsidRPr="005F7EAB">
          <w:rPr>
            <w:rStyle w:val="Hyperlink"/>
          </w:rPr>
          <w:t>http://www.</w:t>
        </w:r>
        <w:r w:rsidRPr="005F7EAB">
          <w:rPr>
            <w:rStyle w:val="Hyperlink"/>
          </w:rPr>
          <w:br/>
          <w:t>stateofflorida.com/Portal/DesktopDefault.aspx?tabid=95</w:t>
        </w:r>
      </w:hyperlink>
      <w:r>
        <w:t>.</w:t>
      </w:r>
    </w:p>
    <w:p w:rsidR="00485094" w:rsidRDefault="00485094" w:rsidP="00A81A6F">
      <w:pPr>
        <w:pStyle w:val="References"/>
        <w:rPr>
          <w:rFonts w:cs="Arial"/>
          <w:bCs/>
          <w:szCs w:val="22"/>
        </w:rPr>
      </w:pPr>
      <w:r>
        <w:t xml:space="preserve">Americasroof.com website.  2010.  Available:  </w:t>
      </w:r>
      <w:hyperlink r:id="rId202" w:history="1">
        <w:r w:rsidRPr="00C57FE5">
          <w:rPr>
            <w:rStyle w:val="Hyperlink"/>
          </w:rPr>
          <w:t>http://www.americasroof.com/highest/fl.shtml</w:t>
        </w:r>
      </w:hyperlink>
      <w:r>
        <w:t xml:space="preserve">.  </w:t>
      </w:r>
    </w:p>
    <w:p w:rsidR="00485094" w:rsidRDefault="00485094" w:rsidP="00376229">
      <w:pPr>
        <w:pStyle w:val="References"/>
      </w:pPr>
      <w:r>
        <w:t>Arthur, J.A., A.A. Dabous, and J.B. Cowart.  2002.  Mobilization of arsenic and other trace elements during aquifer storage and recovery, southwest Florida.  U.S. Geological Survey Open File Report 02</w:t>
      </w:r>
      <w:r w:rsidR="00AA3594">
        <w:t>–</w:t>
      </w:r>
      <w:r>
        <w:t xml:space="preserve">89.  </w:t>
      </w:r>
      <w:r w:rsidRPr="00DF48BE">
        <w:rPr>
          <w:i/>
        </w:rPr>
        <w:t>USGS Artificial Recharge Workshop Proceedings.</w:t>
      </w:r>
      <w:r>
        <w:rPr>
          <w:i/>
        </w:rPr>
        <w:t xml:space="preserve">  </w:t>
      </w:r>
      <w:r w:rsidRPr="0017783C">
        <w:t xml:space="preserve">Available:  </w:t>
      </w:r>
      <w:hyperlink r:id="rId203" w:history="1">
        <w:r w:rsidRPr="0017783C">
          <w:rPr>
            <w:rStyle w:val="Hyperlink"/>
          </w:rPr>
          <w:t>http://water.usgs.gov/ogw/pubs/ofr0289/jda_mobilization.htm</w:t>
        </w:r>
      </w:hyperlink>
      <w:r w:rsidRPr="0017783C">
        <w:t>.</w:t>
      </w:r>
    </w:p>
    <w:p w:rsidR="00485094" w:rsidRPr="00EE4CFE" w:rsidRDefault="00485094" w:rsidP="00376229">
      <w:pPr>
        <w:pStyle w:val="References"/>
        <w:rPr>
          <w:i/>
        </w:rPr>
      </w:pPr>
      <w:proofErr w:type="spellStart"/>
      <w:r w:rsidRPr="000025CA">
        <w:rPr>
          <w:rFonts w:cs="Arial"/>
          <w:color w:val="000000"/>
          <w:szCs w:val="22"/>
        </w:rPr>
        <w:t>Azanza</w:t>
      </w:r>
      <w:proofErr w:type="spellEnd"/>
      <w:r w:rsidRPr="000025CA">
        <w:rPr>
          <w:rFonts w:cs="Arial"/>
          <w:color w:val="000000"/>
          <w:szCs w:val="22"/>
        </w:rPr>
        <w:t xml:space="preserve">, R. V., </w:t>
      </w:r>
      <w:r w:rsidR="00EE4CFE">
        <w:rPr>
          <w:rFonts w:cs="Arial"/>
          <w:color w:val="000000"/>
          <w:szCs w:val="22"/>
        </w:rPr>
        <w:t xml:space="preserve">and F.J.R.M. </w:t>
      </w:r>
      <w:r w:rsidRPr="000025CA">
        <w:rPr>
          <w:rFonts w:cs="Arial"/>
          <w:color w:val="000000"/>
          <w:szCs w:val="22"/>
        </w:rPr>
        <w:t xml:space="preserve">Taylor.  2001.  Are Pyrodinium blooms in the Southeast </w:t>
      </w:r>
      <w:proofErr w:type="spellStart"/>
      <w:r w:rsidRPr="000025CA">
        <w:rPr>
          <w:rFonts w:cs="Arial"/>
          <w:color w:val="000000"/>
          <w:szCs w:val="22"/>
        </w:rPr>
        <w:t>Asianregion</w:t>
      </w:r>
      <w:proofErr w:type="spellEnd"/>
      <w:r w:rsidRPr="000025CA">
        <w:rPr>
          <w:rFonts w:cs="Arial"/>
          <w:color w:val="000000"/>
          <w:szCs w:val="22"/>
        </w:rPr>
        <w:t xml:space="preserve"> recurring and spreading?</w:t>
      </w:r>
      <w:r w:rsidR="00EE4CFE">
        <w:rPr>
          <w:rFonts w:cs="Arial"/>
          <w:color w:val="000000"/>
          <w:szCs w:val="22"/>
        </w:rPr>
        <w:t xml:space="preserve"> </w:t>
      </w:r>
      <w:r w:rsidRPr="000025CA">
        <w:rPr>
          <w:rFonts w:cs="Arial"/>
          <w:color w:val="000000"/>
          <w:szCs w:val="22"/>
        </w:rPr>
        <w:t xml:space="preserve"> A view at the end of the millen</w:t>
      </w:r>
      <w:r w:rsidR="00EE4CFE">
        <w:rPr>
          <w:rFonts w:cs="Arial"/>
          <w:color w:val="000000"/>
          <w:szCs w:val="22"/>
        </w:rPr>
        <w:t>n</w:t>
      </w:r>
      <w:r w:rsidRPr="000025CA">
        <w:rPr>
          <w:rFonts w:cs="Arial"/>
          <w:color w:val="000000"/>
          <w:szCs w:val="22"/>
        </w:rPr>
        <w:t xml:space="preserve">ium. </w:t>
      </w:r>
      <w:r>
        <w:rPr>
          <w:rFonts w:cs="Arial"/>
          <w:color w:val="000000"/>
          <w:szCs w:val="22"/>
        </w:rPr>
        <w:t xml:space="preserve"> </w:t>
      </w:r>
      <w:proofErr w:type="spellStart"/>
      <w:r w:rsidR="000309E2" w:rsidRPr="000309E2">
        <w:rPr>
          <w:rFonts w:cs="Arial"/>
          <w:i/>
          <w:color w:val="000000"/>
          <w:szCs w:val="22"/>
        </w:rPr>
        <w:t>Ambio</w:t>
      </w:r>
      <w:proofErr w:type="spellEnd"/>
      <w:r w:rsidR="000309E2" w:rsidRPr="000309E2">
        <w:rPr>
          <w:rFonts w:cs="Arial"/>
          <w:i/>
          <w:color w:val="000000"/>
          <w:szCs w:val="22"/>
        </w:rPr>
        <w:t xml:space="preserve"> 30: 356</w:t>
      </w:r>
      <w:r w:rsidR="00AA3594">
        <w:rPr>
          <w:rFonts w:cs="Arial"/>
          <w:i/>
          <w:color w:val="000000"/>
          <w:szCs w:val="22"/>
        </w:rPr>
        <w:t>–</w:t>
      </w:r>
      <w:r w:rsidR="000309E2" w:rsidRPr="000309E2">
        <w:rPr>
          <w:rFonts w:cs="Arial"/>
          <w:i/>
          <w:color w:val="000000"/>
          <w:szCs w:val="22"/>
        </w:rPr>
        <w:t>364.</w:t>
      </w:r>
    </w:p>
    <w:p w:rsidR="00485094" w:rsidRPr="001319C1" w:rsidRDefault="00485094" w:rsidP="00E25E53">
      <w:pPr>
        <w:pStyle w:val="References"/>
        <w:rPr>
          <w:i/>
          <w:szCs w:val="22"/>
        </w:rPr>
      </w:pPr>
      <w:r w:rsidRPr="00026328">
        <w:rPr>
          <w:szCs w:val="22"/>
        </w:rPr>
        <w:t xml:space="preserve">Backer, L.C. </w:t>
      </w:r>
      <w:r>
        <w:rPr>
          <w:szCs w:val="22"/>
        </w:rPr>
        <w:t xml:space="preserve"> </w:t>
      </w:r>
      <w:r w:rsidRPr="00026328">
        <w:rPr>
          <w:szCs w:val="22"/>
        </w:rPr>
        <w:t xml:space="preserve">2009. </w:t>
      </w:r>
      <w:r>
        <w:rPr>
          <w:szCs w:val="22"/>
        </w:rPr>
        <w:t xml:space="preserve"> </w:t>
      </w:r>
      <w:r w:rsidRPr="00026328">
        <w:rPr>
          <w:szCs w:val="22"/>
        </w:rPr>
        <w:t xml:space="preserve">Impacts of Florida red tides on coastal communities. </w:t>
      </w:r>
      <w:r>
        <w:rPr>
          <w:szCs w:val="22"/>
        </w:rPr>
        <w:t xml:space="preserve"> </w:t>
      </w:r>
      <w:r w:rsidRPr="001319C1">
        <w:rPr>
          <w:i/>
          <w:szCs w:val="22"/>
        </w:rPr>
        <w:t xml:space="preserve">Harmful Algae 8: 618–622. </w:t>
      </w:r>
    </w:p>
    <w:p w:rsidR="00485094" w:rsidRDefault="00485094" w:rsidP="00376229">
      <w:pPr>
        <w:pStyle w:val="References"/>
        <w:rPr>
          <w:szCs w:val="22"/>
        </w:rPr>
      </w:pPr>
      <w:r>
        <w:rPr>
          <w:szCs w:val="22"/>
        </w:rPr>
        <w:t>Backer, L.C., L.E. Fleming, A.</w:t>
      </w:r>
      <w:r w:rsidRPr="00026328">
        <w:rPr>
          <w:szCs w:val="22"/>
        </w:rPr>
        <w:t>D. Rowa</w:t>
      </w:r>
      <w:r>
        <w:rPr>
          <w:szCs w:val="22"/>
        </w:rPr>
        <w:t>n, and D.</w:t>
      </w:r>
      <w:r w:rsidRPr="00026328">
        <w:rPr>
          <w:szCs w:val="22"/>
        </w:rPr>
        <w:t xml:space="preserve">G. Baden. </w:t>
      </w:r>
      <w:r>
        <w:rPr>
          <w:szCs w:val="22"/>
        </w:rPr>
        <w:t xml:space="preserve"> </w:t>
      </w:r>
      <w:r w:rsidRPr="00026328">
        <w:rPr>
          <w:szCs w:val="22"/>
        </w:rPr>
        <w:t xml:space="preserve">2003. </w:t>
      </w:r>
      <w:r>
        <w:rPr>
          <w:szCs w:val="22"/>
        </w:rPr>
        <w:t xml:space="preserve"> </w:t>
      </w:r>
      <w:r w:rsidRPr="00026328">
        <w:rPr>
          <w:szCs w:val="22"/>
        </w:rPr>
        <w:t xml:space="preserve">Epidemiology, public health and human illnesses associated with harmful marine algae. </w:t>
      </w:r>
      <w:r>
        <w:rPr>
          <w:szCs w:val="22"/>
        </w:rPr>
        <w:t xml:space="preserve"> </w:t>
      </w:r>
      <w:r w:rsidR="000309E2" w:rsidRPr="000309E2">
        <w:rPr>
          <w:i/>
          <w:szCs w:val="22"/>
        </w:rPr>
        <w:t>I</w:t>
      </w:r>
      <w:r w:rsidR="000309E2" w:rsidRPr="000309E2">
        <w:rPr>
          <w:i/>
          <w:iCs/>
          <w:szCs w:val="22"/>
        </w:rPr>
        <w:t>n:</w:t>
      </w:r>
      <w:r>
        <w:rPr>
          <w:i/>
          <w:iCs/>
          <w:szCs w:val="22"/>
        </w:rPr>
        <w:t xml:space="preserve"> </w:t>
      </w:r>
      <w:r w:rsidR="000309E2" w:rsidRPr="000309E2">
        <w:rPr>
          <w:szCs w:val="22"/>
        </w:rPr>
        <w:t xml:space="preserve"> </w:t>
      </w:r>
      <w:r>
        <w:rPr>
          <w:szCs w:val="22"/>
        </w:rPr>
        <w:t>G.M. Hallegraeff, D.M. Anderson, and A.</w:t>
      </w:r>
      <w:r w:rsidRPr="00026328">
        <w:rPr>
          <w:szCs w:val="22"/>
        </w:rPr>
        <w:t>D. Cembella</w:t>
      </w:r>
      <w:r>
        <w:rPr>
          <w:szCs w:val="22"/>
        </w:rPr>
        <w:t xml:space="preserve"> (</w:t>
      </w:r>
      <w:r w:rsidR="005C7479">
        <w:rPr>
          <w:szCs w:val="22"/>
        </w:rPr>
        <w:t>E</w:t>
      </w:r>
      <w:r w:rsidR="005C7479" w:rsidRPr="00026328">
        <w:rPr>
          <w:szCs w:val="22"/>
        </w:rPr>
        <w:t>ds</w:t>
      </w:r>
      <w:r w:rsidRPr="00026328">
        <w:rPr>
          <w:szCs w:val="22"/>
        </w:rPr>
        <w:t>.</w:t>
      </w:r>
      <w:r>
        <w:rPr>
          <w:szCs w:val="22"/>
        </w:rPr>
        <w:t>),</w:t>
      </w:r>
      <w:r w:rsidRPr="00026328">
        <w:rPr>
          <w:szCs w:val="22"/>
        </w:rPr>
        <w:t xml:space="preserve"> </w:t>
      </w:r>
      <w:r w:rsidRPr="001319C1">
        <w:rPr>
          <w:i/>
          <w:szCs w:val="22"/>
        </w:rPr>
        <w:t xml:space="preserve">Manual on </w:t>
      </w:r>
      <w:r>
        <w:rPr>
          <w:i/>
          <w:szCs w:val="22"/>
        </w:rPr>
        <w:t>h</w:t>
      </w:r>
      <w:r w:rsidRPr="001319C1">
        <w:rPr>
          <w:i/>
          <w:szCs w:val="22"/>
        </w:rPr>
        <w:t xml:space="preserve">armful </w:t>
      </w:r>
      <w:r>
        <w:rPr>
          <w:i/>
          <w:szCs w:val="22"/>
        </w:rPr>
        <w:t>m</w:t>
      </w:r>
      <w:r w:rsidRPr="001319C1">
        <w:rPr>
          <w:i/>
          <w:szCs w:val="22"/>
        </w:rPr>
        <w:t xml:space="preserve">arine </w:t>
      </w:r>
      <w:r>
        <w:rPr>
          <w:i/>
          <w:szCs w:val="22"/>
        </w:rPr>
        <w:t>mi</w:t>
      </w:r>
      <w:r w:rsidRPr="001319C1">
        <w:rPr>
          <w:i/>
          <w:szCs w:val="22"/>
        </w:rPr>
        <w:t>croalgae</w:t>
      </w:r>
      <w:r>
        <w:rPr>
          <w:szCs w:val="22"/>
        </w:rPr>
        <w:t xml:space="preserve"> (Paris, France:</w:t>
      </w:r>
      <w:r w:rsidRPr="00026328">
        <w:rPr>
          <w:szCs w:val="22"/>
        </w:rPr>
        <w:t xml:space="preserve"> Intergovernmental Oceanographic Commission of UNESCO, </w:t>
      </w:r>
      <w:r>
        <w:rPr>
          <w:szCs w:val="22"/>
        </w:rPr>
        <w:t>p</w:t>
      </w:r>
      <w:r w:rsidRPr="00026328">
        <w:rPr>
          <w:szCs w:val="22"/>
        </w:rPr>
        <w:t>p. 723–750</w:t>
      </w:r>
      <w:r>
        <w:rPr>
          <w:szCs w:val="22"/>
        </w:rPr>
        <w:t>)</w:t>
      </w:r>
      <w:r w:rsidRPr="00026328">
        <w:rPr>
          <w:szCs w:val="22"/>
        </w:rPr>
        <w:t xml:space="preserve">. </w:t>
      </w:r>
    </w:p>
    <w:p w:rsidR="00485094" w:rsidRDefault="00485094" w:rsidP="00E25E53">
      <w:pPr>
        <w:pStyle w:val="References"/>
        <w:rPr>
          <w:szCs w:val="22"/>
        </w:rPr>
      </w:pPr>
      <w:r w:rsidRPr="003463CD">
        <w:rPr>
          <w:szCs w:val="22"/>
        </w:rPr>
        <w:t xml:space="preserve">Bay Regional Atmospheric Chemistry Experiment (BRACE) </w:t>
      </w:r>
      <w:r>
        <w:rPr>
          <w:szCs w:val="22"/>
        </w:rPr>
        <w:t xml:space="preserve">website.  Available:  </w:t>
      </w:r>
      <w:hyperlink r:id="rId204" w:history="1">
        <w:r w:rsidRPr="005F7EAB">
          <w:rPr>
            <w:rStyle w:val="Hyperlink"/>
          </w:rPr>
          <w:t>http://hsc.usf.</w:t>
        </w:r>
        <w:r w:rsidRPr="005F7EAB">
          <w:rPr>
            <w:rStyle w:val="Hyperlink"/>
          </w:rPr>
          <w:br/>
          <w:t>edu/publichealth/EOH/BRACE/</w:t>
        </w:r>
      </w:hyperlink>
      <w:r w:rsidRPr="00DF48BE">
        <w:t>.</w:t>
      </w:r>
    </w:p>
    <w:p w:rsidR="00485094" w:rsidRDefault="00485094" w:rsidP="0069149E">
      <w:pPr>
        <w:pStyle w:val="References"/>
      </w:pPr>
      <w:r>
        <w:t xml:space="preserve">Blair, J.A., and R. Jones.  Updated January 15, 2008.  </w:t>
      </w:r>
      <w:r w:rsidRPr="00271CB6">
        <w:rPr>
          <w:i/>
        </w:rPr>
        <w:t>Consumer Fertilizer Task Force</w:t>
      </w:r>
      <w:r>
        <w:rPr>
          <w:i/>
        </w:rPr>
        <w:t>:  Final report to the 2008 Florida Legislature</w:t>
      </w:r>
      <w:r w:rsidRPr="00271CB6">
        <w:rPr>
          <w:i/>
        </w:rPr>
        <w:t xml:space="preserve">.  </w:t>
      </w:r>
      <w:r w:rsidRPr="00271CB6">
        <w:t xml:space="preserve">Tallahassee, FL:  Florida State University, Florida Conflict Resolution Consortium.  </w:t>
      </w:r>
      <w:r>
        <w:t xml:space="preserve">Available:  </w:t>
      </w:r>
      <w:hyperlink r:id="rId205" w:history="1">
        <w:r w:rsidRPr="00C57FE5">
          <w:rPr>
            <w:rStyle w:val="Hyperlink"/>
          </w:rPr>
          <w:t>http://consensus.fsu.edu/fertilizer-task-force/pdfs2/Fertilizer_Task_Force_Final_Report11408-3.pdf</w:t>
        </w:r>
      </w:hyperlink>
      <w:r>
        <w:t>.</w:t>
      </w:r>
    </w:p>
    <w:p w:rsidR="00485094" w:rsidRPr="00775E8E" w:rsidRDefault="00485094" w:rsidP="00E25E53">
      <w:pPr>
        <w:pStyle w:val="References"/>
        <w:rPr>
          <w:i/>
        </w:rPr>
      </w:pPr>
      <w:r w:rsidRPr="00026328">
        <w:t xml:space="preserve">Bodager, D. </w:t>
      </w:r>
      <w:r>
        <w:t xml:space="preserve"> </w:t>
      </w:r>
      <w:r w:rsidRPr="00026328">
        <w:t xml:space="preserve">2002. </w:t>
      </w:r>
      <w:r>
        <w:t xml:space="preserve"> </w:t>
      </w:r>
      <w:r w:rsidRPr="00026328">
        <w:t>Ou</w:t>
      </w:r>
      <w:r>
        <w:t>tbreak of saxitoxin illness fol</w:t>
      </w:r>
      <w:r w:rsidRPr="00026328">
        <w:t>lowing consumption of Florida pufferﬁsh.</w:t>
      </w:r>
      <w:r>
        <w:t xml:space="preserve"> </w:t>
      </w:r>
      <w:r w:rsidRPr="00026328">
        <w:t xml:space="preserve"> </w:t>
      </w:r>
      <w:r>
        <w:rPr>
          <w:i/>
        </w:rPr>
        <w:t>Florida Jour</w:t>
      </w:r>
      <w:r w:rsidRPr="00775E8E">
        <w:rPr>
          <w:i/>
        </w:rPr>
        <w:t xml:space="preserve">nal of Environmental Health 179: 9–13. </w:t>
      </w:r>
    </w:p>
    <w:p w:rsidR="00485094" w:rsidRDefault="00485094" w:rsidP="00494D88">
      <w:pPr>
        <w:pStyle w:val="References"/>
      </w:pPr>
      <w:r>
        <w:t xml:space="preserve">Brown, M.T., K.C. Reiss, M.J. Cohen, J.M. Evans, P.W. Inglett, K.S. Inglett, K.R. Reddy, T.K. Frazer, C.A. Jacoby, E.J. Phlips, R.L. Knight, S.K. Notestein, R.G. Hamann, and K.A. McKee.  April 28, 2008.  </w:t>
      </w:r>
      <w:r w:rsidRPr="00494D88">
        <w:rPr>
          <w:i/>
        </w:rPr>
        <w:t>Summary and synthesis of the available literature on the effects of nutrients on spring organisms and systems.</w:t>
      </w:r>
      <w:r>
        <w:t xml:space="preserve">  Gainesville, FL:  University of Florida Water Institute.  Available:  </w:t>
      </w:r>
      <w:hyperlink r:id="rId206" w:history="1">
        <w:r w:rsidRPr="005F7EAB">
          <w:rPr>
            <w:rStyle w:val="Hyperlink"/>
          </w:rPr>
          <w:t>http://www.dep.state.fl.us/springs/reports/files/UF_SpringsNutrients_</w:t>
        </w:r>
        <w:r w:rsidRPr="005F7EAB">
          <w:rPr>
            <w:rStyle w:val="Hyperlink"/>
          </w:rPr>
          <w:br/>
          <w:t>Report.pdf</w:t>
        </w:r>
      </w:hyperlink>
      <w:r>
        <w:t>.</w:t>
      </w:r>
    </w:p>
    <w:p w:rsidR="00485094" w:rsidRPr="00775E8E" w:rsidRDefault="00485094" w:rsidP="00E25E53">
      <w:pPr>
        <w:pStyle w:val="References"/>
        <w:rPr>
          <w:rFonts w:cs="Arial"/>
          <w:bCs/>
          <w:i/>
        </w:rPr>
      </w:pPr>
      <w:r w:rsidRPr="00431F94">
        <w:rPr>
          <w:rFonts w:cs="Arial"/>
          <w:bCs/>
        </w:rPr>
        <w:t>B</w:t>
      </w:r>
      <w:r>
        <w:rPr>
          <w:rFonts w:cs="Arial"/>
          <w:bCs/>
        </w:rPr>
        <w:t>urns</w:t>
      </w:r>
      <w:r w:rsidRPr="00431F94">
        <w:rPr>
          <w:rFonts w:cs="Arial"/>
          <w:bCs/>
        </w:rPr>
        <w:t xml:space="preserve">, J. </w:t>
      </w:r>
      <w:r>
        <w:rPr>
          <w:rFonts w:cs="Arial"/>
          <w:bCs/>
        </w:rPr>
        <w:t xml:space="preserve"> </w:t>
      </w:r>
      <w:r w:rsidRPr="00431F94">
        <w:rPr>
          <w:rFonts w:cs="Arial"/>
          <w:bCs/>
        </w:rPr>
        <w:t>2008.</w:t>
      </w:r>
      <w:r>
        <w:rPr>
          <w:rFonts w:cs="Arial"/>
          <w:bCs/>
        </w:rPr>
        <w:t xml:space="preserve"> </w:t>
      </w:r>
      <w:r w:rsidRPr="00431F94">
        <w:rPr>
          <w:rFonts w:cs="Arial"/>
          <w:bCs/>
        </w:rPr>
        <w:t xml:space="preserve">Toxic cyanobacteria in Florida waters. </w:t>
      </w:r>
      <w:r>
        <w:rPr>
          <w:rFonts w:cs="Arial"/>
          <w:bCs/>
        </w:rPr>
        <w:t xml:space="preserve"> </w:t>
      </w:r>
      <w:r w:rsidRPr="00775E8E">
        <w:rPr>
          <w:rFonts w:cs="Arial"/>
          <w:bCs/>
          <w:i/>
        </w:rPr>
        <w:t>Adv</w:t>
      </w:r>
      <w:r w:rsidR="00431B2F">
        <w:rPr>
          <w:rFonts w:cs="Arial"/>
          <w:bCs/>
          <w:i/>
        </w:rPr>
        <w:t>.</w:t>
      </w:r>
      <w:r w:rsidRPr="00775E8E">
        <w:rPr>
          <w:rFonts w:cs="Arial"/>
          <w:bCs/>
          <w:i/>
        </w:rPr>
        <w:t xml:space="preserve"> Exp</w:t>
      </w:r>
      <w:r w:rsidR="00431B2F">
        <w:rPr>
          <w:rFonts w:cs="Arial"/>
          <w:bCs/>
          <w:i/>
        </w:rPr>
        <w:t>.</w:t>
      </w:r>
      <w:r w:rsidRPr="00775E8E">
        <w:rPr>
          <w:rFonts w:cs="Arial"/>
          <w:bCs/>
          <w:i/>
        </w:rPr>
        <w:t xml:space="preserve"> Med</w:t>
      </w:r>
      <w:r w:rsidR="00431B2F">
        <w:rPr>
          <w:rFonts w:cs="Arial"/>
          <w:bCs/>
          <w:i/>
        </w:rPr>
        <w:t>.</w:t>
      </w:r>
      <w:r w:rsidRPr="00775E8E">
        <w:rPr>
          <w:rFonts w:cs="Arial"/>
          <w:bCs/>
          <w:i/>
        </w:rPr>
        <w:t xml:space="preserve"> Biol</w:t>
      </w:r>
      <w:r w:rsidR="00431B2F">
        <w:rPr>
          <w:rFonts w:cs="Arial"/>
          <w:bCs/>
          <w:i/>
        </w:rPr>
        <w:t>.</w:t>
      </w:r>
      <w:r w:rsidRPr="00775E8E">
        <w:rPr>
          <w:rFonts w:cs="Arial"/>
          <w:bCs/>
          <w:i/>
        </w:rPr>
        <w:t xml:space="preserve"> 619: 127–137. </w:t>
      </w:r>
    </w:p>
    <w:p w:rsidR="00485094" w:rsidRDefault="00485094" w:rsidP="00E25E53">
      <w:pPr>
        <w:pStyle w:val="References"/>
        <w:rPr>
          <w:rFonts w:cs="Arial"/>
          <w:bCs/>
        </w:rPr>
      </w:pPr>
      <w:r w:rsidRPr="00431F94">
        <w:rPr>
          <w:rFonts w:cs="Arial"/>
          <w:bCs/>
        </w:rPr>
        <w:lastRenderedPageBreak/>
        <w:t>B</w:t>
      </w:r>
      <w:r>
        <w:rPr>
          <w:rFonts w:cs="Arial"/>
          <w:bCs/>
        </w:rPr>
        <w:t>urns</w:t>
      </w:r>
      <w:r w:rsidRPr="00431F94">
        <w:rPr>
          <w:rFonts w:cs="Arial"/>
          <w:bCs/>
        </w:rPr>
        <w:t>, J., C. W</w:t>
      </w:r>
      <w:r>
        <w:rPr>
          <w:rFonts w:cs="Arial"/>
          <w:bCs/>
        </w:rPr>
        <w:t>illiams</w:t>
      </w:r>
      <w:r w:rsidRPr="00431F94">
        <w:rPr>
          <w:rFonts w:cs="Arial"/>
          <w:bCs/>
        </w:rPr>
        <w:t>, and A. C</w:t>
      </w:r>
      <w:r>
        <w:rPr>
          <w:rFonts w:cs="Arial"/>
          <w:bCs/>
        </w:rPr>
        <w:t>hapman</w:t>
      </w:r>
      <w:r w:rsidRPr="00431F94">
        <w:rPr>
          <w:rFonts w:cs="Arial"/>
          <w:bCs/>
        </w:rPr>
        <w:t xml:space="preserve">. </w:t>
      </w:r>
      <w:r>
        <w:rPr>
          <w:rFonts w:cs="Arial"/>
          <w:bCs/>
        </w:rPr>
        <w:t xml:space="preserve"> </w:t>
      </w:r>
      <w:r w:rsidRPr="00431F94">
        <w:rPr>
          <w:rFonts w:cs="Arial"/>
          <w:bCs/>
        </w:rPr>
        <w:t xml:space="preserve">2002. </w:t>
      </w:r>
      <w:r>
        <w:rPr>
          <w:rFonts w:cs="Arial"/>
          <w:bCs/>
        </w:rPr>
        <w:t xml:space="preserve"> </w:t>
      </w:r>
      <w:r w:rsidRPr="00431F94">
        <w:rPr>
          <w:rFonts w:cs="Arial"/>
          <w:bCs/>
        </w:rPr>
        <w:t>Cyanobacteria and their toxins in Florida surface waters.</w:t>
      </w:r>
      <w:r>
        <w:rPr>
          <w:rFonts w:cs="Arial"/>
          <w:bCs/>
        </w:rPr>
        <w:t xml:space="preserve"> </w:t>
      </w:r>
      <w:r w:rsidRPr="00431F94">
        <w:rPr>
          <w:rFonts w:cs="Arial"/>
          <w:bCs/>
        </w:rPr>
        <w:t xml:space="preserve"> </w:t>
      </w:r>
      <w:r w:rsidR="000309E2" w:rsidRPr="000309E2">
        <w:rPr>
          <w:rFonts w:cs="Arial"/>
          <w:bCs/>
          <w:i/>
        </w:rPr>
        <w:t>In:</w:t>
      </w:r>
      <w:r>
        <w:rPr>
          <w:rFonts w:cs="Arial"/>
          <w:bCs/>
        </w:rPr>
        <w:t xml:space="preserve">  </w:t>
      </w:r>
      <w:r w:rsidRPr="00431F94">
        <w:rPr>
          <w:rFonts w:cs="Arial"/>
          <w:bCs/>
        </w:rPr>
        <w:t>D. Johnson and R.D. Harbison</w:t>
      </w:r>
      <w:r>
        <w:rPr>
          <w:rFonts w:cs="Arial"/>
          <w:bCs/>
        </w:rPr>
        <w:t xml:space="preserve"> (</w:t>
      </w:r>
      <w:r w:rsidR="005C7479">
        <w:rPr>
          <w:rFonts w:cs="Arial"/>
          <w:bCs/>
        </w:rPr>
        <w:t>E</w:t>
      </w:r>
      <w:r w:rsidRPr="00431F94">
        <w:rPr>
          <w:rFonts w:cs="Arial"/>
          <w:bCs/>
        </w:rPr>
        <w:t>ds.</w:t>
      </w:r>
      <w:r>
        <w:rPr>
          <w:rFonts w:cs="Arial"/>
          <w:bCs/>
        </w:rPr>
        <w:t>),</w:t>
      </w:r>
      <w:r w:rsidRPr="00431F94">
        <w:rPr>
          <w:rFonts w:cs="Arial"/>
          <w:bCs/>
        </w:rPr>
        <w:t xml:space="preserve"> </w:t>
      </w:r>
      <w:r w:rsidRPr="00775E8E">
        <w:rPr>
          <w:rFonts w:cs="Arial"/>
          <w:bCs/>
          <w:i/>
        </w:rPr>
        <w:t>Proceedings of health effects of exposure to cyanobacteria toxins:  State of the science</w:t>
      </w:r>
      <w:r>
        <w:rPr>
          <w:rFonts w:cs="Arial"/>
          <w:bCs/>
          <w:i/>
        </w:rPr>
        <w:t xml:space="preserve"> </w:t>
      </w:r>
      <w:r w:rsidRPr="0054522E">
        <w:rPr>
          <w:rFonts w:cs="Arial"/>
          <w:bCs/>
        </w:rPr>
        <w:t>(A</w:t>
      </w:r>
      <w:r w:rsidRPr="00431F94">
        <w:rPr>
          <w:rFonts w:cs="Arial"/>
          <w:bCs/>
        </w:rPr>
        <w:t xml:space="preserve">ugust 13–14, 2002, Sarasota, </w:t>
      </w:r>
      <w:r>
        <w:rPr>
          <w:rFonts w:cs="Arial"/>
          <w:bCs/>
        </w:rPr>
        <w:t>FL, p</w:t>
      </w:r>
      <w:r w:rsidRPr="00431F94">
        <w:rPr>
          <w:rFonts w:cs="Arial"/>
          <w:bCs/>
        </w:rPr>
        <w:t>p. 16–21</w:t>
      </w:r>
      <w:r>
        <w:rPr>
          <w:rFonts w:cs="Arial"/>
          <w:bCs/>
        </w:rPr>
        <w:t xml:space="preserve">). </w:t>
      </w:r>
      <w:r w:rsidRPr="00431F94">
        <w:rPr>
          <w:rFonts w:cs="Arial"/>
          <w:bCs/>
        </w:rPr>
        <w:t xml:space="preserve"> </w:t>
      </w:r>
    </w:p>
    <w:p w:rsidR="00485094" w:rsidRPr="006B1693" w:rsidRDefault="00485094" w:rsidP="00FE7836">
      <w:pPr>
        <w:pStyle w:val="References"/>
      </w:pPr>
      <w:r>
        <w:t xml:space="preserve">Carvalho, A., W. Schropp, G.M. Sloane, T.P. Biernacki, and T.L. Seal. </w:t>
      </w:r>
      <w:r w:rsidRPr="006B1693">
        <w:t xml:space="preserve"> 2003.  </w:t>
      </w:r>
      <w:r w:rsidRPr="00CF2E30">
        <w:rPr>
          <w:i/>
          <w:snapToGrid w:val="0"/>
        </w:rPr>
        <w:t>Development of an interpretive tool for assessment of metal enrichment in Florida freshwater sediment.</w:t>
      </w:r>
      <w:r w:rsidRPr="006B1693">
        <w:rPr>
          <w:snapToGrid w:val="0"/>
        </w:rPr>
        <w:t xml:space="preserve">  </w:t>
      </w:r>
      <w:r>
        <w:rPr>
          <w:snapToGrid w:val="0"/>
        </w:rPr>
        <w:t xml:space="preserve">Jacksonville, FL:  Taylor </w:t>
      </w:r>
      <w:r w:rsidRPr="006B1693">
        <w:rPr>
          <w:snapToGrid w:val="0"/>
        </w:rPr>
        <w:t>Engineering</w:t>
      </w:r>
      <w:r>
        <w:rPr>
          <w:snapToGrid w:val="0"/>
        </w:rPr>
        <w:t xml:space="preserve"> and Florida Department of Environmental Protection.  Prepared for the Florida Department of Environmental Protection.  Available:  </w:t>
      </w:r>
      <w:hyperlink r:id="rId207" w:history="1">
        <w:r w:rsidRPr="006B1693">
          <w:rPr>
            <w:rStyle w:val="Hyperlink"/>
            <w:rFonts w:cs="Arial"/>
            <w:szCs w:val="22"/>
          </w:rPr>
          <w:t>http://www.dep.state.fl.us/water/monitoring/docs/seds/FFW_Metals_Report_Final.pdf</w:t>
        </w:r>
      </w:hyperlink>
      <w:r>
        <w:t>.</w:t>
      </w:r>
    </w:p>
    <w:p w:rsidR="00485094" w:rsidRPr="008654A0" w:rsidRDefault="00485094" w:rsidP="00E25E53">
      <w:pPr>
        <w:pStyle w:val="References"/>
        <w:rPr>
          <w:rFonts w:cs="Arial"/>
          <w:bCs/>
          <w:i/>
        </w:rPr>
      </w:pPr>
      <w:r w:rsidRPr="00431F94">
        <w:rPr>
          <w:rFonts w:cs="Arial"/>
          <w:bCs/>
        </w:rPr>
        <w:t>C</w:t>
      </w:r>
      <w:r>
        <w:rPr>
          <w:rFonts w:cs="Arial"/>
          <w:bCs/>
        </w:rPr>
        <w:t>hapman</w:t>
      </w:r>
      <w:r w:rsidRPr="00431F94">
        <w:rPr>
          <w:rFonts w:cs="Arial"/>
          <w:bCs/>
        </w:rPr>
        <w:t>,</w:t>
      </w:r>
      <w:r>
        <w:rPr>
          <w:rFonts w:cs="Arial"/>
          <w:bCs/>
        </w:rPr>
        <w:t xml:space="preserve"> </w:t>
      </w:r>
      <w:r w:rsidRPr="00431F94">
        <w:rPr>
          <w:rFonts w:cs="Arial"/>
          <w:bCs/>
        </w:rPr>
        <w:t>A.D.</w:t>
      </w:r>
      <w:r>
        <w:rPr>
          <w:rFonts w:cs="Arial"/>
          <w:bCs/>
        </w:rPr>
        <w:t>,</w:t>
      </w:r>
      <w:r w:rsidRPr="00431F94">
        <w:rPr>
          <w:rFonts w:cs="Arial"/>
          <w:bCs/>
        </w:rPr>
        <w:t xml:space="preserve"> and C.L. S</w:t>
      </w:r>
      <w:r>
        <w:rPr>
          <w:rFonts w:cs="Arial"/>
          <w:bCs/>
        </w:rPr>
        <w:t>chelske</w:t>
      </w:r>
      <w:r w:rsidRPr="00431F94">
        <w:rPr>
          <w:rFonts w:cs="Arial"/>
          <w:bCs/>
        </w:rPr>
        <w:t>.</w:t>
      </w:r>
      <w:r>
        <w:rPr>
          <w:rFonts w:cs="Arial"/>
          <w:bCs/>
        </w:rPr>
        <w:t xml:space="preserve"> </w:t>
      </w:r>
      <w:r w:rsidRPr="00431F94">
        <w:rPr>
          <w:rFonts w:cs="Arial"/>
          <w:bCs/>
        </w:rPr>
        <w:t xml:space="preserve"> 1997.</w:t>
      </w:r>
      <w:r>
        <w:rPr>
          <w:rFonts w:cs="Arial"/>
          <w:bCs/>
        </w:rPr>
        <w:t xml:space="preserve"> </w:t>
      </w:r>
      <w:r w:rsidRPr="00431F94">
        <w:rPr>
          <w:rFonts w:cs="Arial"/>
          <w:bCs/>
        </w:rPr>
        <w:t xml:space="preserve"> Recent appearance of </w:t>
      </w:r>
      <w:r w:rsidRPr="00431F94">
        <w:rPr>
          <w:rFonts w:cs="Arial"/>
          <w:bCs/>
          <w:iCs/>
        </w:rPr>
        <w:t xml:space="preserve">Cylindrospermopsis </w:t>
      </w:r>
      <w:r w:rsidRPr="00431F94">
        <w:rPr>
          <w:rFonts w:cs="Arial"/>
          <w:bCs/>
        </w:rPr>
        <w:t>(Cyanobacteria) in</w:t>
      </w:r>
      <w:r>
        <w:rPr>
          <w:rFonts w:cs="Arial"/>
          <w:bCs/>
        </w:rPr>
        <w:t xml:space="preserve"> </w:t>
      </w:r>
      <w:r w:rsidRPr="00431F94">
        <w:rPr>
          <w:rFonts w:cs="Arial"/>
          <w:bCs/>
        </w:rPr>
        <w:t xml:space="preserve">five hypereutrophic Florida lakes. </w:t>
      </w:r>
      <w:r>
        <w:rPr>
          <w:rFonts w:cs="Arial"/>
          <w:bCs/>
        </w:rPr>
        <w:t xml:space="preserve"> </w:t>
      </w:r>
      <w:r w:rsidRPr="008654A0">
        <w:rPr>
          <w:rFonts w:cs="Arial"/>
          <w:bCs/>
          <w:i/>
        </w:rPr>
        <w:t>J</w:t>
      </w:r>
      <w:r w:rsidR="00431B2F">
        <w:rPr>
          <w:rFonts w:cs="Arial"/>
          <w:bCs/>
          <w:i/>
        </w:rPr>
        <w:t>.</w:t>
      </w:r>
      <w:r w:rsidRPr="008654A0">
        <w:rPr>
          <w:rFonts w:cs="Arial"/>
          <w:bCs/>
          <w:i/>
        </w:rPr>
        <w:t xml:space="preserve"> Phycology 33: 191–195.</w:t>
      </w:r>
    </w:p>
    <w:p w:rsidR="00485094" w:rsidRDefault="00485094" w:rsidP="007B1DF7">
      <w:pPr>
        <w:pStyle w:val="References"/>
      </w:pPr>
      <w:r>
        <w:t xml:space="preserve">Comprehensive Everglades Restoration Plan website.  2010.  Available:  </w:t>
      </w:r>
      <w:hyperlink r:id="rId208" w:history="1">
        <w:r w:rsidRPr="005F7EAB">
          <w:rPr>
            <w:rStyle w:val="Hyperlink"/>
          </w:rPr>
          <w:t>http://www.</w:t>
        </w:r>
        <w:r w:rsidRPr="005F7EAB">
          <w:rPr>
            <w:rStyle w:val="Hyperlink"/>
          </w:rPr>
          <w:br/>
          <w:t>evergladesplan.org/index.aspx</w:t>
        </w:r>
      </w:hyperlink>
      <w:r>
        <w:t>.</w:t>
      </w:r>
    </w:p>
    <w:p w:rsidR="00485094" w:rsidRDefault="00485094" w:rsidP="00E25E53">
      <w:pPr>
        <w:pStyle w:val="References"/>
      </w:pPr>
      <w:r>
        <w:t xml:space="preserve">Conover, W.J.  1999.  </w:t>
      </w:r>
      <w:r w:rsidRPr="00775E8E">
        <w:rPr>
          <w:i/>
        </w:rPr>
        <w:t>Practical nonparametric statistics.</w:t>
      </w:r>
      <w:r>
        <w:t xml:space="preserve">  New York:  Wiley.  </w:t>
      </w:r>
    </w:p>
    <w:p w:rsidR="00485094" w:rsidRDefault="00485094" w:rsidP="00E25E53">
      <w:pPr>
        <w:pStyle w:val="References"/>
      </w:pPr>
      <w:r>
        <w:t xml:space="preserve">Copeland, R., N.A. Doran, A.J. White, and S.B. Upchurch.  2009.  </w:t>
      </w:r>
      <w:r w:rsidRPr="00BE462B">
        <w:rPr>
          <w:i/>
        </w:rPr>
        <w:t>Regional and statewide trends in Florida’s spring and well groundwater quality.</w:t>
      </w:r>
      <w:r>
        <w:t xml:space="preserve">  Florida Geological Survey Bulletin No. 69.  Tallahassee, FL.  Available:  </w:t>
      </w:r>
      <w:hyperlink r:id="rId209" w:history="1">
        <w:r w:rsidRPr="005F7EAB">
          <w:rPr>
            <w:rStyle w:val="Hyperlink"/>
          </w:rPr>
          <w:t>http://ufdcweb1.uflib.ufl.edu/ufdc/</w:t>
        </w:r>
        <w:r w:rsidRPr="005F7EAB">
          <w:rPr>
            <w:rStyle w:val="Hyperlink"/>
          </w:rPr>
          <w:br/>
          <w:t>?b=UF00095137&amp;v=00001</w:t>
        </w:r>
      </w:hyperlink>
      <w:r>
        <w:t xml:space="preserve">.  </w:t>
      </w:r>
    </w:p>
    <w:p w:rsidR="00485094" w:rsidRPr="00775E8E" w:rsidRDefault="00485094" w:rsidP="00E25E53">
      <w:pPr>
        <w:pStyle w:val="References"/>
        <w:rPr>
          <w:i/>
        </w:rPr>
      </w:pPr>
      <w:r>
        <w:t xml:space="preserve">Crabbe, N.  February 28, 2008.  Drought just tip of water problems.  </w:t>
      </w:r>
      <w:r w:rsidRPr="00775E8E">
        <w:rPr>
          <w:i/>
        </w:rPr>
        <w:t>Gainesville Sun.</w:t>
      </w:r>
    </w:p>
    <w:p w:rsidR="00485094" w:rsidRDefault="00485094" w:rsidP="00E25E53">
      <w:pPr>
        <w:pStyle w:val="References"/>
      </w:pPr>
      <w:r>
        <w:t xml:space="preserve">Dahl, T.E.  1990.  </w:t>
      </w:r>
      <w:r w:rsidRPr="0097360A">
        <w:rPr>
          <w:i/>
        </w:rPr>
        <w:t xml:space="preserve">Wetlands—Losses in the United States, 1780s to 1980s.  </w:t>
      </w:r>
      <w:r>
        <w:t>U.S. Fish and Wildlife Service Report to Congress.  St. Petersburg, FL:  National Wetlands Inventory.</w:t>
      </w:r>
      <w:r w:rsidRPr="00AD7FC4">
        <w:t xml:space="preserve"> </w:t>
      </w:r>
      <w:r>
        <w:t xml:space="preserve"> Available:  </w:t>
      </w:r>
      <w:hyperlink r:id="rId210" w:history="1">
        <w:r w:rsidRPr="005F7EAB">
          <w:rPr>
            <w:rStyle w:val="Hyperlink"/>
          </w:rPr>
          <w:t>http://www.fws.gov/wetlands/_documents/gSandT/NationalReports/</w:t>
        </w:r>
        <w:r w:rsidRPr="005F7EAB">
          <w:rPr>
            <w:rStyle w:val="Hyperlink"/>
          </w:rPr>
          <w:br/>
          <w:t>WetlandsLossesUS1780sto1980s.pdf</w:t>
        </w:r>
      </w:hyperlink>
      <w:r>
        <w:t>.</w:t>
      </w:r>
    </w:p>
    <w:p w:rsidR="00872F0E" w:rsidRDefault="00485094" w:rsidP="00872F0E">
      <w:pPr>
        <w:pStyle w:val="References"/>
      </w:pPr>
      <w:r>
        <w:rPr>
          <w:snapToGrid w:val="0"/>
        </w:rPr>
        <w:t xml:space="preserve">———.  </w:t>
      </w:r>
      <w:r>
        <w:t xml:space="preserve">2005.  </w:t>
      </w:r>
      <w:r w:rsidRPr="00B54C2B">
        <w:rPr>
          <w:i/>
        </w:rPr>
        <w:t>Florida's wetlands:  An update on status and trends, 1985 to 1996.</w:t>
      </w:r>
      <w:r>
        <w:t xml:space="preserve">  Washington, DC:  U.S .Department of the Interior, Fish and Wildlife Service.  Available:  </w:t>
      </w:r>
      <w:hyperlink r:id="rId211" w:history="1">
        <w:r w:rsidRPr="005F7EAB">
          <w:rPr>
            <w:rStyle w:val="Hyperlink"/>
          </w:rPr>
          <w:t>http://www.</w:t>
        </w:r>
        <w:r w:rsidRPr="005F7EAB">
          <w:rPr>
            <w:rStyle w:val="Hyperlink"/>
          </w:rPr>
          <w:br/>
          <w:t>fws.gov/wetlands/_documents/gSandT/StateRegionalReports/FloridasWetlandsUpdateStatusTrends1985to1996.pdf</w:t>
        </w:r>
      </w:hyperlink>
      <w:r>
        <w:t>.</w:t>
      </w:r>
    </w:p>
    <w:p w:rsidR="00872F0E" w:rsidRPr="00872F0E" w:rsidRDefault="00872F0E" w:rsidP="00872F0E">
      <w:pPr>
        <w:pStyle w:val="References"/>
      </w:pPr>
      <w:proofErr w:type="spellStart"/>
      <w:r w:rsidRPr="00872F0E">
        <w:rPr>
          <w:rFonts w:cs="Arial"/>
          <w:szCs w:val="22"/>
        </w:rPr>
        <w:t>Emslie</w:t>
      </w:r>
      <w:proofErr w:type="spellEnd"/>
      <w:r w:rsidRPr="00872F0E">
        <w:rPr>
          <w:rFonts w:cs="Arial"/>
          <w:szCs w:val="22"/>
        </w:rPr>
        <w:t xml:space="preserve">, S.D., W.D. </w:t>
      </w:r>
      <w:proofErr w:type="spellStart"/>
      <w:r w:rsidRPr="00872F0E">
        <w:rPr>
          <w:rFonts w:cs="Arial"/>
          <w:szCs w:val="22"/>
        </w:rPr>
        <w:t>Allmon</w:t>
      </w:r>
      <w:proofErr w:type="spellEnd"/>
      <w:r w:rsidRPr="00872F0E">
        <w:rPr>
          <w:rFonts w:cs="Arial"/>
          <w:szCs w:val="22"/>
        </w:rPr>
        <w:t xml:space="preserve">, F.J. Rich, J.H. </w:t>
      </w:r>
      <w:proofErr w:type="spellStart"/>
      <w:r w:rsidRPr="00872F0E">
        <w:rPr>
          <w:rFonts w:cs="Arial"/>
          <w:szCs w:val="22"/>
        </w:rPr>
        <w:t>Wrenn</w:t>
      </w:r>
      <w:proofErr w:type="spellEnd"/>
      <w:r w:rsidRPr="00872F0E">
        <w:rPr>
          <w:rFonts w:cs="Arial"/>
          <w:szCs w:val="22"/>
        </w:rPr>
        <w:t xml:space="preserve">, and S. D. </w:t>
      </w:r>
      <w:proofErr w:type="spellStart"/>
      <w:r w:rsidRPr="00872F0E">
        <w:rPr>
          <w:rFonts w:cs="Arial"/>
          <w:szCs w:val="22"/>
        </w:rPr>
        <w:t>Defrance</w:t>
      </w:r>
      <w:proofErr w:type="spellEnd"/>
      <w:r w:rsidRPr="00872F0E">
        <w:rPr>
          <w:rFonts w:cs="Arial"/>
          <w:szCs w:val="22"/>
        </w:rPr>
        <w:t xml:space="preserve">. </w:t>
      </w:r>
      <w:r>
        <w:rPr>
          <w:rFonts w:cs="Arial"/>
          <w:szCs w:val="22"/>
        </w:rPr>
        <w:t xml:space="preserve"> </w:t>
      </w:r>
      <w:r w:rsidRPr="00872F0E">
        <w:rPr>
          <w:rFonts w:cs="Arial"/>
          <w:szCs w:val="22"/>
        </w:rPr>
        <w:t xml:space="preserve">1996. </w:t>
      </w:r>
      <w:r>
        <w:rPr>
          <w:rFonts w:cs="Arial"/>
          <w:szCs w:val="22"/>
        </w:rPr>
        <w:t xml:space="preserve"> </w:t>
      </w:r>
      <w:r w:rsidRPr="00872F0E">
        <w:rPr>
          <w:rFonts w:cs="Arial"/>
          <w:szCs w:val="22"/>
        </w:rPr>
        <w:t xml:space="preserve">Integrated </w:t>
      </w:r>
      <w:proofErr w:type="spellStart"/>
      <w:r w:rsidRPr="00872F0E">
        <w:rPr>
          <w:rFonts w:cs="Arial"/>
          <w:szCs w:val="22"/>
        </w:rPr>
        <w:t>taphonomy</w:t>
      </w:r>
      <w:proofErr w:type="spellEnd"/>
      <w:r w:rsidRPr="00872F0E">
        <w:rPr>
          <w:rFonts w:cs="Arial"/>
          <w:szCs w:val="22"/>
        </w:rPr>
        <w:t xml:space="preserve"> of an avian death assemblage in marine sediments from the late Pliocene of Florida. </w:t>
      </w:r>
      <w:r>
        <w:rPr>
          <w:rFonts w:cs="Arial"/>
          <w:szCs w:val="22"/>
        </w:rPr>
        <w:t xml:space="preserve"> </w:t>
      </w:r>
      <w:proofErr w:type="spellStart"/>
      <w:r w:rsidR="00D64CBB" w:rsidRPr="00D64CBB">
        <w:rPr>
          <w:rFonts w:cs="Arial"/>
          <w:i/>
          <w:szCs w:val="22"/>
        </w:rPr>
        <w:t>Pal</w:t>
      </w:r>
      <w:r w:rsidR="00D64CBB">
        <w:rPr>
          <w:rFonts w:cs="Arial"/>
          <w:i/>
          <w:szCs w:val="22"/>
        </w:rPr>
        <w:t>a</w:t>
      </w:r>
      <w:r w:rsidR="00D64CBB" w:rsidRPr="00D64CBB">
        <w:rPr>
          <w:rFonts w:cs="Arial"/>
          <w:i/>
          <w:szCs w:val="22"/>
        </w:rPr>
        <w:t>eogeogr</w:t>
      </w:r>
      <w:proofErr w:type="spellEnd"/>
      <w:r w:rsidR="00D64CBB" w:rsidRPr="00D64CBB">
        <w:rPr>
          <w:rFonts w:cs="Arial"/>
          <w:i/>
          <w:szCs w:val="22"/>
        </w:rPr>
        <w:t xml:space="preserve">. </w:t>
      </w:r>
      <w:proofErr w:type="spellStart"/>
      <w:r w:rsidR="00D64CBB" w:rsidRPr="00D64CBB">
        <w:rPr>
          <w:rFonts w:cs="Arial"/>
          <w:i/>
          <w:szCs w:val="22"/>
        </w:rPr>
        <w:t>Pal</w:t>
      </w:r>
      <w:r w:rsidR="00D64CBB">
        <w:rPr>
          <w:rFonts w:cs="Arial"/>
          <w:i/>
          <w:szCs w:val="22"/>
        </w:rPr>
        <w:t>a</w:t>
      </w:r>
      <w:r w:rsidR="00D64CBB" w:rsidRPr="00D64CBB">
        <w:rPr>
          <w:rFonts w:cs="Arial"/>
          <w:i/>
          <w:szCs w:val="22"/>
        </w:rPr>
        <w:t>eocl</w:t>
      </w:r>
      <w:proofErr w:type="spellEnd"/>
      <w:r w:rsidR="00D64CBB" w:rsidRPr="00D64CBB">
        <w:rPr>
          <w:rFonts w:cs="Arial"/>
          <w:i/>
          <w:szCs w:val="22"/>
        </w:rPr>
        <w:t>.</w:t>
      </w:r>
      <w:r w:rsidRPr="00D64CBB">
        <w:rPr>
          <w:rFonts w:cs="Arial"/>
          <w:i/>
          <w:szCs w:val="22"/>
        </w:rPr>
        <w:t xml:space="preserve"> 124, 107</w:t>
      </w:r>
      <w:r w:rsidR="00D64CBB" w:rsidRPr="00D64CBB">
        <w:rPr>
          <w:rFonts w:cs="Arial"/>
          <w:i/>
          <w:szCs w:val="22"/>
        </w:rPr>
        <w:t>–</w:t>
      </w:r>
      <w:r w:rsidRPr="00D64CBB">
        <w:rPr>
          <w:rFonts w:cs="Arial"/>
          <w:i/>
          <w:szCs w:val="22"/>
        </w:rPr>
        <w:t>136</w:t>
      </w:r>
      <w:r w:rsidRPr="00872F0E">
        <w:rPr>
          <w:rFonts w:cs="Arial"/>
          <w:szCs w:val="22"/>
        </w:rPr>
        <w:t>.</w:t>
      </w:r>
    </w:p>
    <w:p w:rsidR="00485094" w:rsidRDefault="00485094" w:rsidP="00B54C2B">
      <w:pPr>
        <w:pStyle w:val="References"/>
      </w:pPr>
      <w:r w:rsidRPr="00AD7FC4">
        <w:t>Fernald, E.A., and E.D. Purdum</w:t>
      </w:r>
      <w:r>
        <w:t xml:space="preserve"> (</w:t>
      </w:r>
      <w:r w:rsidR="005C7479">
        <w:t>E</w:t>
      </w:r>
      <w:r w:rsidR="005C7479" w:rsidRPr="00AD7FC4">
        <w:t>ds</w:t>
      </w:r>
      <w:r>
        <w:t>.)</w:t>
      </w:r>
      <w:r w:rsidRPr="00AD7FC4">
        <w:t xml:space="preserve">.  1998.  </w:t>
      </w:r>
      <w:r w:rsidRPr="00EC6624">
        <w:rPr>
          <w:i/>
        </w:rPr>
        <w:t>Water resources atlas of Florida.</w:t>
      </w:r>
      <w:r w:rsidRPr="00AD7FC4">
        <w:t xml:space="preserve">  Tallahassee, </w:t>
      </w:r>
      <w:r>
        <w:t>FL</w:t>
      </w:r>
      <w:r w:rsidRPr="00AD7FC4">
        <w:t>:  Florida State University, Institute of Science and Public Affairs.</w:t>
      </w:r>
    </w:p>
    <w:p w:rsidR="00485094" w:rsidRPr="0075585F" w:rsidRDefault="00485094" w:rsidP="00E25E53">
      <w:pPr>
        <w:pStyle w:val="References"/>
        <w:rPr>
          <w:color w:val="000000"/>
          <w:szCs w:val="22"/>
        </w:rPr>
      </w:pPr>
      <w:r>
        <w:rPr>
          <w:color w:val="000000"/>
          <w:szCs w:val="22"/>
        </w:rPr>
        <w:t>Fleming, L.E., D.G. Baden, J.</w:t>
      </w:r>
      <w:r w:rsidRPr="0075585F">
        <w:rPr>
          <w:color w:val="000000"/>
          <w:szCs w:val="22"/>
        </w:rPr>
        <w:t>A. Bean, R. Weisman,</w:t>
      </w:r>
      <w:r>
        <w:rPr>
          <w:color w:val="000000"/>
          <w:szCs w:val="22"/>
        </w:rPr>
        <w:t xml:space="preserve"> and D.</w:t>
      </w:r>
      <w:r w:rsidRPr="0075585F">
        <w:rPr>
          <w:color w:val="000000"/>
          <w:szCs w:val="22"/>
        </w:rPr>
        <w:t>G. Blythe.</w:t>
      </w:r>
      <w:r>
        <w:rPr>
          <w:color w:val="000000"/>
          <w:szCs w:val="22"/>
        </w:rPr>
        <w:t xml:space="preserve"> </w:t>
      </w:r>
      <w:r w:rsidRPr="0075585F">
        <w:rPr>
          <w:color w:val="000000"/>
          <w:szCs w:val="22"/>
        </w:rPr>
        <w:t xml:space="preserve"> 1998. </w:t>
      </w:r>
      <w:r>
        <w:rPr>
          <w:color w:val="000000"/>
          <w:szCs w:val="22"/>
        </w:rPr>
        <w:t xml:space="preserve"> </w:t>
      </w:r>
      <w:r w:rsidRPr="0075585F">
        <w:rPr>
          <w:color w:val="000000"/>
          <w:szCs w:val="22"/>
        </w:rPr>
        <w:t>Marine seafood toxin dis</w:t>
      </w:r>
      <w:r w:rsidRPr="0075585F">
        <w:rPr>
          <w:color w:val="000000"/>
          <w:szCs w:val="22"/>
        </w:rPr>
        <w:softHyphen/>
        <w:t xml:space="preserve">eases: </w:t>
      </w:r>
      <w:r>
        <w:rPr>
          <w:color w:val="000000"/>
          <w:szCs w:val="22"/>
        </w:rPr>
        <w:t xml:space="preserve"> I</w:t>
      </w:r>
      <w:r w:rsidRPr="0075585F">
        <w:rPr>
          <w:color w:val="000000"/>
          <w:szCs w:val="22"/>
        </w:rPr>
        <w:t xml:space="preserve">ssues in epidemiology and community outreach. </w:t>
      </w:r>
      <w:r>
        <w:rPr>
          <w:color w:val="000000"/>
          <w:szCs w:val="22"/>
        </w:rPr>
        <w:t xml:space="preserve"> </w:t>
      </w:r>
      <w:r w:rsidR="000309E2" w:rsidRPr="000309E2">
        <w:rPr>
          <w:i/>
          <w:color w:val="000000"/>
          <w:szCs w:val="22"/>
        </w:rPr>
        <w:t>In:</w:t>
      </w:r>
      <w:r>
        <w:rPr>
          <w:color w:val="000000"/>
          <w:szCs w:val="22"/>
        </w:rPr>
        <w:t xml:space="preserve">  </w:t>
      </w:r>
      <w:r w:rsidRPr="001319C1">
        <w:rPr>
          <w:i/>
          <w:color w:val="000000"/>
          <w:szCs w:val="22"/>
        </w:rPr>
        <w:t xml:space="preserve">Environmental health resources for community outreach and </w:t>
      </w:r>
      <w:r>
        <w:rPr>
          <w:i/>
          <w:color w:val="000000"/>
          <w:szCs w:val="22"/>
        </w:rPr>
        <w:t>e</w:t>
      </w:r>
      <w:r w:rsidRPr="001319C1">
        <w:rPr>
          <w:i/>
          <w:color w:val="000000"/>
          <w:szCs w:val="22"/>
        </w:rPr>
        <w:t xml:space="preserve">ducation: </w:t>
      </w:r>
      <w:r>
        <w:rPr>
          <w:i/>
          <w:color w:val="000000"/>
          <w:szCs w:val="22"/>
        </w:rPr>
        <w:t xml:space="preserve"> </w:t>
      </w:r>
      <w:r w:rsidRPr="001319C1">
        <w:rPr>
          <w:i/>
          <w:color w:val="000000"/>
          <w:szCs w:val="22"/>
        </w:rPr>
        <w:t>Marine science</w:t>
      </w:r>
      <w:r>
        <w:rPr>
          <w:i/>
          <w:color w:val="000000"/>
          <w:szCs w:val="22"/>
        </w:rPr>
        <w:t xml:space="preserve"> </w:t>
      </w:r>
      <w:r w:rsidRPr="0055773E">
        <w:rPr>
          <w:color w:val="000000"/>
          <w:szCs w:val="22"/>
        </w:rPr>
        <w:t>(</w:t>
      </w:r>
      <w:r>
        <w:rPr>
          <w:color w:val="000000"/>
          <w:szCs w:val="22"/>
        </w:rPr>
        <w:t xml:space="preserve">Miami, FL:  National Institute of Environmental Health Sciences, </w:t>
      </w:r>
      <w:r w:rsidRPr="0055773E">
        <w:rPr>
          <w:color w:val="000000"/>
          <w:szCs w:val="22"/>
        </w:rPr>
        <w:t>Marine and Freshwater Biomedical Sciences Center</w:t>
      </w:r>
      <w:r>
        <w:rPr>
          <w:color w:val="000000"/>
          <w:szCs w:val="22"/>
        </w:rPr>
        <w:t>)</w:t>
      </w:r>
      <w:r w:rsidRPr="0075585F">
        <w:rPr>
          <w:color w:val="000000"/>
          <w:szCs w:val="22"/>
        </w:rPr>
        <w:t xml:space="preserve">. </w:t>
      </w:r>
      <w:r>
        <w:rPr>
          <w:color w:val="000000"/>
          <w:szCs w:val="22"/>
        </w:rPr>
        <w:t xml:space="preserve"> Avail</w:t>
      </w:r>
      <w:r w:rsidRPr="0075585F">
        <w:rPr>
          <w:color w:val="000000"/>
          <w:szCs w:val="22"/>
        </w:rPr>
        <w:t>able</w:t>
      </w:r>
      <w:r>
        <w:rPr>
          <w:color w:val="000000"/>
          <w:szCs w:val="22"/>
        </w:rPr>
        <w:t>:</w:t>
      </w:r>
      <w:r w:rsidRPr="0075585F">
        <w:rPr>
          <w:color w:val="000000"/>
          <w:szCs w:val="22"/>
        </w:rPr>
        <w:t xml:space="preserve"> </w:t>
      </w:r>
      <w:hyperlink r:id="rId212" w:history="1">
        <w:r w:rsidRPr="003A7A81">
          <w:rPr>
            <w:rStyle w:val="Hyperlink"/>
            <w:rFonts w:cs="Arial"/>
            <w:szCs w:val="22"/>
          </w:rPr>
          <w:t>http://iodeweb1.vliz.be/odin/bitstream/1834/758/1/Lora%20E5.pdf</w:t>
        </w:r>
      </w:hyperlink>
      <w:r>
        <w:rPr>
          <w:color w:val="0066FF"/>
          <w:szCs w:val="22"/>
          <w:u w:val="single"/>
        </w:rPr>
        <w:t>.</w:t>
      </w:r>
      <w:r w:rsidRPr="0075585F">
        <w:rPr>
          <w:color w:val="000000"/>
          <w:szCs w:val="22"/>
        </w:rPr>
        <w:t xml:space="preserve"> </w:t>
      </w:r>
    </w:p>
    <w:p w:rsidR="00485094" w:rsidRPr="001319C1" w:rsidRDefault="00485094" w:rsidP="00E25E53">
      <w:pPr>
        <w:pStyle w:val="References"/>
        <w:rPr>
          <w:i/>
          <w:szCs w:val="22"/>
        </w:rPr>
      </w:pPr>
      <w:r w:rsidRPr="0075585F">
        <w:rPr>
          <w:szCs w:val="22"/>
        </w:rPr>
        <w:t xml:space="preserve">Flewelling, L.J., </w:t>
      </w:r>
      <w:r>
        <w:rPr>
          <w:szCs w:val="22"/>
        </w:rPr>
        <w:t xml:space="preserve">J.P. </w:t>
      </w:r>
      <w:r w:rsidRPr="0075585F">
        <w:rPr>
          <w:szCs w:val="22"/>
        </w:rPr>
        <w:t xml:space="preserve">Naar, </w:t>
      </w:r>
      <w:r>
        <w:rPr>
          <w:szCs w:val="22"/>
        </w:rPr>
        <w:t>J.P.</w:t>
      </w:r>
      <w:r w:rsidRPr="0075585F">
        <w:rPr>
          <w:szCs w:val="22"/>
        </w:rPr>
        <w:t xml:space="preserve"> Abbott, </w:t>
      </w:r>
      <w:r>
        <w:rPr>
          <w:szCs w:val="22"/>
        </w:rPr>
        <w:t>D.G.</w:t>
      </w:r>
      <w:r w:rsidRPr="0075585F">
        <w:rPr>
          <w:szCs w:val="22"/>
        </w:rPr>
        <w:t xml:space="preserve"> Baden, </w:t>
      </w:r>
      <w:r>
        <w:rPr>
          <w:szCs w:val="22"/>
        </w:rPr>
        <w:t>N.B.</w:t>
      </w:r>
      <w:r w:rsidRPr="0075585F">
        <w:rPr>
          <w:szCs w:val="22"/>
        </w:rPr>
        <w:t xml:space="preserve"> Barros, </w:t>
      </w:r>
      <w:r>
        <w:rPr>
          <w:szCs w:val="22"/>
        </w:rPr>
        <w:t>G.D.</w:t>
      </w:r>
      <w:r w:rsidRPr="0075585F">
        <w:rPr>
          <w:szCs w:val="22"/>
        </w:rPr>
        <w:t xml:space="preserve"> Bossart, </w:t>
      </w:r>
      <w:r>
        <w:rPr>
          <w:szCs w:val="22"/>
        </w:rPr>
        <w:t>M.-Y.C.</w:t>
      </w:r>
      <w:r w:rsidRPr="0075585F">
        <w:rPr>
          <w:szCs w:val="22"/>
        </w:rPr>
        <w:t xml:space="preserve"> Bottein, </w:t>
      </w:r>
      <w:r>
        <w:rPr>
          <w:szCs w:val="22"/>
        </w:rPr>
        <w:t>D.G.</w:t>
      </w:r>
      <w:r w:rsidRPr="0075585F">
        <w:rPr>
          <w:szCs w:val="22"/>
        </w:rPr>
        <w:t xml:space="preserve"> Hammond, </w:t>
      </w:r>
      <w:r>
        <w:rPr>
          <w:szCs w:val="22"/>
        </w:rPr>
        <w:t>E.M.</w:t>
      </w:r>
      <w:r w:rsidRPr="0075585F">
        <w:rPr>
          <w:szCs w:val="22"/>
        </w:rPr>
        <w:t xml:space="preserve"> Haubold, </w:t>
      </w:r>
      <w:r>
        <w:rPr>
          <w:szCs w:val="22"/>
        </w:rPr>
        <w:t>C.A.</w:t>
      </w:r>
      <w:r w:rsidRPr="0075585F">
        <w:rPr>
          <w:szCs w:val="22"/>
        </w:rPr>
        <w:t xml:space="preserve"> Heil, </w:t>
      </w:r>
      <w:r>
        <w:rPr>
          <w:szCs w:val="22"/>
        </w:rPr>
        <w:t>M.S.</w:t>
      </w:r>
      <w:r w:rsidRPr="0075585F">
        <w:rPr>
          <w:szCs w:val="22"/>
        </w:rPr>
        <w:t xml:space="preserve"> Henry, </w:t>
      </w:r>
      <w:r>
        <w:rPr>
          <w:szCs w:val="22"/>
        </w:rPr>
        <w:t>H.M.</w:t>
      </w:r>
      <w:r w:rsidRPr="0075585F">
        <w:rPr>
          <w:szCs w:val="22"/>
        </w:rPr>
        <w:t xml:space="preserve"> Jacocks, </w:t>
      </w:r>
      <w:r>
        <w:rPr>
          <w:szCs w:val="22"/>
        </w:rPr>
        <w:t>T.A.</w:t>
      </w:r>
      <w:r w:rsidRPr="0075585F">
        <w:rPr>
          <w:szCs w:val="22"/>
        </w:rPr>
        <w:t xml:space="preserve"> Leighfield, </w:t>
      </w:r>
      <w:r>
        <w:rPr>
          <w:szCs w:val="22"/>
        </w:rPr>
        <w:t>R.H.</w:t>
      </w:r>
      <w:r w:rsidRPr="0075585F">
        <w:rPr>
          <w:szCs w:val="22"/>
        </w:rPr>
        <w:t xml:space="preserve">  Pierce, </w:t>
      </w:r>
      <w:r>
        <w:rPr>
          <w:szCs w:val="22"/>
        </w:rPr>
        <w:t>T.D.</w:t>
      </w:r>
      <w:r w:rsidRPr="0075585F">
        <w:rPr>
          <w:szCs w:val="22"/>
        </w:rPr>
        <w:t xml:space="preserve"> Pitchford, </w:t>
      </w:r>
      <w:r>
        <w:rPr>
          <w:szCs w:val="22"/>
        </w:rPr>
        <w:t>S.A.</w:t>
      </w:r>
      <w:r w:rsidRPr="0075585F">
        <w:rPr>
          <w:szCs w:val="22"/>
        </w:rPr>
        <w:t xml:space="preserve"> Rommel, </w:t>
      </w:r>
      <w:r>
        <w:rPr>
          <w:szCs w:val="22"/>
        </w:rPr>
        <w:t>P.S.</w:t>
      </w:r>
      <w:r w:rsidRPr="0075585F">
        <w:rPr>
          <w:szCs w:val="22"/>
        </w:rPr>
        <w:t xml:space="preserve"> Scott, </w:t>
      </w:r>
      <w:r>
        <w:rPr>
          <w:szCs w:val="22"/>
        </w:rPr>
        <w:t>K.A.</w:t>
      </w:r>
      <w:r w:rsidRPr="0075585F">
        <w:rPr>
          <w:szCs w:val="22"/>
        </w:rPr>
        <w:t xml:space="preserve"> Steidinger, </w:t>
      </w:r>
      <w:r>
        <w:rPr>
          <w:szCs w:val="22"/>
        </w:rPr>
        <w:t>E.W.</w:t>
      </w:r>
      <w:r w:rsidRPr="0075585F">
        <w:rPr>
          <w:szCs w:val="22"/>
        </w:rPr>
        <w:t xml:space="preserve"> Truby, </w:t>
      </w:r>
      <w:r>
        <w:rPr>
          <w:szCs w:val="22"/>
        </w:rPr>
        <w:t>F.M.</w:t>
      </w:r>
      <w:r w:rsidRPr="0075585F">
        <w:rPr>
          <w:szCs w:val="22"/>
        </w:rPr>
        <w:t xml:space="preserve"> Van Dolah, and </w:t>
      </w:r>
      <w:r>
        <w:rPr>
          <w:szCs w:val="22"/>
        </w:rPr>
        <w:t xml:space="preserve">J.H. </w:t>
      </w:r>
      <w:r w:rsidRPr="0075585F">
        <w:rPr>
          <w:szCs w:val="22"/>
        </w:rPr>
        <w:t xml:space="preserve">Landsberg. </w:t>
      </w:r>
      <w:r>
        <w:rPr>
          <w:szCs w:val="22"/>
        </w:rPr>
        <w:t xml:space="preserve"> </w:t>
      </w:r>
      <w:r w:rsidRPr="0075585F">
        <w:rPr>
          <w:szCs w:val="22"/>
        </w:rPr>
        <w:t xml:space="preserve">2005. </w:t>
      </w:r>
      <w:r>
        <w:rPr>
          <w:szCs w:val="22"/>
        </w:rPr>
        <w:t xml:space="preserve"> </w:t>
      </w:r>
      <w:r w:rsidRPr="0075585F">
        <w:rPr>
          <w:szCs w:val="22"/>
        </w:rPr>
        <w:t xml:space="preserve">Brevitoxicosis: </w:t>
      </w:r>
      <w:r w:rsidR="00431B2F">
        <w:rPr>
          <w:szCs w:val="22"/>
        </w:rPr>
        <w:t xml:space="preserve"> </w:t>
      </w:r>
      <w:r w:rsidRPr="0075585F">
        <w:rPr>
          <w:szCs w:val="22"/>
        </w:rPr>
        <w:t>Red tides and marine mammal mortalities.</w:t>
      </w:r>
      <w:r w:rsidRPr="0075585F">
        <w:rPr>
          <w:bCs/>
          <w:szCs w:val="22"/>
        </w:rPr>
        <w:t xml:space="preserve"> </w:t>
      </w:r>
      <w:r>
        <w:rPr>
          <w:bCs/>
          <w:szCs w:val="22"/>
        </w:rPr>
        <w:t xml:space="preserve"> </w:t>
      </w:r>
      <w:r w:rsidRPr="001319C1">
        <w:rPr>
          <w:bCs/>
          <w:i/>
          <w:szCs w:val="22"/>
        </w:rPr>
        <w:t>Nature 435 (7043), 755</w:t>
      </w:r>
      <w:r>
        <w:rPr>
          <w:bCs/>
          <w:i/>
          <w:szCs w:val="22"/>
        </w:rPr>
        <w:t>–</w:t>
      </w:r>
      <w:r w:rsidRPr="001319C1">
        <w:rPr>
          <w:bCs/>
          <w:i/>
          <w:szCs w:val="22"/>
        </w:rPr>
        <w:t>756.</w:t>
      </w:r>
    </w:p>
    <w:p w:rsidR="00485094" w:rsidRDefault="00485094" w:rsidP="00C16C1C">
      <w:pPr>
        <w:pStyle w:val="References"/>
      </w:pPr>
      <w:r>
        <w:t xml:space="preserve">Florida Administrative Code.  August 8, 2007.  Section 5E-1.003.  </w:t>
      </w:r>
      <w:r w:rsidRPr="004E22EE">
        <w:rPr>
          <w:i/>
        </w:rPr>
        <w:t>Labels or tags.</w:t>
      </w:r>
      <w:r>
        <w:t xml:space="preserve">  Available:  </w:t>
      </w:r>
      <w:hyperlink r:id="rId213" w:history="1">
        <w:r w:rsidRPr="00C57FE5">
          <w:rPr>
            <w:rStyle w:val="Hyperlink"/>
          </w:rPr>
          <w:t>https://www.flrules.org/gateway/ChapterHome.asp?Chapter=5E-1</w:t>
        </w:r>
      </w:hyperlink>
      <w:r>
        <w:t>.</w:t>
      </w:r>
    </w:p>
    <w:p w:rsidR="00485094" w:rsidRDefault="00485094" w:rsidP="00C16C1C">
      <w:pPr>
        <w:pStyle w:val="References"/>
        <w:rPr>
          <w:szCs w:val="22"/>
        </w:rPr>
      </w:pPr>
      <w:r>
        <w:lastRenderedPageBreak/>
        <w:t xml:space="preserve">Florida Department of Agriculture and Consumer Services.  Revised November 29, </w:t>
      </w:r>
      <w:r w:rsidRPr="0075585F">
        <w:rPr>
          <w:szCs w:val="22"/>
        </w:rPr>
        <w:t xml:space="preserve">2007. </w:t>
      </w:r>
      <w:r>
        <w:rPr>
          <w:szCs w:val="22"/>
        </w:rPr>
        <w:t xml:space="preserve"> </w:t>
      </w:r>
      <w:r w:rsidRPr="001319C1">
        <w:rPr>
          <w:i/>
          <w:szCs w:val="22"/>
        </w:rPr>
        <w:t>Contingency plan for the control of shellﬁsh potentially contaminated by marine biotoxin.</w:t>
      </w:r>
      <w:r w:rsidRPr="0075585F">
        <w:rPr>
          <w:szCs w:val="22"/>
        </w:rPr>
        <w:t xml:space="preserve"> </w:t>
      </w:r>
      <w:r>
        <w:rPr>
          <w:szCs w:val="22"/>
        </w:rPr>
        <w:t xml:space="preserve"> Tallahassee, FL.</w:t>
      </w:r>
    </w:p>
    <w:p w:rsidR="00485094" w:rsidRDefault="002A4505" w:rsidP="00E25E53">
      <w:pPr>
        <w:pStyle w:val="References"/>
      </w:pPr>
      <w:r>
        <w:rPr>
          <w:snapToGrid w:val="0"/>
        </w:rPr>
        <w:t xml:space="preserve">———.  </w:t>
      </w:r>
      <w:r w:rsidR="00485094">
        <w:t xml:space="preserve">2006.  </w:t>
      </w:r>
      <w:r w:rsidR="00485094" w:rsidRPr="00EC6624">
        <w:rPr>
          <w:i/>
        </w:rPr>
        <w:t xml:space="preserve">Shellfish </w:t>
      </w:r>
      <w:r w:rsidR="00485094">
        <w:rPr>
          <w:i/>
        </w:rPr>
        <w:t xml:space="preserve">harvesting website.  </w:t>
      </w:r>
      <w:r w:rsidR="00485094" w:rsidRPr="00271CB6">
        <w:t>Division of Aquaculture.</w:t>
      </w:r>
      <w:r w:rsidR="00485094">
        <w:t xml:space="preserve">  Available:  </w:t>
      </w:r>
      <w:hyperlink r:id="rId214" w:history="1">
        <w:r w:rsidRPr="00BF2DFB">
          <w:rPr>
            <w:rStyle w:val="Hyperlink"/>
            <w:szCs w:val="22"/>
          </w:rPr>
          <w:t>http://www.floridaaquaculture.com/</w:t>
        </w:r>
        <w:r w:rsidR="000309E2" w:rsidRPr="000309E2">
          <w:rPr>
            <w:rStyle w:val="Hyperlink"/>
            <w:szCs w:val="22"/>
          </w:rPr>
          <w:t>SEAS/SEAS_intro.htm</w:t>
        </w:r>
      </w:hyperlink>
      <w:r w:rsidR="00485094">
        <w:t>.</w:t>
      </w:r>
    </w:p>
    <w:p w:rsidR="00485094" w:rsidRDefault="00485094" w:rsidP="00E25E53">
      <w:pPr>
        <w:pStyle w:val="References"/>
      </w:pPr>
      <w:r>
        <w:rPr>
          <w:snapToGrid w:val="0"/>
        </w:rPr>
        <w:t xml:space="preserve">———.  2006.  </w:t>
      </w:r>
      <w:r w:rsidRPr="00EC6624">
        <w:rPr>
          <w:i/>
          <w:snapToGrid w:val="0"/>
        </w:rPr>
        <w:t>Red tide</w:t>
      </w:r>
      <w:r>
        <w:rPr>
          <w:i/>
          <w:snapToGrid w:val="0"/>
        </w:rPr>
        <w:t xml:space="preserve"> website</w:t>
      </w:r>
      <w:r w:rsidRPr="00EC6624">
        <w:rPr>
          <w:i/>
          <w:snapToGrid w:val="0"/>
        </w:rPr>
        <w:t>.</w:t>
      </w:r>
      <w:r>
        <w:rPr>
          <w:snapToGrid w:val="0"/>
        </w:rPr>
        <w:t xml:space="preserve">  Available:  </w:t>
      </w:r>
      <w:hyperlink r:id="rId215" w:history="1">
        <w:r w:rsidRPr="005F7EAB">
          <w:rPr>
            <w:rStyle w:val="Hyperlink"/>
            <w:snapToGrid w:val="0"/>
          </w:rPr>
          <w:t>http://www.floridaaquaculture.com/</w:t>
        </w:r>
        <w:r w:rsidRPr="005F7EAB">
          <w:rPr>
            <w:rStyle w:val="Hyperlink"/>
            <w:snapToGrid w:val="0"/>
          </w:rPr>
          <w:br/>
          <w:t>RedTide/RedTideInfo.htm</w:t>
        </w:r>
      </w:hyperlink>
      <w:r>
        <w:rPr>
          <w:snapToGrid w:val="0"/>
        </w:rPr>
        <w:t xml:space="preserve">.  </w:t>
      </w:r>
    </w:p>
    <w:p w:rsidR="00485094" w:rsidRDefault="00485094" w:rsidP="00E86D10">
      <w:pPr>
        <w:pStyle w:val="References"/>
      </w:pPr>
      <w:r>
        <w:rPr>
          <w:snapToGrid w:val="0"/>
        </w:rPr>
        <w:t xml:space="preserve">———.  </w:t>
      </w:r>
      <w:r w:rsidRPr="00E86D10">
        <w:t xml:space="preserve">Revised November 29, 2007. </w:t>
      </w:r>
      <w:r>
        <w:t xml:space="preserve"> </w:t>
      </w:r>
      <w:r w:rsidRPr="00E86D10">
        <w:rPr>
          <w:i/>
        </w:rPr>
        <w:t xml:space="preserve">Contingency plan for the control of shellﬁsh potentially contaminated by marine biotoxin. </w:t>
      </w:r>
      <w:r w:rsidRPr="00E86D10">
        <w:t xml:space="preserve"> Tallahassee, FL. </w:t>
      </w:r>
    </w:p>
    <w:p w:rsidR="00485094" w:rsidRDefault="00485094" w:rsidP="00E25E53">
      <w:pPr>
        <w:pStyle w:val="References"/>
      </w:pPr>
      <w:r>
        <w:rPr>
          <w:snapToGrid w:val="0"/>
        </w:rPr>
        <w:t xml:space="preserve">———.  </w:t>
      </w:r>
      <w:r>
        <w:t xml:space="preserve">2010.  </w:t>
      </w:r>
      <w:r w:rsidRPr="00A81A6F">
        <w:rPr>
          <w:i/>
        </w:rPr>
        <w:t>Office of Agricultural Water Policy website.</w:t>
      </w:r>
      <w:r>
        <w:t xml:space="preserve">  Available:  </w:t>
      </w:r>
      <w:hyperlink r:id="rId216" w:history="1">
        <w:r w:rsidRPr="005F7EAB">
          <w:rPr>
            <w:rStyle w:val="Hyperlink"/>
          </w:rPr>
          <w:t>http://www.</w:t>
        </w:r>
        <w:r w:rsidRPr="005F7EAB">
          <w:rPr>
            <w:rStyle w:val="Hyperlink"/>
          </w:rPr>
          <w:br/>
          <w:t>floridaagwaterpolicy.com/</w:t>
        </w:r>
      </w:hyperlink>
      <w:r>
        <w:t>.</w:t>
      </w:r>
    </w:p>
    <w:p w:rsidR="00485094" w:rsidRDefault="00485094" w:rsidP="003917BD">
      <w:pPr>
        <w:pStyle w:val="References"/>
      </w:pPr>
      <w:r w:rsidRPr="0055773E">
        <w:t xml:space="preserve">Florida Department of Environmental Protection. </w:t>
      </w:r>
      <w:r>
        <w:t xml:space="preserve"> 1994.  </w:t>
      </w:r>
      <w:r w:rsidRPr="00524D83">
        <w:rPr>
          <w:i/>
        </w:rPr>
        <w:t xml:space="preserve">Florida coastal sediments contaminants atlas.  </w:t>
      </w:r>
      <w:r>
        <w:t xml:space="preserve">Available:  </w:t>
      </w:r>
      <w:hyperlink r:id="rId217" w:history="1">
        <w:r w:rsidRPr="005F7EAB">
          <w:rPr>
            <w:rStyle w:val="Hyperlink"/>
          </w:rPr>
          <w:t>http://publicfiles.dep.state.fl.us/FGS/FGS_Publications/</w:t>
        </w:r>
        <w:r w:rsidRPr="005F7EAB">
          <w:rPr>
            <w:rStyle w:val="Hyperlink"/>
          </w:rPr>
          <w:br/>
          <w:t>FGS%20Library%20Documents/FLCoastSedContamAtlas.pdf</w:t>
        </w:r>
      </w:hyperlink>
      <w:r>
        <w:t>.</w:t>
      </w:r>
      <w:r w:rsidRPr="0055773E">
        <w:t xml:space="preserve"> </w:t>
      </w:r>
    </w:p>
    <w:p w:rsidR="00485094" w:rsidRPr="003917BD" w:rsidRDefault="00485094" w:rsidP="003917BD">
      <w:pPr>
        <w:pStyle w:val="References"/>
      </w:pPr>
      <w:r>
        <w:t>———</w:t>
      </w:r>
      <w:r w:rsidRPr="003917BD">
        <w:t xml:space="preserve">.  </w:t>
      </w:r>
      <w:r>
        <w:t xml:space="preserve">2010. </w:t>
      </w:r>
      <w:r w:rsidRPr="003917BD">
        <w:t xml:space="preserve"> </w:t>
      </w:r>
      <w:r w:rsidRPr="003917BD">
        <w:rPr>
          <w:rStyle w:val="Emphasis"/>
          <w:rFonts w:cs="Arial"/>
          <w:color w:val="000000"/>
          <w:szCs w:val="22"/>
        </w:rPr>
        <w:t>1:24,000 High-Resolution, National Hydrography Dataset</w:t>
      </w:r>
      <w:r w:rsidRPr="003917BD">
        <w:t>.</w:t>
      </w:r>
    </w:p>
    <w:p w:rsidR="00485094" w:rsidRPr="0055773E" w:rsidRDefault="00485094" w:rsidP="00E25E53">
      <w:pPr>
        <w:pStyle w:val="References"/>
      </w:pPr>
      <w:r>
        <w:t xml:space="preserve">———.  </w:t>
      </w:r>
      <w:r w:rsidRPr="0055773E">
        <w:t xml:space="preserve">2000.  </w:t>
      </w:r>
      <w:r w:rsidRPr="0055773E">
        <w:rPr>
          <w:i/>
        </w:rPr>
        <w:t>Integrated water quality assessment for Florida: 200</w:t>
      </w:r>
      <w:r>
        <w:rPr>
          <w:i/>
        </w:rPr>
        <w:t>0</w:t>
      </w:r>
      <w:r w:rsidRPr="0055773E">
        <w:rPr>
          <w:i/>
        </w:rPr>
        <w:t xml:space="preserve"> 305(b) report and 303(d) list update.  </w:t>
      </w:r>
      <w:r w:rsidRPr="0055773E">
        <w:t>Tallahassee, FL</w:t>
      </w:r>
      <w:r>
        <w:t>:  Bureau of Watershed Management</w:t>
      </w:r>
      <w:r w:rsidRPr="0055773E">
        <w:t>.</w:t>
      </w:r>
      <w:r>
        <w:t xml:space="preserve">  Available:  </w:t>
      </w:r>
      <w:hyperlink r:id="rId218" w:history="1">
        <w:r w:rsidRPr="00C57FE5">
          <w:rPr>
            <w:rStyle w:val="Hyperlink"/>
          </w:rPr>
          <w:t>http://www.dep.state.fl.us/water/docs/2004_Integrated_Report.pdf</w:t>
        </w:r>
      </w:hyperlink>
      <w:r>
        <w:t>.</w:t>
      </w:r>
    </w:p>
    <w:p w:rsidR="00485094" w:rsidRDefault="00485094" w:rsidP="00E25E53">
      <w:pPr>
        <w:pStyle w:val="References"/>
      </w:pPr>
      <w:r>
        <w:t xml:space="preserve">———.  2000–06.  </w:t>
      </w:r>
      <w:r>
        <w:rPr>
          <w:i/>
        </w:rPr>
        <w:t>Basin</w:t>
      </w:r>
      <w:r w:rsidRPr="00024BBD">
        <w:rPr>
          <w:i/>
        </w:rPr>
        <w:t xml:space="preserve"> status reports and water quality assessment reports.</w:t>
      </w:r>
      <w:r>
        <w:t xml:space="preserve">  Available:  </w:t>
      </w:r>
      <w:hyperlink r:id="rId219" w:history="1">
        <w:r w:rsidRPr="00960D9A">
          <w:rPr>
            <w:rStyle w:val="Hyperlink"/>
          </w:rPr>
          <w:t>http://www.dep.state.fl.us/water/tmdl/stat_rep.htm</w:t>
        </w:r>
      </w:hyperlink>
      <w:r>
        <w:t>.</w:t>
      </w:r>
    </w:p>
    <w:p w:rsidR="00485094" w:rsidRDefault="00485094" w:rsidP="00E25E53">
      <w:pPr>
        <w:pStyle w:val="References"/>
      </w:pPr>
      <w:r w:rsidRPr="00BC425B">
        <w:rPr>
          <w:rFonts w:cs="Arial"/>
          <w:bCs/>
          <w:szCs w:val="22"/>
        </w:rPr>
        <w:t xml:space="preserve">———.  </w:t>
      </w:r>
      <w:r>
        <w:t xml:space="preserve">February 2001.  </w:t>
      </w:r>
      <w:r>
        <w:rPr>
          <w:i/>
        </w:rPr>
        <w:t>A report to the Governor and the Legislature on the allocation of Total Maximum Daily Loads in Florida.</w:t>
      </w:r>
      <w:r>
        <w:t xml:space="preserve">  Tallahassee, FL:  Bureau of Watershed Management. </w:t>
      </w:r>
    </w:p>
    <w:p w:rsidR="00485094" w:rsidRDefault="00485094" w:rsidP="00E25E53">
      <w:pPr>
        <w:pStyle w:val="References"/>
      </w:pPr>
      <w:r>
        <w:t xml:space="preserve">———.  May 1, 2001.  </w:t>
      </w:r>
      <w:r w:rsidRPr="0043598B">
        <w:rPr>
          <w:i/>
        </w:rPr>
        <w:t xml:space="preserve">Impaired </w:t>
      </w:r>
      <w:r>
        <w:rPr>
          <w:i/>
        </w:rPr>
        <w:t>s</w:t>
      </w:r>
      <w:r w:rsidRPr="0043598B">
        <w:rPr>
          <w:i/>
        </w:rPr>
        <w:t xml:space="preserve">urface </w:t>
      </w:r>
      <w:r>
        <w:rPr>
          <w:i/>
        </w:rPr>
        <w:t>w</w:t>
      </w:r>
      <w:r w:rsidRPr="0043598B">
        <w:rPr>
          <w:i/>
        </w:rPr>
        <w:t xml:space="preserve">aters </w:t>
      </w:r>
      <w:r>
        <w:rPr>
          <w:i/>
        </w:rPr>
        <w:t>r</w:t>
      </w:r>
      <w:r w:rsidRPr="0043598B">
        <w:rPr>
          <w:i/>
        </w:rPr>
        <w:t>ule</w:t>
      </w:r>
      <w:r>
        <w:rPr>
          <w:i/>
        </w:rPr>
        <w:t xml:space="preserve"> (draft–adopted version)</w:t>
      </w:r>
      <w:r w:rsidRPr="0043598B">
        <w:rPr>
          <w:i/>
        </w:rPr>
        <w:t>.</w:t>
      </w:r>
      <w:r>
        <w:t xml:space="preserve">  Available:  </w:t>
      </w:r>
      <w:hyperlink r:id="rId220" w:history="1">
        <w:r w:rsidRPr="006836C8">
          <w:rPr>
            <w:rStyle w:val="Hyperlink"/>
          </w:rPr>
          <w:t>http://www.dep.state.fl.us/water/tmdl/docs/AmendedIWR.pdf</w:t>
        </w:r>
      </w:hyperlink>
      <w:r>
        <w:t>.</w:t>
      </w:r>
    </w:p>
    <w:p w:rsidR="00485094" w:rsidRDefault="00485094" w:rsidP="00E25E53">
      <w:pPr>
        <w:pStyle w:val="References"/>
      </w:pPr>
      <w:r w:rsidRPr="00024BBD">
        <w:t>———.  Ja</w:t>
      </w:r>
      <w:r>
        <w:t xml:space="preserve">nuary 2003.  </w:t>
      </w:r>
      <w:r w:rsidRPr="00EC6624">
        <w:rPr>
          <w:i/>
        </w:rPr>
        <w:t>Interpretative tool for the assessment of metal enrichment in Florida freshwater sediment.</w:t>
      </w:r>
      <w:r w:rsidRPr="00024BBD">
        <w:t xml:space="preserve">  </w:t>
      </w:r>
      <w:r>
        <w:t xml:space="preserve">Available:  </w:t>
      </w:r>
      <w:hyperlink r:id="rId221" w:history="1">
        <w:r w:rsidRPr="003A7A81">
          <w:rPr>
            <w:rStyle w:val="Hyperlink"/>
          </w:rPr>
          <w:t>http://www.dep.state.fl.us/water/monitoring/fwseds.htm</w:t>
        </w:r>
      </w:hyperlink>
      <w:r>
        <w:t>.</w:t>
      </w:r>
    </w:p>
    <w:p w:rsidR="00485094" w:rsidRDefault="00485094" w:rsidP="00E25E53">
      <w:pPr>
        <w:pStyle w:val="References"/>
      </w:pPr>
      <w:r w:rsidRPr="00024BBD">
        <w:t xml:space="preserve">———.  2004.  </w:t>
      </w:r>
      <w:r w:rsidRPr="0055773E">
        <w:rPr>
          <w:i/>
        </w:rPr>
        <w:t xml:space="preserve">Integrated water quality assessment for Florida: </w:t>
      </w:r>
      <w:r>
        <w:rPr>
          <w:i/>
        </w:rPr>
        <w:t xml:space="preserve"> </w:t>
      </w:r>
      <w:r w:rsidRPr="0055773E">
        <w:rPr>
          <w:i/>
        </w:rPr>
        <w:t>200</w:t>
      </w:r>
      <w:r>
        <w:rPr>
          <w:i/>
        </w:rPr>
        <w:t>4</w:t>
      </w:r>
      <w:r w:rsidRPr="0055773E">
        <w:rPr>
          <w:i/>
        </w:rPr>
        <w:t xml:space="preserve"> 305(b) report and 303(d) list update.  </w:t>
      </w:r>
      <w:r w:rsidRPr="0055773E">
        <w:t>Tallahassee, FL</w:t>
      </w:r>
      <w:r>
        <w:t>:  Bureau of Watershed Management</w:t>
      </w:r>
      <w:r w:rsidRPr="0055773E">
        <w:t>.</w:t>
      </w:r>
      <w:r>
        <w:t xml:space="preserve">  Available:  </w:t>
      </w:r>
      <w:hyperlink r:id="rId222" w:history="1">
        <w:r w:rsidRPr="003A7A81">
          <w:rPr>
            <w:rStyle w:val="Hyperlink"/>
          </w:rPr>
          <w:t>http://www.dep.state.fl.us/water/docs/2004_Integrated_Report.pdf</w:t>
        </w:r>
      </w:hyperlink>
      <w:r>
        <w:t>.</w:t>
      </w:r>
    </w:p>
    <w:p w:rsidR="00485094" w:rsidRDefault="00485094" w:rsidP="007D132A">
      <w:pPr>
        <w:pStyle w:val="References"/>
      </w:pPr>
      <w:r>
        <w:t xml:space="preserve">———.  </w:t>
      </w:r>
      <w:r w:rsidRPr="007D132A">
        <w:t>February 1, 2004.</w:t>
      </w:r>
      <w:r>
        <w:rPr>
          <w:i/>
        </w:rPr>
        <w:t xml:space="preserve">  </w:t>
      </w:r>
      <w:r w:rsidRPr="005D5F8D">
        <w:rPr>
          <w:i/>
        </w:rPr>
        <w:t xml:space="preserve">Standard </w:t>
      </w:r>
      <w:r>
        <w:rPr>
          <w:i/>
        </w:rPr>
        <w:t>o</w:t>
      </w:r>
      <w:r w:rsidRPr="005D5F8D">
        <w:rPr>
          <w:i/>
        </w:rPr>
        <w:t xml:space="preserve">perating </w:t>
      </w:r>
      <w:r>
        <w:rPr>
          <w:i/>
        </w:rPr>
        <w:t>p</w:t>
      </w:r>
      <w:r w:rsidRPr="005D5F8D">
        <w:rPr>
          <w:i/>
        </w:rPr>
        <w:t xml:space="preserve">rocedures for </w:t>
      </w:r>
      <w:r>
        <w:rPr>
          <w:i/>
        </w:rPr>
        <w:t>f</w:t>
      </w:r>
      <w:r w:rsidRPr="005D5F8D">
        <w:rPr>
          <w:i/>
        </w:rPr>
        <w:t xml:space="preserve">ield </w:t>
      </w:r>
      <w:r>
        <w:rPr>
          <w:i/>
        </w:rPr>
        <w:t>a</w:t>
      </w:r>
      <w:r w:rsidRPr="005D5F8D">
        <w:rPr>
          <w:i/>
        </w:rPr>
        <w:t>ctivitie</w:t>
      </w:r>
      <w:r>
        <w:rPr>
          <w:i/>
        </w:rPr>
        <w:t xml:space="preserve">s </w:t>
      </w:r>
      <w:r>
        <w:rPr>
          <w:i/>
          <w:snapToGrid w:val="0"/>
        </w:rPr>
        <w:t>website</w:t>
      </w:r>
      <w:r w:rsidRPr="00DA23A4">
        <w:t xml:space="preserve">.  </w:t>
      </w:r>
      <w:r>
        <w:br/>
      </w:r>
      <w:r w:rsidRPr="00DA23A4">
        <w:t>F</w:t>
      </w:r>
      <w:r w:rsidRPr="003A6D43">
        <w:t>DEP-SOP-001/01</w:t>
      </w:r>
      <w:r>
        <w:t xml:space="preserve">.  Available:  </w:t>
      </w:r>
      <w:hyperlink r:id="rId223" w:history="1">
        <w:r w:rsidRPr="006836C8">
          <w:rPr>
            <w:rStyle w:val="Hyperlink"/>
          </w:rPr>
          <w:t>http://www.dep.state.fl.us/labs/qa/qadocument.htm</w:t>
        </w:r>
      </w:hyperlink>
      <w:r>
        <w:t>.</w:t>
      </w:r>
    </w:p>
    <w:p w:rsidR="00485094" w:rsidRDefault="00485094" w:rsidP="00E25E53">
      <w:pPr>
        <w:pStyle w:val="References"/>
      </w:pPr>
      <w:r>
        <w:t xml:space="preserve">———.  December 22, 2004 (revised March 30, 2005).  </w:t>
      </w:r>
      <w:r w:rsidRPr="00A22CD9">
        <w:rPr>
          <w:i/>
        </w:rPr>
        <w:t xml:space="preserve">Elements of Florida’s </w:t>
      </w:r>
      <w:r>
        <w:rPr>
          <w:i/>
        </w:rPr>
        <w:t>w</w:t>
      </w:r>
      <w:r w:rsidRPr="00A22CD9">
        <w:rPr>
          <w:i/>
        </w:rPr>
        <w:t xml:space="preserve">ater </w:t>
      </w:r>
      <w:r>
        <w:rPr>
          <w:i/>
        </w:rPr>
        <w:t>m</w:t>
      </w:r>
      <w:r w:rsidRPr="00A22CD9">
        <w:rPr>
          <w:i/>
        </w:rPr>
        <w:t xml:space="preserve">onitoring and </w:t>
      </w:r>
      <w:r>
        <w:rPr>
          <w:i/>
        </w:rPr>
        <w:t>a</w:t>
      </w:r>
      <w:r w:rsidRPr="00A22CD9">
        <w:rPr>
          <w:i/>
        </w:rPr>
        <w:t xml:space="preserve">ssessment </w:t>
      </w:r>
      <w:r>
        <w:rPr>
          <w:i/>
        </w:rPr>
        <w:t>p</w:t>
      </w:r>
      <w:r w:rsidRPr="00A22CD9">
        <w:rPr>
          <w:i/>
        </w:rPr>
        <w:t>rogram.</w:t>
      </w:r>
      <w:r>
        <w:t xml:space="preserve">  Tallahassee, FL:  Division of Water Resource Management, Bureau of Watershed Management.  Available:  </w:t>
      </w:r>
      <w:hyperlink r:id="rId224" w:history="1">
        <w:r w:rsidRPr="005F7EAB">
          <w:rPr>
            <w:rStyle w:val="Hyperlink"/>
          </w:rPr>
          <w:t>http://www.dep.state.fl.us/</w:t>
        </w:r>
        <w:r w:rsidRPr="005F7EAB">
          <w:rPr>
            <w:rStyle w:val="Hyperlink"/>
          </w:rPr>
          <w:br/>
          <w:t>water/monitoring/docs/MonitoringStrategy_106.pdf</w:t>
        </w:r>
      </w:hyperlink>
      <w:r>
        <w:t>.</w:t>
      </w:r>
    </w:p>
    <w:p w:rsidR="00485094" w:rsidRDefault="00485094" w:rsidP="00C16C1C">
      <w:pPr>
        <w:pStyle w:val="References"/>
      </w:pPr>
      <w:r w:rsidRPr="0089022E">
        <w:t xml:space="preserve">———.  </w:t>
      </w:r>
      <w:r>
        <w:t xml:space="preserve">2006a.  </w:t>
      </w:r>
      <w:r>
        <w:rPr>
          <w:i/>
        </w:rPr>
        <w:t xml:space="preserve">South Florida Mercury Science Program </w:t>
      </w:r>
      <w:r>
        <w:rPr>
          <w:i/>
          <w:snapToGrid w:val="0"/>
        </w:rPr>
        <w:t>website</w:t>
      </w:r>
      <w:r>
        <w:rPr>
          <w:i/>
        </w:rPr>
        <w:t xml:space="preserve">.  </w:t>
      </w:r>
      <w:r w:rsidRPr="0089022E">
        <w:t>Available:</w:t>
      </w:r>
      <w:r>
        <w:rPr>
          <w:u w:val="single"/>
        </w:rPr>
        <w:t xml:space="preserve">  </w:t>
      </w:r>
      <w:hyperlink r:id="rId225" w:history="1">
        <w:r w:rsidRPr="006836C8">
          <w:rPr>
            <w:rStyle w:val="Hyperlink"/>
            <w:szCs w:val="22"/>
          </w:rPr>
          <w:t>http://www.dep.state.fl.us/labs/mercury/index.htm</w:t>
        </w:r>
      </w:hyperlink>
      <w:r>
        <w:t xml:space="preserve">.  </w:t>
      </w:r>
    </w:p>
    <w:p w:rsidR="00485094" w:rsidRDefault="00485094" w:rsidP="00C16C1C">
      <w:pPr>
        <w:pStyle w:val="References"/>
      </w:pPr>
      <w:r w:rsidRPr="00BC425B">
        <w:rPr>
          <w:rFonts w:cs="Arial"/>
          <w:bCs/>
          <w:szCs w:val="22"/>
        </w:rPr>
        <w:t>———.  2006</w:t>
      </w:r>
      <w:r>
        <w:rPr>
          <w:rFonts w:cs="Arial"/>
          <w:bCs/>
          <w:szCs w:val="22"/>
        </w:rPr>
        <w:t>b</w:t>
      </w:r>
      <w:r w:rsidRPr="00BC425B">
        <w:rPr>
          <w:rFonts w:cs="Arial"/>
          <w:bCs/>
          <w:szCs w:val="22"/>
        </w:rPr>
        <w:t xml:space="preserve">.  </w:t>
      </w:r>
      <w:r w:rsidRPr="00BC425B">
        <w:rPr>
          <w:i/>
        </w:rPr>
        <w:t>Criteria for surface water quality classifications</w:t>
      </w:r>
      <w:r>
        <w:rPr>
          <w:i/>
        </w:rPr>
        <w:t xml:space="preserve"> </w:t>
      </w:r>
      <w:r>
        <w:rPr>
          <w:i/>
          <w:snapToGrid w:val="0"/>
        </w:rPr>
        <w:t>website</w:t>
      </w:r>
      <w:r w:rsidRPr="00BC425B">
        <w:rPr>
          <w:i/>
        </w:rPr>
        <w:t>.</w:t>
      </w:r>
      <w:r w:rsidRPr="00BC425B">
        <w:t xml:space="preserve">  Available:  </w:t>
      </w:r>
      <w:hyperlink r:id="rId226" w:history="1">
        <w:r w:rsidRPr="00FE505A">
          <w:rPr>
            <w:rStyle w:val="Hyperlink"/>
          </w:rPr>
          <w:t>http://www.dep.state.fl.us/water/wqssp/classes.htm</w:t>
        </w:r>
      </w:hyperlink>
      <w:r>
        <w:t>.</w:t>
      </w:r>
    </w:p>
    <w:p w:rsidR="00485094" w:rsidRDefault="00485094" w:rsidP="00C16C1C">
      <w:pPr>
        <w:pStyle w:val="References"/>
        <w:rPr>
          <w:u w:val="single"/>
        </w:rPr>
      </w:pPr>
      <w:r>
        <w:rPr>
          <w:rFonts w:cs="Arial"/>
          <w:bCs/>
          <w:szCs w:val="22"/>
        </w:rPr>
        <w:t xml:space="preserve">———.  </w:t>
      </w:r>
      <w:r>
        <w:t xml:space="preserve">2006c.  </w:t>
      </w:r>
      <w:r w:rsidRPr="0089022E">
        <w:rPr>
          <w:i/>
        </w:rPr>
        <w:t>Florida’s springs:  Protecting native gems</w:t>
      </w:r>
      <w:r>
        <w:t xml:space="preserve">.  Available:  </w:t>
      </w:r>
      <w:hyperlink r:id="rId227" w:history="1">
        <w:r w:rsidRPr="00B330F5">
          <w:rPr>
            <w:rStyle w:val="Hyperlink"/>
            <w:szCs w:val="22"/>
          </w:rPr>
          <w:t>www.floridasprings.org</w:t>
        </w:r>
      </w:hyperlink>
      <w:r>
        <w:rPr>
          <w:u w:val="single"/>
        </w:rPr>
        <w:t>.</w:t>
      </w:r>
    </w:p>
    <w:p w:rsidR="00485094" w:rsidRDefault="00485094" w:rsidP="00C16C1C">
      <w:pPr>
        <w:pStyle w:val="References"/>
        <w:rPr>
          <w:snapToGrid w:val="0"/>
        </w:rPr>
      </w:pPr>
      <w:r>
        <w:rPr>
          <w:snapToGrid w:val="0"/>
        </w:rPr>
        <w:t xml:space="preserve">———.  2006d.  </w:t>
      </w:r>
      <w:r w:rsidRPr="008B4FA5">
        <w:rPr>
          <w:i/>
          <w:snapToGrid w:val="0"/>
        </w:rPr>
        <w:t>Drinking Water Program</w:t>
      </w:r>
      <w:r>
        <w:rPr>
          <w:i/>
          <w:snapToGrid w:val="0"/>
        </w:rPr>
        <w:t xml:space="preserve"> website</w:t>
      </w:r>
      <w:r w:rsidRPr="008B4FA5">
        <w:rPr>
          <w:i/>
          <w:snapToGrid w:val="0"/>
        </w:rPr>
        <w:t xml:space="preserve">. </w:t>
      </w:r>
      <w:r>
        <w:rPr>
          <w:snapToGrid w:val="0"/>
        </w:rPr>
        <w:t xml:space="preserve"> Available:  </w:t>
      </w:r>
      <w:hyperlink r:id="rId228" w:history="1">
        <w:r w:rsidRPr="005F7EAB">
          <w:rPr>
            <w:rStyle w:val="Hyperlink"/>
            <w:snapToGrid w:val="0"/>
          </w:rPr>
          <w:t>http://www.dep.state.fl.us/</w:t>
        </w:r>
        <w:r w:rsidRPr="005F7EAB">
          <w:rPr>
            <w:rStyle w:val="Hyperlink"/>
            <w:snapToGrid w:val="0"/>
          </w:rPr>
          <w:br/>
          <w:t>water/drinkingwater/index.htm</w:t>
        </w:r>
      </w:hyperlink>
      <w:r>
        <w:rPr>
          <w:snapToGrid w:val="0"/>
        </w:rPr>
        <w:t>.</w:t>
      </w:r>
    </w:p>
    <w:p w:rsidR="00485094" w:rsidRPr="00FE2E60" w:rsidRDefault="00485094" w:rsidP="00E25E53">
      <w:pPr>
        <w:pStyle w:val="References"/>
      </w:pPr>
      <w:r>
        <w:rPr>
          <w:rFonts w:cs="Arial"/>
          <w:bCs/>
          <w:szCs w:val="22"/>
        </w:rPr>
        <w:lastRenderedPageBreak/>
        <w:t xml:space="preserve">———.  2006e.  </w:t>
      </w:r>
      <w:r w:rsidRPr="00EC6624">
        <w:rPr>
          <w:rFonts w:cs="Arial"/>
          <w:bCs/>
          <w:i/>
          <w:szCs w:val="22"/>
        </w:rPr>
        <w:t>STORET Program</w:t>
      </w:r>
      <w:r>
        <w:rPr>
          <w:rFonts w:cs="Arial"/>
          <w:bCs/>
          <w:i/>
          <w:szCs w:val="22"/>
        </w:rPr>
        <w:t xml:space="preserve"> </w:t>
      </w:r>
      <w:r>
        <w:rPr>
          <w:i/>
          <w:snapToGrid w:val="0"/>
        </w:rPr>
        <w:t>website</w:t>
      </w:r>
      <w:r w:rsidRPr="00EC6624">
        <w:rPr>
          <w:rFonts w:cs="Arial"/>
          <w:bCs/>
          <w:i/>
          <w:szCs w:val="22"/>
        </w:rPr>
        <w:t>.</w:t>
      </w:r>
      <w:r>
        <w:rPr>
          <w:rFonts w:cs="Arial"/>
          <w:bCs/>
          <w:szCs w:val="22"/>
        </w:rPr>
        <w:t xml:space="preserve">  Available</w:t>
      </w:r>
      <w:r w:rsidRPr="00FE2E60">
        <w:t xml:space="preserve">:  </w:t>
      </w:r>
      <w:hyperlink r:id="rId229" w:history="1">
        <w:r w:rsidRPr="005F7EAB">
          <w:rPr>
            <w:rStyle w:val="Hyperlink"/>
          </w:rPr>
          <w:t>http://www.dep.state.fl.us/water/</w:t>
        </w:r>
        <w:r w:rsidRPr="005F7EAB">
          <w:rPr>
            <w:rStyle w:val="Hyperlink"/>
          </w:rPr>
          <w:br/>
          <w:t>storet/index.htm</w:t>
        </w:r>
      </w:hyperlink>
      <w:r w:rsidRPr="00FE2E60">
        <w:t>.</w:t>
      </w:r>
    </w:p>
    <w:p w:rsidR="00485094" w:rsidRDefault="00485094" w:rsidP="00E25E53">
      <w:pPr>
        <w:pStyle w:val="References"/>
      </w:pPr>
      <w:r w:rsidRPr="00024BBD">
        <w:t xml:space="preserve">———.  </w:t>
      </w:r>
      <w:r>
        <w:t>May 2, 2006</w:t>
      </w:r>
      <w:r w:rsidRPr="00024BBD">
        <w:t xml:space="preserve">.  </w:t>
      </w:r>
      <w:r w:rsidRPr="0055773E">
        <w:rPr>
          <w:i/>
        </w:rPr>
        <w:t>Integrated water quality assessment for Florida: 200</w:t>
      </w:r>
      <w:r>
        <w:rPr>
          <w:i/>
        </w:rPr>
        <w:t>6</w:t>
      </w:r>
      <w:r w:rsidRPr="0055773E">
        <w:rPr>
          <w:i/>
        </w:rPr>
        <w:t xml:space="preserve"> 305(b) report and 303(d) list update.  </w:t>
      </w:r>
      <w:r w:rsidRPr="0055773E">
        <w:t>Tallahassee, FL</w:t>
      </w:r>
      <w:r>
        <w:t>:  Bureau of Watershed Management</w:t>
      </w:r>
      <w:r w:rsidRPr="0055773E">
        <w:t>.</w:t>
      </w:r>
      <w:r>
        <w:t xml:space="preserve">  Available:  </w:t>
      </w:r>
      <w:hyperlink r:id="rId230" w:history="1">
        <w:r w:rsidRPr="003A7A81">
          <w:rPr>
            <w:rStyle w:val="Hyperlink"/>
          </w:rPr>
          <w:t>http://www.dep.state.fl.us/water/docs/2006_Integrated_Report.pdf</w:t>
        </w:r>
      </w:hyperlink>
      <w:r>
        <w:t>.</w:t>
      </w:r>
    </w:p>
    <w:p w:rsidR="00485094" w:rsidRDefault="00485094" w:rsidP="00E25E53">
      <w:pPr>
        <w:pStyle w:val="References"/>
      </w:pPr>
      <w:r w:rsidRPr="00024BBD">
        <w:t xml:space="preserve">———.  </w:t>
      </w:r>
      <w:r>
        <w:t xml:space="preserve">December 2006.  </w:t>
      </w:r>
      <w:r w:rsidRPr="00E73100">
        <w:rPr>
          <w:i/>
        </w:rPr>
        <w:t xml:space="preserve">Canal </w:t>
      </w:r>
      <w:r w:rsidRPr="004E22EE">
        <w:rPr>
          <w:i/>
        </w:rPr>
        <w:t>recharge:  A report to the Legislature and Governor.</w:t>
      </w:r>
      <w:r>
        <w:t xml:space="preserve">  Preliminary draft report.  Division of Water Resource Management in consultation with the South Florida Water Management District.  Available:  </w:t>
      </w:r>
      <w:hyperlink r:id="rId231" w:history="1">
        <w:r w:rsidRPr="00C57FE5">
          <w:rPr>
            <w:rStyle w:val="Hyperlink"/>
          </w:rPr>
          <w:t>http://www.dep.state.fl.us/water/wqssp/docs/CanalRechargeReport.pdf</w:t>
        </w:r>
      </w:hyperlink>
      <w:r>
        <w:t>.</w:t>
      </w:r>
    </w:p>
    <w:p w:rsidR="00485094" w:rsidRDefault="00485094" w:rsidP="00E25E53">
      <w:pPr>
        <w:pStyle w:val="References"/>
      </w:pPr>
      <w:r w:rsidRPr="009C0237">
        <w:t xml:space="preserve">———.  </w:t>
      </w:r>
      <w:r>
        <w:t xml:space="preserve">September 2007.  </w:t>
      </w:r>
      <w:r w:rsidRPr="005B766F">
        <w:rPr>
          <w:i/>
        </w:rPr>
        <w:t xml:space="preserve">Plan for development of a statewide total maximum daily load for mercury (mercury TMDL).  </w:t>
      </w:r>
      <w:r>
        <w:t xml:space="preserve">Tallahassee, FL:  Division of Water Resource Management and Division of Air Resource Management, Bureau of Laboratories.  Available:  </w:t>
      </w:r>
      <w:hyperlink r:id="rId232" w:history="1">
        <w:r w:rsidR="00431B2F" w:rsidRPr="00BF2DFB">
          <w:rPr>
            <w:rStyle w:val="Hyperlink"/>
          </w:rPr>
          <w:t>http://dep.state.fl.us/</w:t>
        </w:r>
        <w:r w:rsidR="000309E2" w:rsidRPr="000309E2">
          <w:rPr>
            <w:rStyle w:val="Hyperlink"/>
          </w:rPr>
          <w:t>water/tmdl/docs/tmdls/merc-tmdl-plan-draft.pdf</w:t>
        </w:r>
      </w:hyperlink>
      <w:r>
        <w:t>.</w:t>
      </w:r>
    </w:p>
    <w:p w:rsidR="00485094" w:rsidRDefault="00485094" w:rsidP="00E25E53">
      <w:pPr>
        <w:pStyle w:val="References"/>
      </w:pPr>
      <w:r w:rsidRPr="00CA461C">
        <w:t xml:space="preserve">———.  </w:t>
      </w:r>
      <w:r>
        <w:t>October 2008</w:t>
      </w:r>
      <w:r w:rsidRPr="00024BBD">
        <w:t xml:space="preserve">.  </w:t>
      </w:r>
      <w:r w:rsidRPr="0055773E">
        <w:rPr>
          <w:i/>
        </w:rPr>
        <w:t>Integrated water quality assessment for Florida: 200</w:t>
      </w:r>
      <w:r>
        <w:rPr>
          <w:i/>
        </w:rPr>
        <w:t>9</w:t>
      </w:r>
      <w:r w:rsidRPr="0055773E">
        <w:rPr>
          <w:i/>
        </w:rPr>
        <w:t xml:space="preserve"> 305(b) report and 303(d) list update.  </w:t>
      </w:r>
      <w:r w:rsidRPr="0055773E">
        <w:t>Tallahassee, FL</w:t>
      </w:r>
      <w:r>
        <w:t>:  Bureau of Watershed Management</w:t>
      </w:r>
      <w:r w:rsidRPr="0055773E">
        <w:t>.</w:t>
      </w:r>
      <w:r>
        <w:t xml:space="preserve">  Available:  </w:t>
      </w:r>
      <w:hyperlink r:id="rId233" w:history="1">
        <w:r w:rsidRPr="003A7A81">
          <w:rPr>
            <w:rStyle w:val="Hyperlink"/>
          </w:rPr>
          <w:t>http://www.dep.state.fl.us/water/docs/2008_Integrated_Report.pdf</w:t>
        </w:r>
      </w:hyperlink>
      <w:r>
        <w:t>.</w:t>
      </w:r>
    </w:p>
    <w:p w:rsidR="00485094" w:rsidRDefault="00485094" w:rsidP="00A81A6F">
      <w:pPr>
        <w:pStyle w:val="References"/>
      </w:pPr>
      <w:r>
        <w:t xml:space="preserve">———.  December 3, 2008.  </w:t>
      </w:r>
      <w:r w:rsidRPr="00136F87">
        <w:rPr>
          <w:i/>
        </w:rPr>
        <w:t>Standard operating procedures for field activities</w:t>
      </w:r>
      <w:r>
        <w:rPr>
          <w:i/>
        </w:rPr>
        <w:t xml:space="preserve"> </w:t>
      </w:r>
      <w:r>
        <w:rPr>
          <w:i/>
          <w:snapToGrid w:val="0"/>
        </w:rPr>
        <w:t>website</w:t>
      </w:r>
      <w:r w:rsidRPr="00136F87">
        <w:rPr>
          <w:i/>
        </w:rPr>
        <w:t>.</w:t>
      </w:r>
      <w:r>
        <w:t xml:space="preserve">  Available:  </w:t>
      </w:r>
      <w:hyperlink r:id="rId234" w:history="1">
        <w:r w:rsidRPr="00C57FE5">
          <w:rPr>
            <w:rStyle w:val="Hyperlink"/>
          </w:rPr>
          <w:t>http://www.dep.state.fl.us/labs/qa/sops.htm</w:t>
        </w:r>
      </w:hyperlink>
      <w:r>
        <w:t>.</w:t>
      </w:r>
    </w:p>
    <w:p w:rsidR="00485094" w:rsidRDefault="00485094" w:rsidP="003B2A1B">
      <w:pPr>
        <w:pStyle w:val="References"/>
      </w:pPr>
      <w:r>
        <w:t xml:space="preserve">———.  2010a.  </w:t>
      </w:r>
      <w:r w:rsidRPr="00B820CA">
        <w:rPr>
          <w:i/>
        </w:rPr>
        <w:t>Blue-green algae</w:t>
      </w:r>
      <w:r>
        <w:rPr>
          <w:i/>
        </w:rPr>
        <w:t xml:space="preserve"> </w:t>
      </w:r>
      <w:r>
        <w:rPr>
          <w:i/>
          <w:snapToGrid w:val="0"/>
        </w:rPr>
        <w:t>website</w:t>
      </w:r>
      <w:r w:rsidRPr="00B820CA">
        <w:rPr>
          <w:i/>
        </w:rPr>
        <w:t>.</w:t>
      </w:r>
      <w:r>
        <w:t xml:space="preserve">  Available:  </w:t>
      </w:r>
      <w:hyperlink r:id="rId235" w:history="1">
        <w:r w:rsidRPr="005F7EAB">
          <w:rPr>
            <w:rStyle w:val="Hyperlink"/>
          </w:rPr>
          <w:t>http://www.dep.state.fl.us/water/</w:t>
        </w:r>
        <w:r w:rsidRPr="005F7EAB">
          <w:rPr>
            <w:rStyle w:val="Hyperlink"/>
          </w:rPr>
          <w:br/>
          <w:t>bgalgae/index.htm</w:t>
        </w:r>
      </w:hyperlink>
      <w:r>
        <w:t>.</w:t>
      </w:r>
    </w:p>
    <w:p w:rsidR="00485094" w:rsidRDefault="00485094" w:rsidP="001E335C">
      <w:pPr>
        <w:pStyle w:val="References"/>
      </w:pPr>
      <w:r>
        <w:t xml:space="preserve">———.  2010b.  </w:t>
      </w:r>
      <w:r w:rsidRPr="001E335C">
        <w:rPr>
          <w:i/>
        </w:rPr>
        <w:t>Bureau</w:t>
      </w:r>
      <w:r>
        <w:t xml:space="preserve"> </w:t>
      </w:r>
      <w:r w:rsidRPr="001E335C">
        <w:rPr>
          <w:i/>
        </w:rPr>
        <w:t>of Petroleum Storage Systems website.</w:t>
      </w:r>
      <w:r>
        <w:t xml:space="preserve">  Available:  </w:t>
      </w:r>
      <w:hyperlink r:id="rId236" w:history="1">
        <w:r w:rsidRPr="005F7EAB">
          <w:rPr>
            <w:rStyle w:val="Hyperlink"/>
          </w:rPr>
          <w:t>http://www.dep.</w:t>
        </w:r>
        <w:r w:rsidRPr="005F7EAB">
          <w:rPr>
            <w:rStyle w:val="Hyperlink"/>
          </w:rPr>
          <w:br/>
          <w:t>state.fl.us/waste/categories/pss/default.htm</w:t>
        </w:r>
      </w:hyperlink>
      <w:r>
        <w:t>.</w:t>
      </w:r>
    </w:p>
    <w:p w:rsidR="00485094" w:rsidRDefault="00485094" w:rsidP="001E335C">
      <w:pPr>
        <w:pStyle w:val="References"/>
      </w:pPr>
      <w:r>
        <w:t xml:space="preserve">———.  2010c.  </w:t>
      </w:r>
      <w:r w:rsidRPr="001E335C">
        <w:rPr>
          <w:i/>
        </w:rPr>
        <w:t>Delineation Program website.</w:t>
      </w:r>
      <w:r>
        <w:t xml:space="preserve">  Available:  </w:t>
      </w:r>
      <w:hyperlink r:id="rId237" w:history="1">
        <w:r w:rsidRPr="005F7EAB">
          <w:rPr>
            <w:rStyle w:val="Hyperlink"/>
          </w:rPr>
          <w:t>http://www.dep.state.fl.us/water/</w:t>
        </w:r>
        <w:r w:rsidRPr="005F7EAB">
          <w:rPr>
            <w:rStyle w:val="Hyperlink"/>
          </w:rPr>
          <w:br/>
          <w:t>groundwater/delineate.htm</w:t>
        </w:r>
      </w:hyperlink>
      <w:r>
        <w:t>.</w:t>
      </w:r>
    </w:p>
    <w:p w:rsidR="00485094" w:rsidRDefault="00485094" w:rsidP="001E335C">
      <w:pPr>
        <w:pStyle w:val="References"/>
      </w:pPr>
      <w:r>
        <w:t xml:space="preserve">———.  2010d.  </w:t>
      </w:r>
      <w:r w:rsidRPr="001E335C">
        <w:rPr>
          <w:i/>
        </w:rPr>
        <w:t>Drinking Water Program website.</w:t>
      </w:r>
      <w:r>
        <w:t xml:space="preserve">  Available:  </w:t>
      </w:r>
      <w:hyperlink r:id="rId238" w:history="1">
        <w:r w:rsidRPr="005F7EAB">
          <w:rPr>
            <w:rStyle w:val="Hyperlink"/>
          </w:rPr>
          <w:t>http://www.dep.state.fl.us/water/</w:t>
        </w:r>
        <w:r w:rsidRPr="005F7EAB">
          <w:rPr>
            <w:rStyle w:val="Hyperlink"/>
          </w:rPr>
          <w:br/>
          <w:t>drinkingwater/</w:t>
        </w:r>
      </w:hyperlink>
      <w:r>
        <w:t>.</w:t>
      </w:r>
    </w:p>
    <w:p w:rsidR="00485094" w:rsidRDefault="00485094" w:rsidP="001E335C">
      <w:pPr>
        <w:pStyle w:val="References"/>
      </w:pPr>
      <w:r>
        <w:t xml:space="preserve">———.  2010e.  </w:t>
      </w:r>
      <w:r w:rsidRPr="001E335C">
        <w:rPr>
          <w:i/>
        </w:rPr>
        <w:t>Drinking Water Toxics Program website.</w:t>
      </w:r>
      <w:r>
        <w:t xml:space="preserve">  Available:  </w:t>
      </w:r>
      <w:hyperlink r:id="rId239" w:anchor="Drinking2" w:history="1">
        <w:r w:rsidRPr="005F7EAB">
          <w:rPr>
            <w:rStyle w:val="Hyperlink"/>
          </w:rPr>
          <w:t>http://www.doh.state.fl.us/</w:t>
        </w:r>
        <w:r w:rsidRPr="005F7EAB">
          <w:rPr>
            <w:rStyle w:val="Hyperlink"/>
          </w:rPr>
          <w:br/>
          <w:t>Environment/water/index.html#Drinking2</w:t>
        </w:r>
      </w:hyperlink>
      <w:r>
        <w:t>.</w:t>
      </w:r>
    </w:p>
    <w:p w:rsidR="00485094" w:rsidRDefault="00485094" w:rsidP="003B2A1B">
      <w:pPr>
        <w:pStyle w:val="References"/>
        <w:rPr>
          <w:rFonts w:eastAsia="Arial Unicode MS"/>
        </w:rPr>
      </w:pPr>
      <w:r>
        <w:t xml:space="preserve">———.  </w:t>
      </w:r>
      <w:r>
        <w:rPr>
          <w:rFonts w:eastAsia="Arial Unicode MS"/>
        </w:rPr>
        <w:t xml:space="preserve">2010f.  </w:t>
      </w:r>
      <w:r w:rsidRPr="00D0731D">
        <w:rPr>
          <w:rFonts w:eastAsia="Arial Unicode MS"/>
          <w:i/>
        </w:rPr>
        <w:t>Drinking Water Program website.</w:t>
      </w:r>
      <w:r>
        <w:rPr>
          <w:rFonts w:eastAsia="Arial Unicode MS"/>
        </w:rPr>
        <w:t xml:space="preserve">  Available:  </w:t>
      </w:r>
      <w:hyperlink r:id="rId240" w:history="1">
        <w:r w:rsidRPr="005F7EAB">
          <w:rPr>
            <w:rStyle w:val="Hyperlink"/>
            <w:rFonts w:eastAsia="Arial Unicode MS"/>
          </w:rPr>
          <w:t>http://www.dep.state.fl.us/water/</w:t>
        </w:r>
        <w:r w:rsidRPr="005F7EAB">
          <w:rPr>
            <w:rStyle w:val="Hyperlink"/>
            <w:rFonts w:eastAsia="Arial Unicode MS"/>
          </w:rPr>
          <w:br/>
          <w:t>drinkingwater/index.htm</w:t>
        </w:r>
      </w:hyperlink>
      <w:r>
        <w:rPr>
          <w:rFonts w:eastAsia="Arial Unicode MS"/>
        </w:rPr>
        <w:t>.</w:t>
      </w:r>
    </w:p>
    <w:p w:rsidR="00485094" w:rsidRDefault="00485094" w:rsidP="003B2A1B">
      <w:pPr>
        <w:pStyle w:val="References"/>
        <w:rPr>
          <w:rFonts w:eastAsia="Arial Unicode MS"/>
        </w:rPr>
      </w:pPr>
      <w:r>
        <w:t xml:space="preserve">———.  </w:t>
      </w:r>
      <w:r>
        <w:rPr>
          <w:rFonts w:eastAsia="Arial Unicode MS"/>
        </w:rPr>
        <w:t xml:space="preserve">2010g.  </w:t>
      </w:r>
      <w:r w:rsidRPr="00D0731D">
        <w:rPr>
          <w:rFonts w:eastAsia="Arial Unicode MS"/>
          <w:i/>
        </w:rPr>
        <w:t>Emerging substances of concern fact sheet.</w:t>
      </w:r>
      <w:r>
        <w:rPr>
          <w:rFonts w:eastAsia="Arial Unicode MS"/>
        </w:rPr>
        <w:t xml:space="preserve">  Available:  </w:t>
      </w:r>
      <w:hyperlink r:id="rId241" w:history="1">
        <w:r w:rsidRPr="005F7EAB">
          <w:rPr>
            <w:rStyle w:val="Hyperlink"/>
            <w:rFonts w:eastAsia="Arial Unicode MS"/>
          </w:rPr>
          <w:t>http://www.dep.state.</w:t>
        </w:r>
        <w:r w:rsidRPr="005F7EAB">
          <w:rPr>
            <w:rStyle w:val="Hyperlink"/>
            <w:rFonts w:eastAsia="Arial Unicode MS"/>
          </w:rPr>
          <w:br/>
          <w:t>fl.us/water/esoc.htm</w:t>
        </w:r>
      </w:hyperlink>
      <w:r>
        <w:rPr>
          <w:rFonts w:eastAsia="Arial Unicode MS"/>
        </w:rPr>
        <w:t>.</w:t>
      </w:r>
    </w:p>
    <w:p w:rsidR="00485094" w:rsidRDefault="00485094" w:rsidP="003B2A1B">
      <w:pPr>
        <w:pStyle w:val="References"/>
        <w:rPr>
          <w:rFonts w:eastAsia="Arial Unicode MS"/>
        </w:rPr>
      </w:pPr>
      <w:r>
        <w:t xml:space="preserve">———.  </w:t>
      </w:r>
      <w:r>
        <w:rPr>
          <w:rFonts w:eastAsia="Arial Unicode MS"/>
        </w:rPr>
        <w:t xml:space="preserve">2010h.  </w:t>
      </w:r>
      <w:r w:rsidRPr="00D0731D">
        <w:rPr>
          <w:rFonts w:eastAsia="Arial Unicode MS"/>
          <w:i/>
        </w:rPr>
        <w:t xml:space="preserve">Florida’s springs:  Protecting nature’s gems.  </w:t>
      </w:r>
      <w:r>
        <w:rPr>
          <w:rFonts w:eastAsia="Arial Unicode MS"/>
        </w:rPr>
        <w:t xml:space="preserve">Available:  </w:t>
      </w:r>
      <w:hyperlink r:id="rId242" w:history="1">
        <w:r w:rsidRPr="005F7EAB">
          <w:rPr>
            <w:rStyle w:val="Hyperlink"/>
            <w:rFonts w:eastAsia="Arial Unicode MS"/>
          </w:rPr>
          <w:t>http://www.</w:t>
        </w:r>
        <w:r w:rsidRPr="005F7EAB">
          <w:rPr>
            <w:rStyle w:val="Hyperlink"/>
            <w:rFonts w:eastAsia="Arial Unicode MS"/>
          </w:rPr>
          <w:br/>
          <w:t>floridasprings.org/</w:t>
        </w:r>
      </w:hyperlink>
      <w:r>
        <w:rPr>
          <w:rFonts w:eastAsia="Arial Unicode MS"/>
        </w:rPr>
        <w:t>.</w:t>
      </w:r>
    </w:p>
    <w:p w:rsidR="00485094" w:rsidRDefault="00485094" w:rsidP="00D0731D">
      <w:pPr>
        <w:pStyle w:val="References"/>
        <w:rPr>
          <w:rFonts w:eastAsia="Arial Unicode MS"/>
        </w:rPr>
      </w:pPr>
      <w:r>
        <w:t xml:space="preserve">———.  </w:t>
      </w:r>
      <w:r>
        <w:rPr>
          <w:rFonts w:eastAsia="Arial Unicode MS"/>
        </w:rPr>
        <w:t xml:space="preserve">2010i.  </w:t>
      </w:r>
      <w:r w:rsidRPr="00D0731D">
        <w:rPr>
          <w:rFonts w:eastAsia="Arial Unicode MS"/>
          <w:i/>
        </w:rPr>
        <w:t>Florida’s surface water quality standards:  Refining designated uses and classifications.</w:t>
      </w:r>
      <w:r>
        <w:rPr>
          <w:rFonts w:eastAsia="Arial Unicode MS"/>
        </w:rPr>
        <w:t xml:space="preserve">  Assessment and Restoration Support.  Available:  </w:t>
      </w:r>
      <w:hyperlink r:id="rId243" w:history="1">
        <w:r w:rsidRPr="005F7EAB">
          <w:rPr>
            <w:rStyle w:val="Hyperlink"/>
            <w:rFonts w:eastAsia="Arial Unicode MS"/>
          </w:rPr>
          <w:t>http://www.dep.state.</w:t>
        </w:r>
        <w:r w:rsidRPr="005F7EAB">
          <w:rPr>
            <w:rStyle w:val="Hyperlink"/>
            <w:rFonts w:eastAsia="Arial Unicode MS"/>
          </w:rPr>
          <w:br/>
          <w:t>fl.us/secretary/designateduse.htm</w:t>
        </w:r>
      </w:hyperlink>
      <w:r>
        <w:rPr>
          <w:rFonts w:eastAsia="Arial Unicode MS"/>
        </w:rPr>
        <w:t>.</w:t>
      </w:r>
    </w:p>
    <w:p w:rsidR="00485094" w:rsidRDefault="00485094" w:rsidP="003B2A1B">
      <w:pPr>
        <w:pStyle w:val="References"/>
        <w:rPr>
          <w:rFonts w:eastAsia="Arial Unicode MS"/>
        </w:rPr>
      </w:pPr>
      <w:r>
        <w:t xml:space="preserve">———.  </w:t>
      </w:r>
      <w:r w:rsidRPr="004E22EE">
        <w:rPr>
          <w:rFonts w:eastAsia="Arial Unicode MS"/>
        </w:rPr>
        <w:t>2010</w:t>
      </w:r>
      <w:r>
        <w:rPr>
          <w:rFonts w:eastAsia="Arial Unicode MS"/>
        </w:rPr>
        <w:t>j</w:t>
      </w:r>
      <w:r w:rsidRPr="004E22EE">
        <w:rPr>
          <w:rFonts w:eastAsia="Arial Unicode MS"/>
        </w:rPr>
        <w:t xml:space="preserve">.  </w:t>
      </w:r>
      <w:r w:rsidRPr="00D0731D">
        <w:rPr>
          <w:rFonts w:eastAsia="Arial Unicode MS"/>
          <w:i/>
        </w:rPr>
        <w:t>Interpretative tool spreadsheet for assessment of metal enrichment in Florida freshwater sediment.</w:t>
      </w:r>
      <w:r>
        <w:rPr>
          <w:rFonts w:eastAsia="Arial Unicode MS"/>
        </w:rPr>
        <w:t xml:space="preserve">  Available:  </w:t>
      </w:r>
      <w:hyperlink r:id="rId244" w:history="1">
        <w:r w:rsidRPr="00C57FE5">
          <w:rPr>
            <w:rStyle w:val="Hyperlink"/>
            <w:rFonts w:eastAsia="Arial Unicode MS"/>
          </w:rPr>
          <w:t>http://www.dep.state.fl.us/WATER/monitoring/fwseds.htm</w:t>
        </w:r>
      </w:hyperlink>
      <w:r>
        <w:rPr>
          <w:rFonts w:eastAsia="Arial Unicode MS"/>
        </w:rPr>
        <w:t>.</w:t>
      </w:r>
    </w:p>
    <w:p w:rsidR="00485094" w:rsidRDefault="00485094" w:rsidP="00D0731D">
      <w:pPr>
        <w:pStyle w:val="References"/>
        <w:rPr>
          <w:rFonts w:eastAsia="Arial Unicode MS"/>
        </w:rPr>
      </w:pPr>
      <w:r>
        <w:t xml:space="preserve">———.  </w:t>
      </w:r>
      <w:r>
        <w:rPr>
          <w:rFonts w:eastAsia="Arial Unicode MS"/>
        </w:rPr>
        <w:t xml:space="preserve">2010k.  </w:t>
      </w:r>
      <w:r w:rsidRPr="00D0731D">
        <w:rPr>
          <w:rFonts w:eastAsia="Arial Unicode MS"/>
          <w:i/>
        </w:rPr>
        <w:t>Nonpoint Source Management Program website.</w:t>
      </w:r>
      <w:r>
        <w:rPr>
          <w:rFonts w:eastAsia="Arial Unicode MS"/>
        </w:rPr>
        <w:t xml:space="preserve">  Available:   </w:t>
      </w:r>
      <w:hyperlink r:id="rId245" w:history="1">
        <w:r w:rsidRPr="005F7EAB">
          <w:rPr>
            <w:rStyle w:val="Hyperlink"/>
            <w:rFonts w:eastAsia="Arial Unicode MS"/>
          </w:rPr>
          <w:t>http://www.dep.</w:t>
        </w:r>
        <w:r w:rsidRPr="005F7EAB">
          <w:rPr>
            <w:rStyle w:val="Hyperlink"/>
            <w:rFonts w:eastAsia="Arial Unicode MS"/>
          </w:rPr>
          <w:br/>
          <w:t>state.fl.us/water/nonpoint/</w:t>
        </w:r>
      </w:hyperlink>
      <w:r>
        <w:rPr>
          <w:rFonts w:eastAsia="Arial Unicode MS"/>
        </w:rPr>
        <w:t>.</w:t>
      </w:r>
    </w:p>
    <w:p w:rsidR="00485094" w:rsidRPr="004E22EE" w:rsidRDefault="00485094" w:rsidP="003B2A1B">
      <w:pPr>
        <w:pStyle w:val="References"/>
      </w:pPr>
      <w:r>
        <w:t xml:space="preserve">———.  2010l.  </w:t>
      </w:r>
      <w:r w:rsidRPr="004E22EE">
        <w:rPr>
          <w:rFonts w:eastAsia="Arial Unicode MS"/>
          <w:i/>
        </w:rPr>
        <w:t>Numeric nutrient criteria development website.</w:t>
      </w:r>
      <w:r w:rsidRPr="004E22EE">
        <w:rPr>
          <w:rFonts w:eastAsia="Arial Unicode MS"/>
        </w:rPr>
        <w:t xml:space="preserve">  Available:  </w:t>
      </w:r>
      <w:hyperlink r:id="rId246" w:history="1">
        <w:r w:rsidRPr="005F7EAB">
          <w:rPr>
            <w:rStyle w:val="Hyperlink"/>
          </w:rPr>
          <w:t>http://www.dep.state.</w:t>
        </w:r>
        <w:r w:rsidRPr="005F7EAB">
          <w:rPr>
            <w:rStyle w:val="Hyperlink"/>
          </w:rPr>
          <w:br/>
          <w:t>fl.us/water/wqssp/nutrients/index.htm</w:t>
        </w:r>
      </w:hyperlink>
      <w:r w:rsidRPr="004E22EE">
        <w:rPr>
          <w:rFonts w:eastAsia="Arial Unicode MS"/>
        </w:rPr>
        <w:t>.</w:t>
      </w:r>
    </w:p>
    <w:p w:rsidR="00485094" w:rsidRDefault="00485094" w:rsidP="00A81A6F">
      <w:pPr>
        <w:pStyle w:val="References"/>
        <w:rPr>
          <w:rFonts w:eastAsia="Arial Unicode MS"/>
        </w:rPr>
      </w:pPr>
      <w:r>
        <w:lastRenderedPageBreak/>
        <w:t xml:space="preserve">———.  </w:t>
      </w:r>
      <w:r w:rsidRPr="004E22EE">
        <w:rPr>
          <w:rFonts w:eastAsia="Arial Unicode MS"/>
        </w:rPr>
        <w:t>2010</w:t>
      </w:r>
      <w:r>
        <w:rPr>
          <w:rFonts w:eastAsia="Arial Unicode MS"/>
        </w:rPr>
        <w:t>m</w:t>
      </w:r>
      <w:r w:rsidRPr="004E22EE">
        <w:rPr>
          <w:rFonts w:eastAsia="Arial Unicode MS"/>
        </w:rPr>
        <w:t xml:space="preserve">.  </w:t>
      </w:r>
      <w:r w:rsidRPr="00D0731D">
        <w:rPr>
          <w:rFonts w:eastAsia="Arial Unicode MS"/>
          <w:i/>
        </w:rPr>
        <w:t>Sediment guidelines</w:t>
      </w:r>
      <w:r>
        <w:rPr>
          <w:rFonts w:eastAsia="Arial Unicode MS"/>
          <w:i/>
        </w:rPr>
        <w:t xml:space="preserve"> </w:t>
      </w:r>
      <w:r>
        <w:rPr>
          <w:i/>
          <w:snapToGrid w:val="0"/>
        </w:rPr>
        <w:t>website</w:t>
      </w:r>
      <w:r w:rsidRPr="00D0731D">
        <w:rPr>
          <w:rFonts w:eastAsia="Arial Unicode MS"/>
          <w:i/>
        </w:rPr>
        <w:t>.</w:t>
      </w:r>
      <w:r>
        <w:rPr>
          <w:rFonts w:eastAsia="Arial Unicode MS"/>
        </w:rPr>
        <w:t xml:space="preserve">  Available:  </w:t>
      </w:r>
      <w:hyperlink r:id="rId247" w:history="1">
        <w:r w:rsidRPr="005F7EAB">
          <w:rPr>
            <w:rStyle w:val="Hyperlink"/>
            <w:rFonts w:eastAsia="Arial Unicode MS"/>
          </w:rPr>
          <w:t>http://www.dep.state.fl.us/water/</w:t>
        </w:r>
        <w:r w:rsidRPr="005F7EAB">
          <w:rPr>
            <w:rStyle w:val="Hyperlink"/>
            <w:rFonts w:eastAsia="Arial Unicode MS"/>
          </w:rPr>
          <w:br/>
          <w:t>monitoring/sediments.htm</w:t>
        </w:r>
      </w:hyperlink>
      <w:r>
        <w:rPr>
          <w:rFonts w:eastAsia="Arial Unicode MS"/>
        </w:rPr>
        <w:t>.</w:t>
      </w:r>
    </w:p>
    <w:p w:rsidR="00485094" w:rsidRDefault="00485094" w:rsidP="001E335C">
      <w:pPr>
        <w:pStyle w:val="References"/>
      </w:pPr>
      <w:r>
        <w:t xml:space="preserve">———.  2010n.  </w:t>
      </w:r>
      <w:r w:rsidRPr="001E335C">
        <w:rPr>
          <w:i/>
        </w:rPr>
        <w:t xml:space="preserve">Source Water Assessment and Protection Program website.  </w:t>
      </w:r>
      <w:r>
        <w:t xml:space="preserve">Available:  </w:t>
      </w:r>
      <w:hyperlink r:id="rId248" w:history="1">
        <w:r w:rsidRPr="00C57FE5">
          <w:rPr>
            <w:rStyle w:val="Hyperlink"/>
          </w:rPr>
          <w:t>http://www.dep.state.fl.us/swapp/</w:t>
        </w:r>
      </w:hyperlink>
      <w:r>
        <w:t>.</w:t>
      </w:r>
    </w:p>
    <w:p w:rsidR="00485094" w:rsidRDefault="00485094" w:rsidP="003B2A1B">
      <w:pPr>
        <w:pStyle w:val="References"/>
      </w:pPr>
      <w:r>
        <w:t xml:space="preserve">———.  2010o.  </w:t>
      </w:r>
      <w:r w:rsidRPr="004E22EE">
        <w:rPr>
          <w:i/>
        </w:rPr>
        <w:t>Statewide stormwater treatment rule development</w:t>
      </w:r>
      <w:r>
        <w:rPr>
          <w:i/>
        </w:rPr>
        <w:t xml:space="preserve"> </w:t>
      </w:r>
      <w:r>
        <w:rPr>
          <w:i/>
          <w:snapToGrid w:val="0"/>
        </w:rPr>
        <w:t>website</w:t>
      </w:r>
      <w:r w:rsidRPr="004E22EE">
        <w:rPr>
          <w:i/>
        </w:rPr>
        <w:t>.</w:t>
      </w:r>
      <w:r>
        <w:t xml:space="preserve">  Available:  </w:t>
      </w:r>
      <w:hyperlink r:id="rId249" w:history="1">
        <w:r w:rsidRPr="00C57FE5">
          <w:rPr>
            <w:rStyle w:val="Hyperlink"/>
          </w:rPr>
          <w:t>http://www.dep.state.fl.us/Water/wetlands/erp/rules/stormwater/index.htm</w:t>
        </w:r>
      </w:hyperlink>
      <w:r>
        <w:t>.</w:t>
      </w:r>
    </w:p>
    <w:p w:rsidR="00485094" w:rsidRDefault="00485094" w:rsidP="003B2A1B">
      <w:pPr>
        <w:pStyle w:val="References"/>
      </w:pPr>
      <w:r>
        <w:t xml:space="preserve">———.  2010p.  </w:t>
      </w:r>
      <w:r w:rsidRPr="004E22EE">
        <w:rPr>
          <w:i/>
        </w:rPr>
        <w:t>STORET</w:t>
      </w:r>
      <w:r>
        <w:rPr>
          <w:i/>
        </w:rPr>
        <w:t xml:space="preserve"> website</w:t>
      </w:r>
      <w:r w:rsidRPr="004E22EE">
        <w:rPr>
          <w:i/>
        </w:rPr>
        <w:t>.</w:t>
      </w:r>
      <w:r>
        <w:t xml:space="preserve">  Available:  </w:t>
      </w:r>
      <w:hyperlink r:id="rId250" w:history="1">
        <w:r w:rsidRPr="00C57FE5">
          <w:rPr>
            <w:rStyle w:val="Hyperlink"/>
          </w:rPr>
          <w:t>http://www.dep.state.fl.us/water/storet/index.htm</w:t>
        </w:r>
      </w:hyperlink>
      <w:r>
        <w:t>.</w:t>
      </w:r>
    </w:p>
    <w:p w:rsidR="00485094" w:rsidRDefault="00485094" w:rsidP="001E335C">
      <w:pPr>
        <w:pStyle w:val="References"/>
      </w:pPr>
      <w:r>
        <w:t xml:space="preserve">———.  2010q.  </w:t>
      </w:r>
      <w:r w:rsidRPr="00B820CA">
        <w:rPr>
          <w:i/>
        </w:rPr>
        <w:t>TMDL Program</w:t>
      </w:r>
      <w:r>
        <w:rPr>
          <w:i/>
        </w:rPr>
        <w:t xml:space="preserve"> website</w:t>
      </w:r>
      <w:r w:rsidRPr="00B820CA">
        <w:rPr>
          <w:i/>
        </w:rPr>
        <w:t>.</w:t>
      </w:r>
      <w:r>
        <w:t xml:space="preserve">  Available:  </w:t>
      </w:r>
      <w:hyperlink r:id="rId251" w:history="1">
        <w:r w:rsidRPr="005F7EAB">
          <w:rPr>
            <w:rStyle w:val="Hyperlink"/>
          </w:rPr>
          <w:t>http://www.dep.state.fl.us/water/tmdl/</w:t>
        </w:r>
        <w:r w:rsidRPr="005F7EAB">
          <w:rPr>
            <w:rStyle w:val="Hyperlink"/>
          </w:rPr>
          <w:br/>
          <w:t>index.htm</w:t>
        </w:r>
      </w:hyperlink>
      <w:r>
        <w:t>.</w:t>
      </w:r>
    </w:p>
    <w:p w:rsidR="00485094" w:rsidRDefault="00485094" w:rsidP="001E335C">
      <w:pPr>
        <w:pStyle w:val="References"/>
      </w:pPr>
      <w:r>
        <w:t xml:space="preserve">———.  2010r.  </w:t>
      </w:r>
      <w:r w:rsidRPr="001E335C">
        <w:rPr>
          <w:i/>
        </w:rPr>
        <w:t>Underground Injection Control Program website.</w:t>
      </w:r>
      <w:r>
        <w:t xml:space="preserve">  Available:  </w:t>
      </w:r>
      <w:hyperlink r:id="rId252" w:history="1">
        <w:r w:rsidRPr="005F7EAB">
          <w:rPr>
            <w:rStyle w:val="Hyperlink"/>
          </w:rPr>
          <w:t>http://www.dep.</w:t>
        </w:r>
        <w:r w:rsidRPr="005F7EAB">
          <w:rPr>
            <w:rStyle w:val="Hyperlink"/>
          </w:rPr>
          <w:br/>
          <w:t>state.fl.us/water/uic/</w:t>
        </w:r>
      </w:hyperlink>
      <w:r>
        <w:t>.</w:t>
      </w:r>
    </w:p>
    <w:p w:rsidR="00485094" w:rsidRDefault="00485094" w:rsidP="001E335C">
      <w:pPr>
        <w:pStyle w:val="References"/>
      </w:pPr>
      <w:r>
        <w:t xml:space="preserve">———.  2010s.  </w:t>
      </w:r>
      <w:r w:rsidRPr="001E335C">
        <w:rPr>
          <w:i/>
        </w:rPr>
        <w:t>Water Supply Restoration Program website.</w:t>
      </w:r>
      <w:r>
        <w:t xml:space="preserve">  Available:  </w:t>
      </w:r>
      <w:hyperlink r:id="rId253" w:history="1">
        <w:r w:rsidRPr="005F7EAB">
          <w:rPr>
            <w:rStyle w:val="Hyperlink"/>
          </w:rPr>
          <w:t>http://www.dep.</w:t>
        </w:r>
        <w:r w:rsidRPr="005F7EAB">
          <w:rPr>
            <w:rStyle w:val="Hyperlink"/>
          </w:rPr>
          <w:br/>
          <w:t>state.fl.us/water/wff/wsupply/</w:t>
        </w:r>
      </w:hyperlink>
      <w:r>
        <w:t>.</w:t>
      </w:r>
    </w:p>
    <w:p w:rsidR="00485094" w:rsidRDefault="00485094" w:rsidP="00A81A6F">
      <w:pPr>
        <w:pStyle w:val="References"/>
      </w:pPr>
      <w:r>
        <w:t xml:space="preserve">———.  2010t.   </w:t>
      </w:r>
      <w:r w:rsidRPr="00B820CA">
        <w:rPr>
          <w:i/>
        </w:rPr>
        <w:t xml:space="preserve">Watershed </w:t>
      </w:r>
      <w:r>
        <w:rPr>
          <w:i/>
        </w:rPr>
        <w:t>Assessment Program website</w:t>
      </w:r>
      <w:r w:rsidRPr="00B820CA">
        <w:rPr>
          <w:i/>
        </w:rPr>
        <w:t>.</w:t>
      </w:r>
      <w:r>
        <w:t xml:space="preserve">  Available:  </w:t>
      </w:r>
      <w:hyperlink r:id="rId254" w:history="1">
        <w:r w:rsidRPr="005F7EAB">
          <w:rPr>
            <w:rStyle w:val="Hyperlink"/>
          </w:rPr>
          <w:t>http://www.dep.</w:t>
        </w:r>
        <w:r w:rsidRPr="005F7EAB">
          <w:rPr>
            <w:rStyle w:val="Hyperlink"/>
          </w:rPr>
          <w:br/>
          <w:t>state.fl.us/water/watersheds/assessment/index.htm</w:t>
        </w:r>
      </w:hyperlink>
      <w:r>
        <w:t>.</w:t>
      </w:r>
    </w:p>
    <w:p w:rsidR="00485094" w:rsidRDefault="00485094" w:rsidP="00E25E53">
      <w:pPr>
        <w:pStyle w:val="References"/>
      </w:pPr>
      <w:r>
        <w:t xml:space="preserve">———.  2010u.  </w:t>
      </w:r>
      <w:r w:rsidRPr="00136F87">
        <w:rPr>
          <w:i/>
        </w:rPr>
        <w:t>Watershed monitoring basin reports.</w:t>
      </w:r>
      <w:r>
        <w:t xml:space="preserve">  Available:  </w:t>
      </w:r>
      <w:hyperlink r:id="rId255" w:history="1">
        <w:r w:rsidRPr="005F7EAB">
          <w:rPr>
            <w:rStyle w:val="Hyperlink"/>
          </w:rPr>
          <w:t>http://www.dep.state.</w:t>
        </w:r>
        <w:r w:rsidRPr="005F7EAB">
          <w:rPr>
            <w:rStyle w:val="Hyperlink"/>
          </w:rPr>
          <w:br/>
          <w:t>fl.us/water/monitoring/basins.htm</w:t>
        </w:r>
      </w:hyperlink>
      <w:r>
        <w:t>.</w:t>
      </w:r>
    </w:p>
    <w:p w:rsidR="00485094" w:rsidRDefault="00485094" w:rsidP="001E335C">
      <w:pPr>
        <w:pStyle w:val="References"/>
      </w:pPr>
      <w:r>
        <w:t xml:space="preserve">———.  2010v.  </w:t>
      </w:r>
      <w:r w:rsidRPr="001E335C">
        <w:rPr>
          <w:i/>
        </w:rPr>
        <w:t>Wellhead Protection Program website.</w:t>
      </w:r>
      <w:r>
        <w:t xml:space="preserve">  Available:  </w:t>
      </w:r>
      <w:hyperlink r:id="rId256" w:history="1">
        <w:r w:rsidRPr="005F7EAB">
          <w:rPr>
            <w:rStyle w:val="Hyperlink"/>
          </w:rPr>
          <w:t>http://www.dep.state.</w:t>
        </w:r>
        <w:r w:rsidRPr="005F7EAB">
          <w:rPr>
            <w:rStyle w:val="Hyperlink"/>
          </w:rPr>
          <w:br/>
          <w:t>fl.us/water/groundwater/wellhead.htm</w:t>
        </w:r>
      </w:hyperlink>
      <w:r>
        <w:t>.</w:t>
      </w:r>
    </w:p>
    <w:p w:rsidR="00485094" w:rsidRDefault="00485094" w:rsidP="001E335C">
      <w:pPr>
        <w:pStyle w:val="References"/>
      </w:pPr>
      <w:r w:rsidRPr="0026647D">
        <w:t xml:space="preserve">Florida Department of Health.  </w:t>
      </w:r>
      <w:r>
        <w:t xml:space="preserve">2010a.  </w:t>
      </w:r>
      <w:r w:rsidRPr="00D0731D">
        <w:rPr>
          <w:i/>
        </w:rPr>
        <w:t>Aquatic Toxins Program</w:t>
      </w:r>
      <w:r w:rsidR="005C7479">
        <w:rPr>
          <w:i/>
        </w:rPr>
        <w:t xml:space="preserve"> website</w:t>
      </w:r>
      <w:r w:rsidRPr="00D0731D">
        <w:rPr>
          <w:i/>
        </w:rPr>
        <w:t>.</w:t>
      </w:r>
      <w:r>
        <w:t xml:space="preserve">  Available:  </w:t>
      </w:r>
      <w:hyperlink r:id="rId257" w:history="1">
        <w:r w:rsidR="005C7479" w:rsidRPr="00BF2DFB">
          <w:rPr>
            <w:rStyle w:val="Hyperlink"/>
          </w:rPr>
          <w:t>http://www.doh.</w:t>
        </w:r>
        <w:r w:rsidR="000309E2" w:rsidRPr="000309E2">
          <w:rPr>
            <w:rStyle w:val="Hyperlink"/>
          </w:rPr>
          <w:t>state.fl.us/Environment/medicine/aquatic/index.html</w:t>
        </w:r>
      </w:hyperlink>
      <w:r>
        <w:t>.</w:t>
      </w:r>
    </w:p>
    <w:p w:rsidR="00485094" w:rsidRDefault="00485094" w:rsidP="00271CB6">
      <w:pPr>
        <w:pStyle w:val="References"/>
      </w:pPr>
      <w:r w:rsidRPr="0026647D">
        <w:t xml:space="preserve">———.  </w:t>
      </w:r>
      <w:r>
        <w:t xml:space="preserve">2010b.  </w:t>
      </w:r>
      <w:r w:rsidRPr="00C568FD">
        <w:rPr>
          <w:i/>
        </w:rPr>
        <w:t>Beach closures</w:t>
      </w:r>
      <w:r>
        <w:rPr>
          <w:i/>
        </w:rPr>
        <w:t xml:space="preserve"> </w:t>
      </w:r>
      <w:r>
        <w:rPr>
          <w:i/>
          <w:snapToGrid w:val="0"/>
        </w:rPr>
        <w:t>website</w:t>
      </w:r>
      <w:r w:rsidRPr="00C568FD">
        <w:rPr>
          <w:i/>
        </w:rPr>
        <w:t xml:space="preserve">.  </w:t>
      </w:r>
      <w:r>
        <w:t xml:space="preserve">Available:  </w:t>
      </w:r>
      <w:hyperlink r:id="rId258" w:history="1">
        <w:r w:rsidRPr="005F7EAB">
          <w:rPr>
            <w:rStyle w:val="Hyperlink"/>
            <w:szCs w:val="22"/>
          </w:rPr>
          <w:t>http://esetappsdoh.doh.state.fl.us/</w:t>
        </w:r>
        <w:r w:rsidRPr="005F7EAB">
          <w:rPr>
            <w:rStyle w:val="Hyperlink"/>
            <w:szCs w:val="22"/>
          </w:rPr>
          <w:br/>
          <w:t>irm00beachwater/default.aspx</w:t>
        </w:r>
      </w:hyperlink>
      <w:r>
        <w:t>.</w:t>
      </w:r>
    </w:p>
    <w:p w:rsidR="005C7479" w:rsidRDefault="00485094" w:rsidP="00271CB6">
      <w:pPr>
        <w:pStyle w:val="References"/>
      </w:pPr>
      <w:r w:rsidRPr="0026647D">
        <w:t xml:space="preserve">———.  </w:t>
      </w:r>
      <w:r>
        <w:t xml:space="preserve">2010c.  </w:t>
      </w:r>
      <w:r w:rsidRPr="0089022E">
        <w:rPr>
          <w:i/>
        </w:rPr>
        <w:t>Beach water sampling results</w:t>
      </w:r>
      <w:r>
        <w:rPr>
          <w:i/>
        </w:rPr>
        <w:t xml:space="preserve"> </w:t>
      </w:r>
      <w:r>
        <w:rPr>
          <w:i/>
          <w:snapToGrid w:val="0"/>
        </w:rPr>
        <w:t>website</w:t>
      </w:r>
      <w:r w:rsidRPr="0089022E">
        <w:rPr>
          <w:i/>
        </w:rPr>
        <w:t>.</w:t>
      </w:r>
      <w:r w:rsidRPr="0026647D">
        <w:t xml:space="preserve">  </w:t>
      </w:r>
      <w:r w:rsidRPr="00F67A94">
        <w:t xml:space="preserve">Healthy Beaches Program.  </w:t>
      </w:r>
      <w:r w:rsidRPr="0026647D">
        <w:t xml:space="preserve">Available:  </w:t>
      </w:r>
      <w:hyperlink r:id="rId259" w:history="1">
        <w:r w:rsidRPr="0089022E">
          <w:rPr>
            <w:color w:val="0000FF"/>
            <w:u w:val="single"/>
          </w:rPr>
          <w:t>http://esetappsdoh.doh.state.fl.us/irm00beachwater/default.aspx</w:t>
        </w:r>
      </w:hyperlink>
      <w:r w:rsidRPr="0026647D">
        <w:t xml:space="preserve">.  </w:t>
      </w:r>
    </w:p>
    <w:p w:rsidR="00485094" w:rsidRPr="0026647D" w:rsidRDefault="005C7479" w:rsidP="00271CB6">
      <w:pPr>
        <w:pStyle w:val="References"/>
      </w:pPr>
      <w:r w:rsidRPr="0026647D">
        <w:t xml:space="preserve">———.  </w:t>
      </w:r>
      <w:r>
        <w:t xml:space="preserve">2010d.  </w:t>
      </w:r>
      <w:r w:rsidR="000309E2" w:rsidRPr="000309E2">
        <w:rPr>
          <w:i/>
        </w:rPr>
        <w:t>Program</w:t>
      </w:r>
      <w:r>
        <w:t xml:space="preserve"> </w:t>
      </w:r>
      <w:r w:rsidR="000309E2" w:rsidRPr="000309E2">
        <w:rPr>
          <w:i/>
        </w:rPr>
        <w:t>h</w:t>
      </w:r>
      <w:r w:rsidR="00485094" w:rsidRPr="007E75F4">
        <w:rPr>
          <w:i/>
        </w:rPr>
        <w:t>istory</w:t>
      </w:r>
      <w:r>
        <w:rPr>
          <w:i/>
        </w:rPr>
        <w:t xml:space="preserve"> website</w:t>
      </w:r>
      <w:r w:rsidR="00485094" w:rsidRPr="007E75F4">
        <w:rPr>
          <w:i/>
        </w:rPr>
        <w:t xml:space="preserve">. </w:t>
      </w:r>
      <w:r w:rsidR="00485094" w:rsidRPr="0026647D">
        <w:t xml:space="preserve"> </w:t>
      </w:r>
      <w:r w:rsidRPr="00F67A94">
        <w:t xml:space="preserve">Healthy Beaches Program.  </w:t>
      </w:r>
      <w:r w:rsidR="00485094" w:rsidRPr="0026647D">
        <w:t xml:space="preserve">Available:  </w:t>
      </w:r>
      <w:hyperlink r:id="rId260" w:history="1">
        <w:r w:rsidR="00485094" w:rsidRPr="0089022E">
          <w:rPr>
            <w:rStyle w:val="Hyperlink"/>
          </w:rPr>
          <w:t>http://esetappsdoh.doh.state.fl.us/irm00beachwater/history/hisintro.htm</w:t>
        </w:r>
      </w:hyperlink>
      <w:r w:rsidR="00485094" w:rsidRPr="0026647D">
        <w:t>.</w:t>
      </w:r>
    </w:p>
    <w:p w:rsidR="00485094" w:rsidRPr="0026647D" w:rsidRDefault="00485094" w:rsidP="00271CB6">
      <w:pPr>
        <w:pStyle w:val="References"/>
      </w:pPr>
      <w:r w:rsidRPr="0026647D">
        <w:t xml:space="preserve">———.  </w:t>
      </w:r>
      <w:r w:rsidR="005C7479">
        <w:t>2010e</w:t>
      </w:r>
      <w:r>
        <w:t xml:space="preserve">.  </w:t>
      </w:r>
      <w:r w:rsidRPr="0026647D">
        <w:rPr>
          <w:i/>
        </w:rPr>
        <w:t>Fish consumption advisories</w:t>
      </w:r>
      <w:r>
        <w:rPr>
          <w:i/>
        </w:rPr>
        <w:t xml:space="preserve"> </w:t>
      </w:r>
      <w:r>
        <w:rPr>
          <w:i/>
          <w:snapToGrid w:val="0"/>
        </w:rPr>
        <w:t>website</w:t>
      </w:r>
      <w:r w:rsidRPr="0026647D">
        <w:rPr>
          <w:i/>
        </w:rPr>
        <w:t>.</w:t>
      </w:r>
      <w:r w:rsidRPr="0026647D">
        <w:t xml:space="preserve">  Available:  </w:t>
      </w:r>
      <w:hyperlink r:id="rId261" w:history="1">
        <w:r w:rsidRPr="005F7EAB">
          <w:rPr>
            <w:rStyle w:val="Hyperlink"/>
            <w:szCs w:val="22"/>
          </w:rPr>
          <w:t>http://www.doh.state.</w:t>
        </w:r>
        <w:r w:rsidRPr="005F7EAB">
          <w:rPr>
            <w:rStyle w:val="Hyperlink"/>
            <w:szCs w:val="22"/>
          </w:rPr>
          <w:br/>
          <w:t>fl.us/environment/community/fishconsumptionadvisories/index.html</w:t>
        </w:r>
      </w:hyperlink>
      <w:r w:rsidRPr="0026647D">
        <w:rPr>
          <w:color w:val="0000FF"/>
          <w:u w:val="single"/>
        </w:rPr>
        <w:t>.</w:t>
      </w:r>
    </w:p>
    <w:p w:rsidR="00485094" w:rsidRPr="0026647D" w:rsidRDefault="00485094" w:rsidP="00271CB6">
      <w:pPr>
        <w:pStyle w:val="References"/>
      </w:pPr>
      <w:r w:rsidRPr="0026647D">
        <w:t xml:space="preserve">———. </w:t>
      </w:r>
      <w:r>
        <w:t xml:space="preserve"> </w:t>
      </w:r>
      <w:r w:rsidR="005C7479" w:rsidRPr="0026647D">
        <w:t>20</w:t>
      </w:r>
      <w:r w:rsidR="005C7479">
        <w:t>10f</w:t>
      </w:r>
      <w:r w:rsidRPr="0026647D">
        <w:t xml:space="preserve">.  </w:t>
      </w:r>
      <w:r>
        <w:t xml:space="preserve"> </w:t>
      </w:r>
      <w:r w:rsidRPr="00271CB6">
        <w:rPr>
          <w:i/>
        </w:rPr>
        <w:t>Healthy Beaches Program</w:t>
      </w:r>
      <w:r>
        <w:rPr>
          <w:i/>
        </w:rPr>
        <w:t xml:space="preserve"> </w:t>
      </w:r>
      <w:r>
        <w:rPr>
          <w:i/>
          <w:snapToGrid w:val="0"/>
        </w:rPr>
        <w:t>website</w:t>
      </w:r>
      <w:r w:rsidRPr="00271CB6">
        <w:rPr>
          <w:i/>
        </w:rPr>
        <w:t>.</w:t>
      </w:r>
      <w:r w:rsidRPr="0026647D">
        <w:t xml:space="preserve">  Available:  </w:t>
      </w:r>
      <w:hyperlink r:id="rId262" w:history="1">
        <w:r w:rsidRPr="005F7EAB">
          <w:rPr>
            <w:rStyle w:val="Hyperlink"/>
          </w:rPr>
          <w:t>http://esetappsdoh.doh.state.</w:t>
        </w:r>
        <w:r w:rsidRPr="005F7EAB">
          <w:rPr>
            <w:rStyle w:val="Hyperlink"/>
          </w:rPr>
          <w:br/>
          <w:t>fl.us/irm00beachwater/terms.htm</w:t>
        </w:r>
      </w:hyperlink>
      <w:r w:rsidRPr="0026647D">
        <w:t>.</w:t>
      </w:r>
    </w:p>
    <w:p w:rsidR="00485094" w:rsidRDefault="00485094" w:rsidP="00271CB6">
      <w:pPr>
        <w:pStyle w:val="References"/>
      </w:pPr>
      <w:r w:rsidRPr="0026647D">
        <w:t xml:space="preserve">———. </w:t>
      </w:r>
      <w:r>
        <w:t xml:space="preserve"> </w:t>
      </w:r>
      <w:r w:rsidR="005C7479" w:rsidRPr="001E335C">
        <w:t>2010</w:t>
      </w:r>
      <w:r w:rsidR="005C7479">
        <w:t>g</w:t>
      </w:r>
      <w:r w:rsidRPr="001E335C">
        <w:t xml:space="preserve">.  </w:t>
      </w:r>
      <w:r w:rsidRPr="001E335C">
        <w:rPr>
          <w:i/>
        </w:rPr>
        <w:t>Petroleum Surveillance Program (Super Act) website</w:t>
      </w:r>
      <w:r w:rsidRPr="001E335C">
        <w:t xml:space="preserve">.  Available:  </w:t>
      </w:r>
      <w:hyperlink r:id="rId263" w:history="1">
        <w:r w:rsidRPr="00C57FE5">
          <w:rPr>
            <w:rStyle w:val="Hyperlink"/>
          </w:rPr>
          <w:t>http://www.doh.state.fl.us/Environment/water/petroleum/saindex.html</w:t>
        </w:r>
      </w:hyperlink>
      <w:r w:rsidRPr="001E335C">
        <w:t>.</w:t>
      </w:r>
    </w:p>
    <w:p w:rsidR="00485094" w:rsidRDefault="00485094" w:rsidP="00271CB6">
      <w:pPr>
        <w:pStyle w:val="References"/>
      </w:pPr>
      <w:r w:rsidRPr="0026647D">
        <w:t xml:space="preserve">———.  </w:t>
      </w:r>
      <w:r>
        <w:t>2010</w:t>
      </w:r>
      <w:r w:rsidR="005C7479">
        <w:t>h</w:t>
      </w:r>
      <w:r>
        <w:t xml:space="preserve">.  </w:t>
      </w:r>
      <w:r w:rsidRPr="00C568FD">
        <w:rPr>
          <w:i/>
        </w:rPr>
        <w:t>Small water systems</w:t>
      </w:r>
      <w:r>
        <w:rPr>
          <w:i/>
        </w:rPr>
        <w:t xml:space="preserve"> </w:t>
      </w:r>
      <w:r>
        <w:rPr>
          <w:i/>
          <w:snapToGrid w:val="0"/>
        </w:rPr>
        <w:t>website</w:t>
      </w:r>
      <w:r w:rsidRPr="00C568FD">
        <w:rPr>
          <w:i/>
        </w:rPr>
        <w:t>.</w:t>
      </w:r>
      <w:r>
        <w:t xml:space="preserve">  Bureau of Water Programs.  Available:  </w:t>
      </w:r>
      <w:hyperlink r:id="rId264" w:history="1">
        <w:r w:rsidRPr="00C57FE5">
          <w:rPr>
            <w:rStyle w:val="Hyperlink"/>
          </w:rPr>
          <w:t>http://www.doh.state.fl.us/environment/water/index.html</w:t>
        </w:r>
      </w:hyperlink>
      <w:r>
        <w:t>.</w:t>
      </w:r>
    </w:p>
    <w:p w:rsidR="00485094" w:rsidRDefault="00485094" w:rsidP="00E25E53">
      <w:pPr>
        <w:pStyle w:val="References"/>
      </w:pPr>
      <w:r>
        <w:t xml:space="preserve">Florida Fish and Wildlife Conservation Commission, Fish and Wildlife Research Institute website.  2010a.  Available:  </w:t>
      </w:r>
      <w:hyperlink r:id="rId265" w:history="1">
        <w:r w:rsidRPr="00C57FE5">
          <w:rPr>
            <w:rStyle w:val="Hyperlink"/>
          </w:rPr>
          <w:t>http://research.myfwc.com/</w:t>
        </w:r>
      </w:hyperlink>
      <w:r>
        <w:t>.</w:t>
      </w:r>
    </w:p>
    <w:p w:rsidR="00485094" w:rsidRDefault="00485094" w:rsidP="00E25E53">
      <w:pPr>
        <w:pStyle w:val="References"/>
      </w:pPr>
      <w:r>
        <w:t xml:space="preserve">———.  2010b.  </w:t>
      </w:r>
      <w:r w:rsidRPr="0065297F">
        <w:rPr>
          <w:i/>
        </w:rPr>
        <w:t>Fish kills</w:t>
      </w:r>
      <w:r>
        <w:rPr>
          <w:i/>
        </w:rPr>
        <w:t xml:space="preserve"> </w:t>
      </w:r>
      <w:r>
        <w:rPr>
          <w:i/>
          <w:snapToGrid w:val="0"/>
        </w:rPr>
        <w:t>website</w:t>
      </w:r>
      <w:r w:rsidRPr="0065297F">
        <w:rPr>
          <w:i/>
        </w:rPr>
        <w:t>.</w:t>
      </w:r>
      <w:r>
        <w:t xml:space="preserve">  Available:  </w:t>
      </w:r>
      <w:hyperlink r:id="rId266" w:history="1">
        <w:r w:rsidRPr="00C57FE5">
          <w:rPr>
            <w:rStyle w:val="Hyperlink"/>
          </w:rPr>
          <w:t>http://research.myfwc.com/fishkill/</w:t>
        </w:r>
      </w:hyperlink>
      <w:r>
        <w:t>.</w:t>
      </w:r>
    </w:p>
    <w:p w:rsidR="00485094" w:rsidRDefault="00485094" w:rsidP="00E25E53">
      <w:pPr>
        <w:pStyle w:val="References"/>
      </w:pPr>
      <w:r>
        <w:t xml:space="preserve">———.  2010c.  </w:t>
      </w:r>
      <w:r w:rsidRPr="00A81A6F">
        <w:rPr>
          <w:i/>
        </w:rPr>
        <w:t>Harmful Algal Bloom Task Force website.</w:t>
      </w:r>
      <w:r>
        <w:t xml:space="preserve">  Available:  </w:t>
      </w:r>
      <w:hyperlink r:id="rId267" w:history="1">
        <w:r w:rsidRPr="005F7EAB">
          <w:rPr>
            <w:rStyle w:val="Hyperlink"/>
          </w:rPr>
          <w:t>http://research.myfwc.</w:t>
        </w:r>
        <w:r w:rsidRPr="005F7EAB">
          <w:rPr>
            <w:rStyle w:val="Hyperlink"/>
          </w:rPr>
          <w:br/>
          <w:t>com/features/category_main.asp?id=2343</w:t>
        </w:r>
      </w:hyperlink>
      <w:r>
        <w:t>.</w:t>
      </w:r>
    </w:p>
    <w:p w:rsidR="00485094" w:rsidRDefault="00485094" w:rsidP="00D145F4">
      <w:pPr>
        <w:pStyle w:val="References"/>
      </w:pPr>
      <w:r>
        <w:lastRenderedPageBreak/>
        <w:t xml:space="preserve">———.  2010d.  </w:t>
      </w:r>
      <w:r w:rsidRPr="007A2902">
        <w:rPr>
          <w:i/>
        </w:rPr>
        <w:t>The economic impact of saltwater fishing in Florida.</w:t>
      </w:r>
      <w:r>
        <w:t xml:space="preserve">  Available:  </w:t>
      </w:r>
      <w:hyperlink r:id="rId268" w:history="1">
        <w:r w:rsidRPr="005F7EAB">
          <w:rPr>
            <w:rStyle w:val="Hyperlink"/>
          </w:rPr>
          <w:t>http://myfwc.com/conservation/Conservation_ValueofConservation_EconSaltwaterImpact.htm</w:t>
        </w:r>
      </w:hyperlink>
      <w:r>
        <w:t>.</w:t>
      </w:r>
    </w:p>
    <w:p w:rsidR="00485094" w:rsidRDefault="00485094" w:rsidP="00E25E53">
      <w:pPr>
        <w:pStyle w:val="References"/>
      </w:pPr>
      <w:r>
        <w:t xml:space="preserve">Florida </w:t>
      </w:r>
      <w:r w:rsidRPr="007853D5">
        <w:t>LakeWatch</w:t>
      </w:r>
      <w:r>
        <w:t xml:space="preserve">.  October 1999.  </w:t>
      </w:r>
      <w:r w:rsidRPr="00CB2989">
        <w:rPr>
          <w:i/>
        </w:rPr>
        <w:t>A beginner’s guide to water management:  The ABCs.</w:t>
      </w:r>
      <w:r>
        <w:t xml:space="preserve">  Gainesville, FL:  University of Florida, Department of Fisheries and Aquatic Sciences, Institute of Food and Agricultural Sciences.  Available:  </w:t>
      </w:r>
      <w:hyperlink r:id="rId269" w:history="1">
        <w:r w:rsidRPr="005F7EAB">
          <w:rPr>
            <w:rStyle w:val="Hyperlink"/>
          </w:rPr>
          <w:t>http://lakewatch.ifas.ufl.edu/</w:t>
        </w:r>
        <w:r w:rsidRPr="005F7EAB">
          <w:rPr>
            <w:rStyle w:val="Hyperlink"/>
          </w:rPr>
          <w:br/>
          <w:t>circpdffolder/ABCsInt.pdf</w:t>
        </w:r>
      </w:hyperlink>
      <w:r>
        <w:t>.</w:t>
      </w:r>
    </w:p>
    <w:p w:rsidR="00485094" w:rsidRDefault="00485094" w:rsidP="00494D88">
      <w:pPr>
        <w:pStyle w:val="References"/>
      </w:pPr>
      <w:r>
        <w:t xml:space="preserve">Florida Springs Task Force.  November 2000.  </w:t>
      </w:r>
      <w:r w:rsidRPr="00494D88">
        <w:rPr>
          <w:i/>
        </w:rPr>
        <w:t xml:space="preserve">Florida’s springs:  Strategies for protection and restoration.  </w:t>
      </w:r>
      <w:r>
        <w:t xml:space="preserve">Available:  </w:t>
      </w:r>
      <w:hyperlink r:id="rId270" w:history="1">
        <w:r w:rsidRPr="005F7EAB">
          <w:rPr>
            <w:rStyle w:val="Hyperlink"/>
          </w:rPr>
          <w:t>http://www.dep.state.fl.us/springs/reports/files/</w:t>
        </w:r>
        <w:r w:rsidRPr="005F7EAB">
          <w:rPr>
            <w:rStyle w:val="Hyperlink"/>
          </w:rPr>
          <w:br/>
          <w:t>SpringsTaskForceReport.pdf</w:t>
        </w:r>
      </w:hyperlink>
      <w:r>
        <w:t>.</w:t>
      </w:r>
    </w:p>
    <w:p w:rsidR="00485094" w:rsidRDefault="00485094" w:rsidP="00E25E53">
      <w:pPr>
        <w:pStyle w:val="References"/>
      </w:pPr>
      <w:r>
        <w:t xml:space="preserve">Florida Trend.  2009.  </w:t>
      </w:r>
      <w:r w:rsidRPr="00DA23A4">
        <w:rPr>
          <w:i/>
        </w:rPr>
        <w:t>2009 Economic yearbook:  Bad case of the blues.</w:t>
      </w:r>
      <w:r>
        <w:t xml:space="preserve">  Available:  </w:t>
      </w:r>
      <w:hyperlink r:id="rId271" w:history="1">
        <w:r w:rsidRPr="00C07403">
          <w:rPr>
            <w:rStyle w:val="Hyperlink"/>
          </w:rPr>
          <w:t>http://www.floridatrend.com/article.asp?aID=50744</w:t>
        </w:r>
      </w:hyperlink>
      <w:r>
        <w:t>.</w:t>
      </w:r>
    </w:p>
    <w:p w:rsidR="00485094" w:rsidRDefault="00485094" w:rsidP="00E86D10">
      <w:pPr>
        <w:pStyle w:val="References"/>
      </w:pPr>
      <w:r>
        <w:t xml:space="preserve">Fore, L.S., R. Frydenborg, D. Miller, T. Frick, D. Whiting, J. Espy, and L. Wolfe.  March 2007.  </w:t>
      </w:r>
      <w:r w:rsidRPr="00E86D10">
        <w:rPr>
          <w:i/>
        </w:rPr>
        <w:t>Development and testing of biomonitoring tools for macroinvertebrates in Florida streams (Stream Condition Index and BioRecon:  Final report.</w:t>
      </w:r>
      <w:r>
        <w:t xml:space="preserve">  Prepared for the Florida Department of Environmental Protection by Statistical Design, Inc., Seattle, WA.  Available:  </w:t>
      </w:r>
      <w:hyperlink r:id="rId272" w:history="1">
        <w:r w:rsidRPr="00C57FE5">
          <w:rPr>
            <w:rStyle w:val="Hyperlink"/>
          </w:rPr>
          <w:t>http://publicfiles.dep.state.fl.us/dear/labs/sas/sopdoc/sci_final.pdf</w:t>
        </w:r>
      </w:hyperlink>
      <w:r>
        <w:t>.</w:t>
      </w:r>
    </w:p>
    <w:p w:rsidR="00485094" w:rsidRPr="00F35C56" w:rsidRDefault="00485094" w:rsidP="00E86D10">
      <w:pPr>
        <w:pStyle w:val="References"/>
      </w:pPr>
      <w:r w:rsidRPr="00F35C56">
        <w:t xml:space="preserve">Frayer, W.E., and J.M. Hefner.  1991.  </w:t>
      </w:r>
      <w:r w:rsidRPr="00F35C56">
        <w:rPr>
          <w:i/>
        </w:rPr>
        <w:t xml:space="preserve">Florida wetlands status and trends, 1970s to 1980s.  </w:t>
      </w:r>
      <w:r w:rsidRPr="00F35C56">
        <w:t>Atlanta</w:t>
      </w:r>
      <w:r>
        <w:t xml:space="preserve">, GA:  </w:t>
      </w:r>
      <w:r w:rsidRPr="00F35C56">
        <w:t>U.S. Fish and Wildlife Service, Southeast Region</w:t>
      </w:r>
      <w:r>
        <w:t xml:space="preserve">.  Available:  </w:t>
      </w:r>
      <w:hyperlink r:id="rId273" w:history="1">
        <w:r w:rsidRPr="00C57FE5">
          <w:rPr>
            <w:rStyle w:val="Hyperlink"/>
          </w:rPr>
          <w:t>http://www.fws.gov/wetlands/_documents/gSandT/StateRegionalReports/FloridaWetlandsStatusTrends1970sto1980s.pdf</w:t>
        </w:r>
      </w:hyperlink>
      <w:r>
        <w:t>.</w:t>
      </w:r>
    </w:p>
    <w:p w:rsidR="00485094" w:rsidRPr="0075585F" w:rsidRDefault="00485094" w:rsidP="00E25E53">
      <w:pPr>
        <w:pStyle w:val="References"/>
        <w:rPr>
          <w:szCs w:val="22"/>
        </w:rPr>
      </w:pPr>
      <w:r w:rsidRPr="0075585F">
        <w:rPr>
          <w:szCs w:val="22"/>
        </w:rPr>
        <w:t>Fujiki</w:t>
      </w:r>
      <w:r>
        <w:rPr>
          <w:szCs w:val="22"/>
        </w:rPr>
        <w:t>,</w:t>
      </w:r>
      <w:r w:rsidRPr="0075585F">
        <w:rPr>
          <w:szCs w:val="22"/>
        </w:rPr>
        <w:t xml:space="preserve"> H</w:t>
      </w:r>
      <w:r>
        <w:rPr>
          <w:szCs w:val="22"/>
        </w:rPr>
        <w:t>.</w:t>
      </w:r>
      <w:r w:rsidRPr="0075585F">
        <w:rPr>
          <w:szCs w:val="22"/>
        </w:rPr>
        <w:t>,</w:t>
      </w:r>
      <w:r>
        <w:rPr>
          <w:szCs w:val="22"/>
        </w:rPr>
        <w:t xml:space="preserve"> M.</w:t>
      </w:r>
      <w:r w:rsidRPr="0075585F">
        <w:rPr>
          <w:szCs w:val="22"/>
        </w:rPr>
        <w:t xml:space="preserve"> Suganuma, </w:t>
      </w:r>
      <w:r>
        <w:rPr>
          <w:szCs w:val="22"/>
        </w:rPr>
        <w:t xml:space="preserve">H. </w:t>
      </w:r>
      <w:r w:rsidRPr="0075585F">
        <w:rPr>
          <w:szCs w:val="22"/>
        </w:rPr>
        <w:t xml:space="preserve">Surguri, </w:t>
      </w:r>
      <w:r>
        <w:rPr>
          <w:szCs w:val="22"/>
        </w:rPr>
        <w:t xml:space="preserve">S. </w:t>
      </w:r>
      <w:r w:rsidRPr="0075585F">
        <w:rPr>
          <w:szCs w:val="22"/>
        </w:rPr>
        <w:t xml:space="preserve">Yoshizawa, </w:t>
      </w:r>
      <w:r>
        <w:rPr>
          <w:szCs w:val="22"/>
        </w:rPr>
        <w:t xml:space="preserve">K. </w:t>
      </w:r>
      <w:r w:rsidRPr="0075585F">
        <w:rPr>
          <w:szCs w:val="22"/>
        </w:rPr>
        <w:t xml:space="preserve">Takagi, </w:t>
      </w:r>
      <w:r>
        <w:rPr>
          <w:szCs w:val="22"/>
        </w:rPr>
        <w:t xml:space="preserve">M. </w:t>
      </w:r>
      <w:r w:rsidRPr="0075585F">
        <w:rPr>
          <w:szCs w:val="22"/>
        </w:rPr>
        <w:t xml:space="preserve">Nakayasu, </w:t>
      </w:r>
      <w:r>
        <w:rPr>
          <w:szCs w:val="22"/>
        </w:rPr>
        <w:t xml:space="preserve">M. </w:t>
      </w:r>
      <w:r w:rsidRPr="0075585F">
        <w:rPr>
          <w:szCs w:val="22"/>
        </w:rPr>
        <w:t xml:space="preserve">Ojika, </w:t>
      </w:r>
      <w:r>
        <w:rPr>
          <w:szCs w:val="22"/>
        </w:rPr>
        <w:t xml:space="preserve">K. </w:t>
      </w:r>
      <w:r w:rsidRPr="0075585F">
        <w:rPr>
          <w:szCs w:val="22"/>
        </w:rPr>
        <w:t>Yamada</w:t>
      </w:r>
      <w:r>
        <w:rPr>
          <w:szCs w:val="22"/>
        </w:rPr>
        <w:t xml:space="preserve">, T. </w:t>
      </w:r>
      <w:r w:rsidRPr="0075585F">
        <w:rPr>
          <w:szCs w:val="22"/>
        </w:rPr>
        <w:t xml:space="preserve">Yasumoto, </w:t>
      </w:r>
      <w:r>
        <w:rPr>
          <w:szCs w:val="22"/>
        </w:rPr>
        <w:t xml:space="preserve">R.E. </w:t>
      </w:r>
      <w:r w:rsidRPr="0075585F">
        <w:rPr>
          <w:szCs w:val="22"/>
        </w:rPr>
        <w:t>Moore</w:t>
      </w:r>
      <w:r>
        <w:rPr>
          <w:szCs w:val="22"/>
        </w:rPr>
        <w:t xml:space="preserve">, and T. </w:t>
      </w:r>
      <w:r w:rsidRPr="0075585F">
        <w:rPr>
          <w:szCs w:val="22"/>
        </w:rPr>
        <w:t xml:space="preserve">Sugimura, T.  1990.  New tumor promoters from marine natural products. </w:t>
      </w:r>
      <w:r>
        <w:rPr>
          <w:szCs w:val="22"/>
        </w:rPr>
        <w:t xml:space="preserve"> </w:t>
      </w:r>
      <w:r w:rsidR="000309E2" w:rsidRPr="000309E2">
        <w:rPr>
          <w:i/>
          <w:szCs w:val="22"/>
        </w:rPr>
        <w:t>In:</w:t>
      </w:r>
      <w:r w:rsidR="005C7479">
        <w:rPr>
          <w:szCs w:val="22"/>
        </w:rPr>
        <w:t xml:space="preserve"> </w:t>
      </w:r>
      <w:r w:rsidRPr="0075585F">
        <w:rPr>
          <w:szCs w:val="22"/>
        </w:rPr>
        <w:t xml:space="preserve"> S. Hall and G. Strichartz (</w:t>
      </w:r>
      <w:r w:rsidR="00431B2F">
        <w:rPr>
          <w:szCs w:val="22"/>
        </w:rPr>
        <w:t>E</w:t>
      </w:r>
      <w:r w:rsidR="00431B2F" w:rsidRPr="0075585F">
        <w:rPr>
          <w:szCs w:val="22"/>
        </w:rPr>
        <w:t>ds</w:t>
      </w:r>
      <w:r w:rsidRPr="0075585F">
        <w:rPr>
          <w:szCs w:val="22"/>
        </w:rPr>
        <w:t>.)</w:t>
      </w:r>
      <w:r w:rsidR="005C7479">
        <w:rPr>
          <w:szCs w:val="22"/>
        </w:rPr>
        <w:t>,</w:t>
      </w:r>
      <w:r w:rsidRPr="0075585F">
        <w:rPr>
          <w:szCs w:val="22"/>
        </w:rPr>
        <w:t xml:space="preserve"> </w:t>
      </w:r>
      <w:r w:rsidRPr="00375554">
        <w:rPr>
          <w:i/>
          <w:szCs w:val="22"/>
        </w:rPr>
        <w:t xml:space="preserve">Marine toxins: </w:t>
      </w:r>
      <w:r w:rsidR="005C7479">
        <w:rPr>
          <w:i/>
          <w:szCs w:val="22"/>
        </w:rPr>
        <w:t xml:space="preserve"> </w:t>
      </w:r>
      <w:r w:rsidRPr="00375554">
        <w:rPr>
          <w:i/>
          <w:szCs w:val="22"/>
        </w:rPr>
        <w:t>Origin, structure and molecular pharmacology</w:t>
      </w:r>
      <w:r>
        <w:rPr>
          <w:szCs w:val="22"/>
        </w:rPr>
        <w:t xml:space="preserve"> (Washington, DC:  </w:t>
      </w:r>
      <w:r w:rsidRPr="0075585F">
        <w:rPr>
          <w:szCs w:val="22"/>
        </w:rPr>
        <w:t>American Chemical Society, pp</w:t>
      </w:r>
      <w:r>
        <w:rPr>
          <w:szCs w:val="22"/>
        </w:rPr>
        <w:t>.</w:t>
      </w:r>
      <w:r w:rsidRPr="0075585F">
        <w:rPr>
          <w:szCs w:val="22"/>
        </w:rPr>
        <w:t xml:space="preserve"> 232</w:t>
      </w:r>
      <w:r>
        <w:rPr>
          <w:szCs w:val="22"/>
        </w:rPr>
        <w:t>–</w:t>
      </w:r>
      <w:r w:rsidRPr="0075585F">
        <w:rPr>
          <w:szCs w:val="22"/>
        </w:rPr>
        <w:t>240</w:t>
      </w:r>
      <w:r>
        <w:rPr>
          <w:szCs w:val="22"/>
        </w:rPr>
        <w:t>)</w:t>
      </w:r>
      <w:r w:rsidRPr="0075585F">
        <w:rPr>
          <w:szCs w:val="22"/>
        </w:rPr>
        <w:t>.</w:t>
      </w:r>
    </w:p>
    <w:p w:rsidR="00485094" w:rsidRPr="001319C1" w:rsidRDefault="00485094" w:rsidP="00E25E53">
      <w:pPr>
        <w:pStyle w:val="References"/>
      </w:pPr>
      <w:r w:rsidRPr="001319C1">
        <w:t xml:space="preserve">Gabriel, M.C., D.M. Axelrad, T. Lange, and T. Dirk.  2010.  Mercury and sulfur monitoring:  Research and environmental assessment in south Florida.  </w:t>
      </w:r>
      <w:r w:rsidR="000309E2" w:rsidRPr="000309E2">
        <w:rPr>
          <w:i/>
        </w:rPr>
        <w:t>In:</w:t>
      </w:r>
      <w:r w:rsidRPr="001319C1">
        <w:t xml:space="preserve"> </w:t>
      </w:r>
      <w:r w:rsidRPr="001319C1">
        <w:rPr>
          <w:i/>
        </w:rPr>
        <w:t xml:space="preserve">2010 South Florida environmental </w:t>
      </w:r>
      <w:r>
        <w:rPr>
          <w:i/>
        </w:rPr>
        <w:t>r</w:t>
      </w:r>
      <w:r w:rsidRPr="001319C1">
        <w:rPr>
          <w:i/>
        </w:rPr>
        <w:t>eport</w:t>
      </w:r>
      <w:r w:rsidRPr="00E8612A">
        <w:rPr>
          <w:i/>
        </w:rPr>
        <w:t>, Volume I, Chapter 3B</w:t>
      </w:r>
      <w:r w:rsidRPr="001319C1">
        <w:t xml:space="preserve"> </w:t>
      </w:r>
      <w:r>
        <w:t>(</w:t>
      </w:r>
      <w:r w:rsidRPr="001319C1">
        <w:t>West Palm Beach, FL:  South Florida Water Management District</w:t>
      </w:r>
      <w:r>
        <w:t>)</w:t>
      </w:r>
      <w:r w:rsidRPr="001319C1">
        <w:t xml:space="preserve">.  Available:  </w:t>
      </w:r>
      <w:hyperlink r:id="rId274" w:history="1">
        <w:r w:rsidRPr="005F7EAB">
          <w:rPr>
            <w:rStyle w:val="Hyperlink"/>
            <w:rFonts w:cs="Arial"/>
            <w:szCs w:val="22"/>
          </w:rPr>
          <w:t>https://my.sfwmd.gov/portal/page/portal/</w:t>
        </w:r>
        <w:r w:rsidRPr="005F7EAB">
          <w:rPr>
            <w:rStyle w:val="Hyperlink"/>
            <w:rFonts w:cs="Arial"/>
            <w:szCs w:val="22"/>
          </w:rPr>
          <w:br/>
          <w:t>pg_grp_sfwmd_sfer/portlet_sfer/tab2236037/2010%20report/v1/chapters/v1_ch3B.pdf</w:t>
        </w:r>
      </w:hyperlink>
      <w:r w:rsidRPr="001319C1">
        <w:t>.</w:t>
      </w:r>
    </w:p>
    <w:p w:rsidR="00485094" w:rsidRDefault="00485094" w:rsidP="00E25E53">
      <w:pPr>
        <w:pStyle w:val="References"/>
      </w:pPr>
      <w:r w:rsidRPr="007E75F4">
        <w:t>Gao, X.</w:t>
      </w:r>
      <w:r>
        <w:t xml:space="preserve"> </w:t>
      </w:r>
      <w:r w:rsidRPr="007E75F4">
        <w:t xml:space="preserve"> 2007.  </w:t>
      </w:r>
      <w:r w:rsidRPr="007E75F4">
        <w:rPr>
          <w:i/>
        </w:rPr>
        <w:t xml:space="preserve">TMDL report:  Nutrient TMDLs for the Wekiva River (WBIDs 2956, 2956A, and 2956C) and Rock Springs Run (WBID 2967), Draft 11/15/07.  </w:t>
      </w:r>
      <w:r>
        <w:t>Tallahassee, FL:  Florida Department of Environmental Protection,</w:t>
      </w:r>
      <w:r w:rsidRPr="007E75F4">
        <w:t xml:space="preserve"> Watershed Assessment Section.</w:t>
      </w:r>
      <w:r>
        <w:t xml:space="preserve">  Available:  </w:t>
      </w:r>
      <w:hyperlink r:id="rId275" w:history="1">
        <w:r w:rsidRPr="00C57FE5">
          <w:rPr>
            <w:rStyle w:val="Hyperlink"/>
          </w:rPr>
          <w:t>http://www.dep.state.fl.us/water/tmdl/docs/tmdls/final/gp2/Wekiva_MainStem04182008.pdf</w:t>
        </w:r>
      </w:hyperlink>
      <w:r>
        <w:t>.</w:t>
      </w:r>
    </w:p>
    <w:p w:rsidR="00485094" w:rsidRDefault="00485094" w:rsidP="00E86D10">
      <w:pPr>
        <w:pStyle w:val="References"/>
      </w:pPr>
      <w:r>
        <w:t xml:space="preserve">Gerritsen, J., B. Jessup, E. Leppo, and J. White.  July 2000.  </w:t>
      </w:r>
      <w:r w:rsidRPr="00E86D10">
        <w:rPr>
          <w:i/>
        </w:rPr>
        <w:t xml:space="preserve">Development of Lake Condition Indexes (LCI) for Florida.   </w:t>
      </w:r>
      <w:r>
        <w:t xml:space="preserve">Prepared for the Florida Department of Environmental Protection by Tetra Tech, Inc., Owings Mills, MD.  Available:  </w:t>
      </w:r>
      <w:hyperlink r:id="rId276" w:history="1">
        <w:r w:rsidRPr="005F7EAB">
          <w:rPr>
            <w:rStyle w:val="Hyperlink"/>
          </w:rPr>
          <w:t>http://publicfiles.dep.state.fl.us/</w:t>
        </w:r>
        <w:r w:rsidRPr="005F7EAB">
          <w:rPr>
            <w:rStyle w:val="Hyperlink"/>
          </w:rPr>
          <w:br/>
          <w:t>dear/labs/sas/sopdoc/lci_final.pdf</w:t>
        </w:r>
      </w:hyperlink>
      <w:r>
        <w:t>.</w:t>
      </w:r>
    </w:p>
    <w:p w:rsidR="00485094" w:rsidRDefault="00485094" w:rsidP="00E25E53">
      <w:pPr>
        <w:pStyle w:val="References"/>
      </w:pPr>
      <w:r w:rsidRPr="00397DF3">
        <w:t xml:space="preserve">Gilbert, R.O.  </w:t>
      </w:r>
      <w:r>
        <w:t xml:space="preserve">1987.  </w:t>
      </w:r>
      <w:r w:rsidRPr="00A94548">
        <w:rPr>
          <w:i/>
        </w:rPr>
        <w:t>Statistical</w:t>
      </w:r>
      <w:r>
        <w:t xml:space="preserve"> </w:t>
      </w:r>
      <w:r w:rsidRPr="00A94548">
        <w:rPr>
          <w:i/>
        </w:rPr>
        <w:t>methods for environmental pollution monitoring</w:t>
      </w:r>
      <w:r>
        <w:t>.  New York, NY: Van Nostrand.</w:t>
      </w:r>
    </w:p>
    <w:p w:rsidR="00485094" w:rsidRDefault="00485094" w:rsidP="00E25E53">
      <w:pPr>
        <w:pStyle w:val="References"/>
      </w:pPr>
      <w:r>
        <w:t>Gulf of Mexico Alliance</w:t>
      </w:r>
      <w:r w:rsidR="005C7479">
        <w:t xml:space="preserve"> website</w:t>
      </w:r>
      <w:r>
        <w:t xml:space="preserve">.  2010.  Available:  </w:t>
      </w:r>
      <w:hyperlink r:id="rId277" w:history="1">
        <w:r w:rsidRPr="00C57FE5">
          <w:rPr>
            <w:rStyle w:val="Hyperlink"/>
          </w:rPr>
          <w:t>http://gulfofmexicoalliance.org/</w:t>
        </w:r>
      </w:hyperlink>
      <w:r>
        <w:t>.</w:t>
      </w:r>
    </w:p>
    <w:p w:rsidR="00485094" w:rsidRPr="00965FF0" w:rsidRDefault="00485094" w:rsidP="00E25E53">
      <w:pPr>
        <w:pStyle w:val="References"/>
      </w:pPr>
      <w:r>
        <w:t xml:space="preserve">Hand, J.  October 2004.  </w:t>
      </w:r>
      <w:r w:rsidRPr="00FE7836">
        <w:rPr>
          <w:i/>
        </w:rPr>
        <w:t>Typical water quality values</w:t>
      </w:r>
      <w:r>
        <w:rPr>
          <w:i/>
        </w:rPr>
        <w:t xml:space="preserve"> for Florida’s lakes, streams, and estuaries</w:t>
      </w:r>
      <w:r w:rsidRPr="00FE7836">
        <w:rPr>
          <w:i/>
        </w:rPr>
        <w:t>.</w:t>
      </w:r>
      <w:r>
        <w:rPr>
          <w:i/>
        </w:rPr>
        <w:t xml:space="preserve">  </w:t>
      </w:r>
      <w:r w:rsidRPr="00E73100">
        <w:t>Draft.</w:t>
      </w:r>
      <w:r>
        <w:rPr>
          <w:i/>
        </w:rPr>
        <w:t xml:space="preserve">  </w:t>
      </w:r>
      <w:r w:rsidRPr="00965FF0">
        <w:t>Tallahassee, FL:  Florida Department of Environmental Protection, Bureau of Watershed Management.</w:t>
      </w:r>
    </w:p>
    <w:p w:rsidR="00485094" w:rsidRDefault="00485094" w:rsidP="00FE7836">
      <w:pPr>
        <w:pStyle w:val="References"/>
      </w:pPr>
      <w:r w:rsidRPr="00E86D10">
        <w:lastRenderedPageBreak/>
        <w:t xml:space="preserve">Harrington, D., G. Maddox, and R. Hicks.  2008.  </w:t>
      </w:r>
      <w:r>
        <w:rPr>
          <w:i/>
        </w:rPr>
        <w:t>Florida Springs Initiative monitoring n</w:t>
      </w:r>
      <w:r w:rsidRPr="00E86D10">
        <w:rPr>
          <w:i/>
        </w:rPr>
        <w:t xml:space="preserve">etwork report 2008.  </w:t>
      </w:r>
      <w:r w:rsidRPr="00E86D10">
        <w:t xml:space="preserve">Tallahassee, FL:  Florida Department of Environmental Protection, Division of Environmental Assessment and Restoration.  Available:  </w:t>
      </w:r>
      <w:hyperlink r:id="rId278" w:history="1">
        <w:r w:rsidRPr="005F7EAB">
          <w:rPr>
            <w:rStyle w:val="Hyperlink"/>
          </w:rPr>
          <w:t>http://publicfiles.dep.state.</w:t>
        </w:r>
        <w:r w:rsidRPr="005F7EAB">
          <w:rPr>
            <w:rStyle w:val="Hyperlink"/>
          </w:rPr>
          <w:br/>
          <w:t>fl.us/DEAR/BMAP/Wekiva/Reports&amp;ReferenceDocuments/FDEP2008SpringsReport/2008FDEPSpringsDataReport_final.pdf</w:t>
        </w:r>
      </w:hyperlink>
      <w:r>
        <w:t>.</w:t>
      </w:r>
    </w:p>
    <w:p w:rsidR="00485094" w:rsidRDefault="00485094" w:rsidP="00FE7836">
      <w:pPr>
        <w:pStyle w:val="References"/>
      </w:pPr>
      <w:r w:rsidRPr="00F35C56">
        <w:t xml:space="preserve">Hefner, J.M. </w:t>
      </w:r>
      <w:r>
        <w:t xml:space="preserve"> </w:t>
      </w:r>
      <w:r w:rsidRPr="00F35C56">
        <w:t xml:space="preserve">1986. </w:t>
      </w:r>
      <w:r>
        <w:t xml:space="preserve"> </w:t>
      </w:r>
      <w:r w:rsidRPr="00F35C56">
        <w:t>Wetlands of Florida 1950s to 1970s.</w:t>
      </w:r>
      <w:r>
        <w:t xml:space="preserve"> </w:t>
      </w:r>
      <w:r w:rsidRPr="00F35C56">
        <w:t xml:space="preserve"> </w:t>
      </w:r>
      <w:r w:rsidR="000309E2" w:rsidRPr="000309E2">
        <w:rPr>
          <w:i/>
        </w:rPr>
        <w:t>In:</w:t>
      </w:r>
      <w:r w:rsidRPr="00F35C56">
        <w:t xml:space="preserve"> E.D. Estevez, J.</w:t>
      </w:r>
      <w:r w:rsidR="005C7479">
        <w:t xml:space="preserve"> </w:t>
      </w:r>
      <w:r w:rsidRPr="00F35C56">
        <w:t>Miller, J.</w:t>
      </w:r>
      <w:r w:rsidR="005C7479">
        <w:t xml:space="preserve"> </w:t>
      </w:r>
      <w:r w:rsidRPr="00F35C56">
        <w:t xml:space="preserve">Morris, and R. Hamman </w:t>
      </w:r>
      <w:r>
        <w:t>(</w:t>
      </w:r>
      <w:r w:rsidR="005C7479">
        <w:t>E</w:t>
      </w:r>
      <w:r w:rsidR="005C7479" w:rsidRPr="00F35C56">
        <w:t>ds</w:t>
      </w:r>
      <w:r>
        <w:t xml:space="preserve">.), </w:t>
      </w:r>
      <w:r w:rsidRPr="00F35C56">
        <w:rPr>
          <w:i/>
        </w:rPr>
        <w:t xml:space="preserve">Proceedings of the conference: </w:t>
      </w:r>
      <w:r>
        <w:rPr>
          <w:i/>
        </w:rPr>
        <w:t xml:space="preserve"> M</w:t>
      </w:r>
      <w:r w:rsidRPr="00F35C56">
        <w:rPr>
          <w:i/>
        </w:rPr>
        <w:t>anaging cumulative effects in Florida wetlands</w:t>
      </w:r>
      <w:r>
        <w:rPr>
          <w:i/>
        </w:rPr>
        <w:t xml:space="preserve"> (</w:t>
      </w:r>
      <w:r>
        <w:t xml:space="preserve">Madison, WI:  </w:t>
      </w:r>
      <w:r w:rsidRPr="00F35C56">
        <w:t>Omnipress</w:t>
      </w:r>
      <w:r>
        <w:t>)</w:t>
      </w:r>
      <w:r w:rsidRPr="00F35C56">
        <w:rPr>
          <w:i/>
        </w:rPr>
        <w:t xml:space="preserve">. </w:t>
      </w:r>
      <w:r>
        <w:rPr>
          <w:i/>
        </w:rPr>
        <w:t xml:space="preserve"> </w:t>
      </w:r>
      <w:r w:rsidRPr="00F35C56">
        <w:t>New College Env</w:t>
      </w:r>
      <w:r>
        <w:t xml:space="preserve">ironmental Studies Program, </w:t>
      </w:r>
      <w:r w:rsidRPr="00F35C56">
        <w:t>Publ</w:t>
      </w:r>
      <w:r>
        <w:t>ication No. 37.</w:t>
      </w:r>
    </w:p>
    <w:p w:rsidR="00485094" w:rsidRPr="0075585F" w:rsidRDefault="00485094" w:rsidP="00E25E53">
      <w:pPr>
        <w:pStyle w:val="References"/>
        <w:rPr>
          <w:color w:val="000000"/>
          <w:szCs w:val="22"/>
        </w:rPr>
      </w:pPr>
      <w:r>
        <w:rPr>
          <w:color w:val="000000"/>
          <w:szCs w:val="22"/>
        </w:rPr>
        <w:t>Heil, C.</w:t>
      </w:r>
      <w:r w:rsidRPr="0075585F">
        <w:rPr>
          <w:color w:val="000000"/>
          <w:szCs w:val="22"/>
        </w:rPr>
        <w:t xml:space="preserve">A., and K.A. Steidinger. </w:t>
      </w:r>
      <w:r>
        <w:rPr>
          <w:color w:val="000000"/>
          <w:szCs w:val="22"/>
        </w:rPr>
        <w:t xml:space="preserve"> </w:t>
      </w:r>
      <w:r w:rsidRPr="0075585F">
        <w:rPr>
          <w:color w:val="000000"/>
          <w:szCs w:val="22"/>
        </w:rPr>
        <w:t xml:space="preserve">2009. </w:t>
      </w:r>
      <w:r>
        <w:rPr>
          <w:color w:val="000000"/>
          <w:szCs w:val="22"/>
        </w:rPr>
        <w:t xml:space="preserve"> </w:t>
      </w:r>
      <w:r w:rsidRPr="0075585F">
        <w:rPr>
          <w:color w:val="000000"/>
          <w:szCs w:val="22"/>
        </w:rPr>
        <w:t xml:space="preserve">Monitoring, management, and mitigation of </w:t>
      </w:r>
      <w:r w:rsidRPr="0075585F">
        <w:rPr>
          <w:i/>
          <w:iCs/>
          <w:color w:val="000000"/>
          <w:szCs w:val="22"/>
        </w:rPr>
        <w:t xml:space="preserve">Karenia </w:t>
      </w:r>
      <w:r w:rsidRPr="0075585F">
        <w:rPr>
          <w:color w:val="000000"/>
          <w:szCs w:val="22"/>
        </w:rPr>
        <w:t xml:space="preserve">blooms in the eastern Gulf of Mexico. </w:t>
      </w:r>
      <w:r>
        <w:rPr>
          <w:color w:val="000000"/>
          <w:szCs w:val="22"/>
        </w:rPr>
        <w:t xml:space="preserve"> </w:t>
      </w:r>
      <w:r w:rsidRPr="001319C1">
        <w:rPr>
          <w:i/>
          <w:color w:val="000000"/>
          <w:szCs w:val="22"/>
        </w:rPr>
        <w:t>Harmful Algae 8: 611–617.</w:t>
      </w:r>
      <w:r w:rsidRPr="0075585F">
        <w:rPr>
          <w:color w:val="000000"/>
          <w:szCs w:val="22"/>
        </w:rPr>
        <w:t xml:space="preserve"> </w:t>
      </w:r>
    </w:p>
    <w:p w:rsidR="00485094" w:rsidRPr="0075585F" w:rsidRDefault="00485094" w:rsidP="00E25E53">
      <w:pPr>
        <w:pStyle w:val="References"/>
        <w:rPr>
          <w:color w:val="000000"/>
          <w:szCs w:val="22"/>
        </w:rPr>
      </w:pPr>
      <w:r w:rsidRPr="0075585F">
        <w:rPr>
          <w:color w:val="000000"/>
          <w:szCs w:val="22"/>
        </w:rPr>
        <w:t xml:space="preserve">Heil, D. 2009. </w:t>
      </w:r>
      <w:r>
        <w:rPr>
          <w:color w:val="000000"/>
          <w:szCs w:val="22"/>
        </w:rPr>
        <w:t xml:space="preserve"> </w:t>
      </w:r>
      <w:r w:rsidRPr="0075585F">
        <w:rPr>
          <w:i/>
          <w:iCs/>
          <w:color w:val="000000"/>
          <w:szCs w:val="22"/>
        </w:rPr>
        <w:t xml:space="preserve">Karenia brevis </w:t>
      </w:r>
      <w:r w:rsidRPr="0075585F">
        <w:rPr>
          <w:color w:val="000000"/>
          <w:szCs w:val="22"/>
        </w:rPr>
        <w:t>monitoring, management, and mitigation for</w:t>
      </w:r>
      <w:r>
        <w:rPr>
          <w:color w:val="000000"/>
          <w:szCs w:val="22"/>
        </w:rPr>
        <w:t xml:space="preserve"> Florida molluscan shellﬁsh har</w:t>
      </w:r>
      <w:r w:rsidRPr="0075585F">
        <w:rPr>
          <w:color w:val="000000"/>
          <w:szCs w:val="22"/>
        </w:rPr>
        <w:t xml:space="preserve">vesting areas. </w:t>
      </w:r>
      <w:r>
        <w:rPr>
          <w:color w:val="000000"/>
          <w:szCs w:val="22"/>
        </w:rPr>
        <w:t xml:space="preserve"> </w:t>
      </w:r>
      <w:r w:rsidRPr="001319C1">
        <w:rPr>
          <w:i/>
          <w:color w:val="000000"/>
          <w:szCs w:val="22"/>
        </w:rPr>
        <w:t>Harmful Algae 8(4): 608–610.</w:t>
      </w:r>
      <w:r w:rsidRPr="0075585F">
        <w:rPr>
          <w:color w:val="000000"/>
          <w:szCs w:val="22"/>
        </w:rPr>
        <w:t xml:space="preserve"> </w:t>
      </w:r>
    </w:p>
    <w:p w:rsidR="00485094" w:rsidRPr="00C45C83" w:rsidRDefault="00485094" w:rsidP="00C45C83">
      <w:pPr>
        <w:pStyle w:val="References"/>
        <w:rPr>
          <w:i/>
        </w:rPr>
      </w:pPr>
      <w:r w:rsidRPr="00E675E1">
        <w:t xml:space="preserve">Jones, G.W, and </w:t>
      </w:r>
      <w:r>
        <w:t xml:space="preserve">T. </w:t>
      </w:r>
      <w:r w:rsidRPr="00E675E1">
        <w:t>Pichler</w:t>
      </w:r>
      <w:r>
        <w:t xml:space="preserve">. </w:t>
      </w:r>
      <w:r w:rsidRPr="00E675E1">
        <w:t xml:space="preserve"> 2007. </w:t>
      </w:r>
      <w:r>
        <w:t xml:space="preserve"> </w:t>
      </w:r>
      <w:r w:rsidRPr="00E675E1">
        <w:t xml:space="preserve">The </w:t>
      </w:r>
      <w:r>
        <w:t>r</w:t>
      </w:r>
      <w:r w:rsidRPr="00E675E1">
        <w:t xml:space="preserve">elationship between </w:t>
      </w:r>
      <w:r>
        <w:t>p</w:t>
      </w:r>
      <w:r w:rsidRPr="00E675E1">
        <w:t xml:space="preserve">yrite </w:t>
      </w:r>
      <w:r>
        <w:t>s</w:t>
      </w:r>
      <w:r w:rsidRPr="00E675E1">
        <w:t xml:space="preserve">tability and </w:t>
      </w:r>
      <w:r>
        <w:t>a</w:t>
      </w:r>
      <w:r w:rsidRPr="00E675E1">
        <w:t xml:space="preserve">rsenic Mobility </w:t>
      </w:r>
      <w:r>
        <w:t>d</w:t>
      </w:r>
      <w:r w:rsidRPr="00E675E1">
        <w:t xml:space="preserve">uring </w:t>
      </w:r>
      <w:r>
        <w:t>a</w:t>
      </w:r>
      <w:r w:rsidRPr="00E675E1">
        <w:t xml:space="preserve">quifer </w:t>
      </w:r>
      <w:r>
        <w:t>s</w:t>
      </w:r>
      <w:r w:rsidRPr="00E675E1">
        <w:t xml:space="preserve">torage and </w:t>
      </w:r>
      <w:r>
        <w:t>r</w:t>
      </w:r>
      <w:r w:rsidRPr="00E675E1">
        <w:t xml:space="preserve">ecovery in </w:t>
      </w:r>
      <w:r>
        <w:t>s</w:t>
      </w:r>
      <w:r w:rsidRPr="00E675E1">
        <w:t xml:space="preserve">outhwest </w:t>
      </w:r>
      <w:r>
        <w:t>c</w:t>
      </w:r>
      <w:r w:rsidRPr="00E675E1">
        <w:t xml:space="preserve">entral Florida. </w:t>
      </w:r>
      <w:r>
        <w:t xml:space="preserve"> </w:t>
      </w:r>
      <w:r w:rsidRPr="00C45C83">
        <w:rPr>
          <w:i/>
        </w:rPr>
        <w:t>Environmental Science and Technology v. 41-3, pp. 723</w:t>
      </w:r>
      <w:r w:rsidR="00AA3594">
        <w:rPr>
          <w:i/>
        </w:rPr>
        <w:t>–</w:t>
      </w:r>
      <w:r w:rsidRPr="00C45C83">
        <w:rPr>
          <w:i/>
        </w:rPr>
        <w:t>730.</w:t>
      </w:r>
    </w:p>
    <w:p w:rsidR="00485094" w:rsidRPr="001319C1" w:rsidRDefault="00485094" w:rsidP="00E25E53">
      <w:pPr>
        <w:pStyle w:val="References"/>
        <w:rPr>
          <w:i/>
          <w:color w:val="000000"/>
          <w:szCs w:val="22"/>
        </w:rPr>
      </w:pPr>
      <w:r w:rsidRPr="0075585F">
        <w:rPr>
          <w:color w:val="000000"/>
          <w:szCs w:val="22"/>
        </w:rPr>
        <w:t xml:space="preserve">Kirkpatrick, B., </w:t>
      </w:r>
      <w:r>
        <w:rPr>
          <w:color w:val="000000"/>
          <w:szCs w:val="22"/>
        </w:rPr>
        <w:t xml:space="preserve">L.E. </w:t>
      </w:r>
      <w:r w:rsidRPr="0075585F">
        <w:rPr>
          <w:color w:val="000000"/>
          <w:szCs w:val="22"/>
        </w:rPr>
        <w:t xml:space="preserve">Fleming, </w:t>
      </w:r>
      <w:r>
        <w:rPr>
          <w:color w:val="000000"/>
          <w:szCs w:val="22"/>
        </w:rPr>
        <w:t>L.C.</w:t>
      </w:r>
      <w:r w:rsidRPr="0075585F">
        <w:rPr>
          <w:color w:val="000000"/>
          <w:szCs w:val="22"/>
        </w:rPr>
        <w:t xml:space="preserve"> Backer, </w:t>
      </w:r>
      <w:r>
        <w:rPr>
          <w:color w:val="000000"/>
          <w:szCs w:val="22"/>
        </w:rPr>
        <w:t>J.A.</w:t>
      </w:r>
      <w:r w:rsidRPr="0075585F">
        <w:rPr>
          <w:color w:val="000000"/>
          <w:szCs w:val="22"/>
        </w:rPr>
        <w:t xml:space="preserve"> Bean, </w:t>
      </w:r>
      <w:r>
        <w:rPr>
          <w:color w:val="000000"/>
          <w:szCs w:val="22"/>
        </w:rPr>
        <w:t>R.</w:t>
      </w:r>
      <w:r w:rsidRPr="0075585F">
        <w:rPr>
          <w:color w:val="000000"/>
          <w:szCs w:val="22"/>
        </w:rPr>
        <w:t xml:space="preserve"> Tamer, </w:t>
      </w:r>
      <w:r>
        <w:rPr>
          <w:color w:val="000000"/>
          <w:szCs w:val="22"/>
        </w:rPr>
        <w:t>G.</w:t>
      </w:r>
      <w:r w:rsidRPr="0075585F">
        <w:rPr>
          <w:color w:val="000000"/>
          <w:szCs w:val="22"/>
        </w:rPr>
        <w:t xml:space="preserve">  Kirkpatrick, </w:t>
      </w:r>
      <w:r>
        <w:rPr>
          <w:color w:val="000000"/>
          <w:szCs w:val="22"/>
        </w:rPr>
        <w:t>T.</w:t>
      </w:r>
      <w:r w:rsidRPr="0075585F">
        <w:rPr>
          <w:color w:val="000000"/>
          <w:szCs w:val="22"/>
        </w:rPr>
        <w:t xml:space="preserve"> Kane, </w:t>
      </w:r>
      <w:r>
        <w:rPr>
          <w:color w:val="000000"/>
          <w:szCs w:val="22"/>
        </w:rPr>
        <w:t>A.</w:t>
      </w:r>
      <w:r w:rsidRPr="0075585F">
        <w:rPr>
          <w:color w:val="000000"/>
          <w:szCs w:val="22"/>
        </w:rPr>
        <w:t xml:space="preserve"> Wanner, </w:t>
      </w:r>
      <w:r>
        <w:rPr>
          <w:color w:val="000000"/>
          <w:szCs w:val="22"/>
        </w:rPr>
        <w:t>D.</w:t>
      </w:r>
      <w:r w:rsidRPr="0075585F">
        <w:rPr>
          <w:color w:val="000000"/>
          <w:szCs w:val="22"/>
        </w:rPr>
        <w:t xml:space="preserve"> Dalpra, </w:t>
      </w:r>
      <w:r>
        <w:rPr>
          <w:color w:val="000000"/>
          <w:szCs w:val="22"/>
        </w:rPr>
        <w:t>A.</w:t>
      </w:r>
      <w:r w:rsidRPr="0075585F">
        <w:rPr>
          <w:color w:val="000000"/>
          <w:szCs w:val="22"/>
        </w:rPr>
        <w:t xml:space="preserve"> Reich,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2006.</w:t>
      </w:r>
      <w:r>
        <w:rPr>
          <w:color w:val="000000"/>
          <w:szCs w:val="22"/>
        </w:rPr>
        <w:t xml:space="preserve"> </w:t>
      </w:r>
      <w:r w:rsidRPr="0075585F">
        <w:rPr>
          <w:color w:val="000000"/>
          <w:szCs w:val="22"/>
        </w:rPr>
        <w:t xml:space="preserve"> Environmental exposures to Florida red tides: </w:t>
      </w:r>
      <w:r>
        <w:rPr>
          <w:color w:val="000000"/>
          <w:szCs w:val="22"/>
        </w:rPr>
        <w:t xml:space="preserve"> Ef</w:t>
      </w:r>
      <w:r w:rsidRPr="0075585F">
        <w:rPr>
          <w:color w:val="000000"/>
          <w:szCs w:val="22"/>
        </w:rPr>
        <w:t>fects on emergenc</w:t>
      </w:r>
      <w:r>
        <w:rPr>
          <w:color w:val="000000"/>
          <w:szCs w:val="22"/>
        </w:rPr>
        <w:t>y room respiratory diagnoses ad</w:t>
      </w:r>
      <w:r w:rsidRPr="0075585F">
        <w:rPr>
          <w:color w:val="000000"/>
          <w:szCs w:val="22"/>
        </w:rPr>
        <w:t xml:space="preserve">missions. </w:t>
      </w:r>
      <w:r>
        <w:rPr>
          <w:color w:val="000000"/>
          <w:szCs w:val="22"/>
        </w:rPr>
        <w:t xml:space="preserve"> </w:t>
      </w:r>
      <w:r w:rsidRPr="001319C1">
        <w:rPr>
          <w:i/>
          <w:color w:val="000000"/>
          <w:szCs w:val="22"/>
        </w:rPr>
        <w:t xml:space="preserve">Harmful Algae 5: 526–533. </w:t>
      </w:r>
    </w:p>
    <w:p w:rsidR="00485094" w:rsidRPr="0075585F" w:rsidRDefault="00485094" w:rsidP="00E25E53">
      <w:pPr>
        <w:pStyle w:val="References"/>
        <w:rPr>
          <w:color w:val="000000"/>
          <w:szCs w:val="22"/>
        </w:rPr>
      </w:pPr>
      <w:r w:rsidRPr="0075585F">
        <w:rPr>
          <w:color w:val="000000"/>
          <w:szCs w:val="22"/>
        </w:rPr>
        <w:t xml:space="preserve">Kirkpatrick, B., </w:t>
      </w:r>
      <w:r>
        <w:rPr>
          <w:color w:val="000000"/>
          <w:szCs w:val="22"/>
        </w:rPr>
        <w:t xml:space="preserve">L. </w:t>
      </w:r>
      <w:r w:rsidRPr="0075585F">
        <w:rPr>
          <w:color w:val="000000"/>
          <w:szCs w:val="22"/>
        </w:rPr>
        <w:t xml:space="preserve">Fleming, </w:t>
      </w:r>
      <w:r>
        <w:rPr>
          <w:color w:val="000000"/>
          <w:szCs w:val="22"/>
        </w:rPr>
        <w:t>D.</w:t>
      </w:r>
      <w:r w:rsidRPr="0075585F">
        <w:rPr>
          <w:color w:val="000000"/>
          <w:szCs w:val="22"/>
        </w:rPr>
        <w:t xml:space="preserve"> SquicciarinI, </w:t>
      </w:r>
      <w:r>
        <w:rPr>
          <w:color w:val="000000"/>
          <w:szCs w:val="22"/>
        </w:rPr>
        <w:t>L.</w:t>
      </w:r>
      <w:r w:rsidRPr="0075585F">
        <w:rPr>
          <w:color w:val="000000"/>
          <w:szCs w:val="22"/>
        </w:rPr>
        <w:t xml:space="preserve"> Backer, </w:t>
      </w:r>
      <w:r>
        <w:rPr>
          <w:color w:val="000000"/>
          <w:szCs w:val="22"/>
        </w:rPr>
        <w:t>R.</w:t>
      </w:r>
      <w:r w:rsidRPr="0075585F">
        <w:rPr>
          <w:color w:val="000000"/>
          <w:szCs w:val="22"/>
        </w:rPr>
        <w:t xml:space="preserve"> Clark, </w:t>
      </w:r>
      <w:r>
        <w:rPr>
          <w:color w:val="000000"/>
          <w:szCs w:val="22"/>
        </w:rPr>
        <w:t>W.</w:t>
      </w:r>
      <w:r w:rsidRPr="0075585F">
        <w:rPr>
          <w:color w:val="000000"/>
          <w:szCs w:val="22"/>
        </w:rPr>
        <w:t xml:space="preserve"> Abraham, </w:t>
      </w:r>
      <w:r>
        <w:rPr>
          <w:color w:val="000000"/>
          <w:szCs w:val="22"/>
        </w:rPr>
        <w:t>J.</w:t>
      </w:r>
      <w:r w:rsidRPr="0075585F">
        <w:rPr>
          <w:color w:val="000000"/>
          <w:szCs w:val="22"/>
        </w:rPr>
        <w:t xml:space="preserve"> Benson, </w:t>
      </w:r>
      <w:r>
        <w:rPr>
          <w:color w:val="000000"/>
          <w:szCs w:val="22"/>
        </w:rPr>
        <w:t>Y.S.</w:t>
      </w:r>
      <w:r w:rsidRPr="0075585F">
        <w:rPr>
          <w:color w:val="000000"/>
          <w:szCs w:val="22"/>
        </w:rPr>
        <w:t xml:space="preserve"> Cheng, </w:t>
      </w:r>
      <w:r>
        <w:rPr>
          <w:color w:val="000000"/>
          <w:szCs w:val="22"/>
        </w:rPr>
        <w:t>D.</w:t>
      </w:r>
      <w:r w:rsidRPr="0075585F">
        <w:rPr>
          <w:color w:val="000000"/>
          <w:szCs w:val="22"/>
        </w:rPr>
        <w:t xml:space="preserve"> Johnson, </w:t>
      </w:r>
      <w:r>
        <w:rPr>
          <w:color w:val="000000"/>
          <w:szCs w:val="22"/>
        </w:rPr>
        <w:t>R.</w:t>
      </w:r>
      <w:r w:rsidRPr="0075585F">
        <w:rPr>
          <w:color w:val="000000"/>
          <w:szCs w:val="22"/>
        </w:rPr>
        <w:t xml:space="preserve"> Pierce, </w:t>
      </w:r>
      <w:r>
        <w:rPr>
          <w:color w:val="000000"/>
          <w:szCs w:val="22"/>
        </w:rPr>
        <w:t>J.</w:t>
      </w:r>
      <w:r w:rsidRPr="0075585F">
        <w:rPr>
          <w:color w:val="000000"/>
          <w:szCs w:val="22"/>
        </w:rPr>
        <w:t xml:space="preserve"> Zaias, </w:t>
      </w:r>
      <w:r>
        <w:rPr>
          <w:color w:val="000000"/>
          <w:szCs w:val="22"/>
        </w:rPr>
        <w:t>J.D.</w:t>
      </w:r>
      <w:r w:rsidRPr="0075585F">
        <w:rPr>
          <w:color w:val="000000"/>
          <w:szCs w:val="22"/>
        </w:rPr>
        <w:t xml:space="preserve"> Bossart, and </w:t>
      </w:r>
      <w:r>
        <w:rPr>
          <w:color w:val="000000"/>
          <w:szCs w:val="22"/>
        </w:rPr>
        <w:t xml:space="preserve">D.G. </w:t>
      </w:r>
      <w:r w:rsidRPr="0075585F">
        <w:rPr>
          <w:color w:val="000000"/>
          <w:szCs w:val="22"/>
        </w:rPr>
        <w:t>Baden.</w:t>
      </w:r>
      <w:r>
        <w:rPr>
          <w:color w:val="000000"/>
          <w:szCs w:val="22"/>
        </w:rPr>
        <w:t xml:space="preserve"> </w:t>
      </w:r>
      <w:r w:rsidRPr="0075585F">
        <w:rPr>
          <w:color w:val="000000"/>
          <w:szCs w:val="22"/>
        </w:rPr>
        <w:t xml:space="preserve"> 2004.</w:t>
      </w:r>
      <w:r>
        <w:rPr>
          <w:color w:val="000000"/>
          <w:szCs w:val="22"/>
        </w:rPr>
        <w:t xml:space="preserve"> </w:t>
      </w:r>
      <w:r w:rsidRPr="0075585F">
        <w:rPr>
          <w:color w:val="000000"/>
          <w:szCs w:val="22"/>
        </w:rPr>
        <w:t xml:space="preserve"> Literatu</w:t>
      </w:r>
      <w:r>
        <w:rPr>
          <w:color w:val="000000"/>
          <w:szCs w:val="22"/>
        </w:rPr>
        <w:t>re review of Florida red tide:  I</w:t>
      </w:r>
      <w:r w:rsidRPr="0075585F">
        <w:rPr>
          <w:color w:val="000000"/>
          <w:szCs w:val="22"/>
        </w:rPr>
        <w:t xml:space="preserve">mplications for human health. </w:t>
      </w:r>
      <w:r>
        <w:rPr>
          <w:color w:val="000000"/>
          <w:szCs w:val="22"/>
        </w:rPr>
        <w:t xml:space="preserve"> </w:t>
      </w:r>
      <w:r w:rsidRPr="001319C1">
        <w:rPr>
          <w:i/>
          <w:color w:val="000000"/>
          <w:szCs w:val="22"/>
        </w:rPr>
        <w:t>Harmful Algae 3: 99–115.</w:t>
      </w:r>
      <w:r w:rsidRPr="0075585F">
        <w:rPr>
          <w:color w:val="000000"/>
          <w:szCs w:val="22"/>
        </w:rPr>
        <w:t xml:space="preserve"> </w:t>
      </w:r>
    </w:p>
    <w:p w:rsidR="00485094" w:rsidRDefault="00485094" w:rsidP="00E25E53">
      <w:pPr>
        <w:pStyle w:val="References"/>
      </w:pPr>
      <w:r w:rsidRPr="00125711">
        <w:rPr>
          <w:lang w:val="de-DE"/>
        </w:rPr>
        <w:t xml:space="preserve">Kushlan, J.A.  1990.  Freshwater marshes.  </w:t>
      </w:r>
      <w:r w:rsidR="000309E2" w:rsidRPr="000309E2">
        <w:rPr>
          <w:i/>
        </w:rPr>
        <w:t>In:</w:t>
      </w:r>
      <w:r>
        <w:t xml:space="preserve">  R.L. Myers and J.J. Ewel (</w:t>
      </w:r>
      <w:r w:rsidR="005C7479">
        <w:t>Eds</w:t>
      </w:r>
      <w:r>
        <w:t xml:space="preserve">.), </w:t>
      </w:r>
      <w:r>
        <w:rPr>
          <w:i/>
        </w:rPr>
        <w:t xml:space="preserve">Ecosystems of Florida </w:t>
      </w:r>
      <w:r w:rsidRPr="00BA3299">
        <w:t>(</w:t>
      </w:r>
      <w:r>
        <w:t>Orlando, FL:  University of Central Florida Press).</w:t>
      </w:r>
    </w:p>
    <w:p w:rsidR="00485094" w:rsidRPr="001319C1" w:rsidRDefault="00485094" w:rsidP="00E25E53">
      <w:pPr>
        <w:pStyle w:val="References"/>
        <w:rPr>
          <w:i/>
          <w:color w:val="000000"/>
          <w:szCs w:val="22"/>
        </w:rPr>
      </w:pPr>
      <w:r>
        <w:rPr>
          <w:color w:val="000000"/>
          <w:szCs w:val="22"/>
        </w:rPr>
        <w:t>Landsberg, J.</w:t>
      </w:r>
      <w:r w:rsidRPr="0075585F">
        <w:rPr>
          <w:color w:val="000000"/>
          <w:szCs w:val="22"/>
        </w:rPr>
        <w:t xml:space="preserve">H. </w:t>
      </w:r>
      <w:r>
        <w:rPr>
          <w:color w:val="000000"/>
          <w:szCs w:val="22"/>
        </w:rPr>
        <w:t xml:space="preserve"> </w:t>
      </w:r>
      <w:r w:rsidRPr="0075585F">
        <w:rPr>
          <w:color w:val="000000"/>
          <w:szCs w:val="22"/>
        </w:rPr>
        <w:t xml:space="preserve">2002. </w:t>
      </w:r>
      <w:r>
        <w:rPr>
          <w:color w:val="000000"/>
          <w:szCs w:val="22"/>
        </w:rPr>
        <w:t xml:space="preserve"> </w:t>
      </w:r>
      <w:r w:rsidRPr="0075585F">
        <w:rPr>
          <w:color w:val="000000"/>
          <w:szCs w:val="22"/>
        </w:rPr>
        <w:t xml:space="preserve">The effects of harmful algal blooms on aquatic organisms. </w:t>
      </w:r>
      <w:r>
        <w:rPr>
          <w:color w:val="000000"/>
          <w:szCs w:val="22"/>
        </w:rPr>
        <w:t xml:space="preserve"> </w:t>
      </w:r>
      <w:r w:rsidRPr="001319C1">
        <w:rPr>
          <w:i/>
          <w:color w:val="000000"/>
          <w:szCs w:val="22"/>
        </w:rPr>
        <w:t xml:space="preserve">Reviews in Fisheries Science 10: 113–390. </w:t>
      </w:r>
    </w:p>
    <w:p w:rsidR="00485094" w:rsidRPr="001319C1" w:rsidRDefault="00485094" w:rsidP="00E25E53">
      <w:pPr>
        <w:pStyle w:val="References"/>
        <w:rPr>
          <w:i/>
          <w:szCs w:val="22"/>
        </w:rPr>
      </w:pPr>
      <w:r w:rsidRPr="0075585F">
        <w:rPr>
          <w:bCs/>
          <w:szCs w:val="22"/>
        </w:rPr>
        <w:t xml:space="preserve">Landsberg, J.H., </w:t>
      </w:r>
      <w:r>
        <w:rPr>
          <w:bCs/>
          <w:szCs w:val="22"/>
        </w:rPr>
        <w:t xml:space="preserve">S. </w:t>
      </w:r>
      <w:r w:rsidRPr="0075585F">
        <w:rPr>
          <w:bCs/>
          <w:szCs w:val="22"/>
        </w:rPr>
        <w:t xml:space="preserve">Hall, </w:t>
      </w:r>
      <w:r>
        <w:rPr>
          <w:bCs/>
          <w:szCs w:val="22"/>
        </w:rPr>
        <w:t>J.N.</w:t>
      </w:r>
      <w:r w:rsidRPr="0075585F">
        <w:rPr>
          <w:bCs/>
          <w:szCs w:val="22"/>
        </w:rPr>
        <w:t xml:space="preserve"> Johannessen, </w:t>
      </w:r>
      <w:r>
        <w:rPr>
          <w:bCs/>
          <w:szCs w:val="22"/>
        </w:rPr>
        <w:t>K.D.</w:t>
      </w:r>
      <w:r w:rsidRPr="0075585F">
        <w:rPr>
          <w:bCs/>
          <w:szCs w:val="22"/>
        </w:rPr>
        <w:t xml:space="preserve"> White, </w:t>
      </w:r>
      <w:r>
        <w:rPr>
          <w:bCs/>
          <w:szCs w:val="22"/>
        </w:rPr>
        <w:t>S.M.</w:t>
      </w:r>
      <w:r w:rsidRPr="0075585F">
        <w:rPr>
          <w:bCs/>
          <w:szCs w:val="22"/>
        </w:rPr>
        <w:t xml:space="preserve"> Conrad, </w:t>
      </w:r>
      <w:r w:rsidR="00EE4CFE">
        <w:rPr>
          <w:bCs/>
          <w:szCs w:val="22"/>
        </w:rPr>
        <w:t xml:space="preserve">and </w:t>
      </w:r>
      <w:r>
        <w:rPr>
          <w:bCs/>
          <w:szCs w:val="22"/>
        </w:rPr>
        <w:t>J.P.</w:t>
      </w:r>
      <w:r w:rsidRPr="0075585F">
        <w:rPr>
          <w:bCs/>
          <w:szCs w:val="22"/>
        </w:rPr>
        <w:t xml:space="preserve">  Abbott</w:t>
      </w:r>
      <w:r w:rsidR="00EE4CFE">
        <w:rPr>
          <w:bCs/>
          <w:szCs w:val="22"/>
        </w:rPr>
        <w:t xml:space="preserve"> et al.  </w:t>
      </w:r>
      <w:r w:rsidRPr="0075585F">
        <w:rPr>
          <w:szCs w:val="22"/>
        </w:rPr>
        <w:t xml:space="preserve">2006. </w:t>
      </w:r>
      <w:r>
        <w:rPr>
          <w:szCs w:val="22"/>
        </w:rPr>
        <w:t xml:space="preserve"> </w:t>
      </w:r>
      <w:r w:rsidRPr="0075585F">
        <w:rPr>
          <w:szCs w:val="22"/>
        </w:rPr>
        <w:t xml:space="preserve">Saxitoxin puffer fish poisoning in the United States, with the first report of </w:t>
      </w:r>
      <w:r w:rsidRPr="0075585F">
        <w:rPr>
          <w:i/>
          <w:szCs w:val="22"/>
        </w:rPr>
        <w:t xml:space="preserve">Pyrodinium bahamense </w:t>
      </w:r>
      <w:r w:rsidRPr="0075585F">
        <w:rPr>
          <w:szCs w:val="22"/>
        </w:rPr>
        <w:t xml:space="preserve">as the putative toxin source. </w:t>
      </w:r>
      <w:r>
        <w:rPr>
          <w:szCs w:val="22"/>
        </w:rPr>
        <w:t xml:space="preserve"> </w:t>
      </w:r>
      <w:r w:rsidRPr="001319C1">
        <w:rPr>
          <w:i/>
          <w:szCs w:val="22"/>
        </w:rPr>
        <w:t>Environ</w:t>
      </w:r>
      <w:r w:rsidR="00431B2F">
        <w:rPr>
          <w:i/>
          <w:szCs w:val="22"/>
        </w:rPr>
        <w:t>.</w:t>
      </w:r>
      <w:r w:rsidRPr="001319C1">
        <w:rPr>
          <w:i/>
          <w:szCs w:val="22"/>
        </w:rPr>
        <w:t xml:space="preserve"> Health </w:t>
      </w:r>
      <w:proofErr w:type="spellStart"/>
      <w:r w:rsidRPr="001319C1">
        <w:rPr>
          <w:i/>
          <w:szCs w:val="22"/>
        </w:rPr>
        <w:t>Persp</w:t>
      </w:r>
      <w:proofErr w:type="spellEnd"/>
      <w:r w:rsidR="00431B2F">
        <w:rPr>
          <w:i/>
          <w:szCs w:val="22"/>
        </w:rPr>
        <w:t>.</w:t>
      </w:r>
      <w:r w:rsidRPr="001319C1">
        <w:rPr>
          <w:i/>
          <w:szCs w:val="22"/>
        </w:rPr>
        <w:t xml:space="preserve"> 114: 1502–1507.</w:t>
      </w:r>
    </w:p>
    <w:p w:rsidR="00485094" w:rsidRDefault="00485094" w:rsidP="00376229">
      <w:pPr>
        <w:pStyle w:val="References"/>
      </w:pPr>
      <w:r>
        <w:t xml:space="preserve">Lane, C.R., M.T. Brown, M. Murray-Hudson, and M.B. Vivas.  September 2003.  </w:t>
      </w:r>
      <w:r w:rsidRPr="001E335C">
        <w:rPr>
          <w:i/>
        </w:rPr>
        <w:t>The Wetland Condition Index (WCI):  Biological indicators of Wetland condition for isolated depressional herbaceous wetlands in Florida.</w:t>
      </w:r>
      <w:r>
        <w:t xml:space="preserve">  Report submitted to the Florida Department of Environmental Protection under Contract #WM-683.  Gainesville, FL:  University of Florida, H.T. Odum Center for Wetlands.  Available:  </w:t>
      </w:r>
      <w:hyperlink r:id="rId279" w:history="1">
        <w:r w:rsidR="005C7479" w:rsidRPr="00BF2DFB">
          <w:rPr>
            <w:rStyle w:val="Hyperlink"/>
          </w:rPr>
          <w:t>http://publicfiles.dep.state.fl.us/dear/labs/</w:t>
        </w:r>
        <w:r w:rsidR="000309E2" w:rsidRPr="000309E2">
          <w:rPr>
            <w:rStyle w:val="Hyperlink"/>
          </w:rPr>
          <w:br/>
          <w:t>sas/library/docs/wet_herb.pdf</w:t>
        </w:r>
      </w:hyperlink>
      <w:r>
        <w:t>.</w:t>
      </w:r>
    </w:p>
    <w:p w:rsidR="00485094" w:rsidRPr="00431B2F" w:rsidRDefault="00485094" w:rsidP="00376229">
      <w:pPr>
        <w:pStyle w:val="References"/>
        <w:rPr>
          <w:i/>
        </w:rPr>
      </w:pPr>
      <w:proofErr w:type="spellStart"/>
      <w:r w:rsidRPr="000025CA">
        <w:rPr>
          <w:rFonts w:cs="Arial"/>
          <w:color w:val="000000"/>
          <w:szCs w:val="22"/>
        </w:rPr>
        <w:t>Lapointe</w:t>
      </w:r>
      <w:proofErr w:type="spellEnd"/>
      <w:r w:rsidRPr="000025CA">
        <w:rPr>
          <w:rFonts w:cs="Arial"/>
          <w:color w:val="000000"/>
          <w:szCs w:val="22"/>
        </w:rPr>
        <w:t xml:space="preserve">, B. E., and </w:t>
      </w:r>
      <w:r w:rsidR="00431B2F">
        <w:rPr>
          <w:rFonts w:cs="Arial"/>
          <w:color w:val="000000"/>
          <w:szCs w:val="22"/>
        </w:rPr>
        <w:t xml:space="preserve">B.J. </w:t>
      </w:r>
      <w:r w:rsidRPr="000025CA">
        <w:rPr>
          <w:rFonts w:cs="Arial"/>
          <w:color w:val="000000"/>
          <w:szCs w:val="22"/>
        </w:rPr>
        <w:t xml:space="preserve">Bedford. </w:t>
      </w:r>
      <w:r w:rsidR="00431B2F">
        <w:rPr>
          <w:rFonts w:cs="Arial"/>
          <w:color w:val="000000"/>
          <w:szCs w:val="22"/>
        </w:rPr>
        <w:t xml:space="preserve"> </w:t>
      </w:r>
      <w:r w:rsidRPr="000025CA">
        <w:rPr>
          <w:rFonts w:cs="Arial"/>
          <w:color w:val="000000"/>
          <w:szCs w:val="22"/>
        </w:rPr>
        <w:t xml:space="preserve">2007. </w:t>
      </w:r>
      <w:r w:rsidR="00431B2F">
        <w:rPr>
          <w:rFonts w:cs="Arial"/>
          <w:color w:val="000000"/>
          <w:szCs w:val="22"/>
        </w:rPr>
        <w:t xml:space="preserve"> </w:t>
      </w:r>
      <w:r w:rsidRPr="000025CA">
        <w:rPr>
          <w:rFonts w:cs="Arial"/>
          <w:color w:val="000000"/>
          <w:szCs w:val="22"/>
        </w:rPr>
        <w:t xml:space="preserve">Drift </w:t>
      </w:r>
      <w:proofErr w:type="spellStart"/>
      <w:r w:rsidRPr="000025CA">
        <w:rPr>
          <w:rFonts w:cs="Arial"/>
          <w:color w:val="000000"/>
          <w:szCs w:val="22"/>
        </w:rPr>
        <w:t>rhodophyte</w:t>
      </w:r>
      <w:proofErr w:type="spellEnd"/>
      <w:r w:rsidRPr="000025CA">
        <w:rPr>
          <w:rFonts w:cs="Arial"/>
          <w:color w:val="000000"/>
          <w:szCs w:val="22"/>
        </w:rPr>
        <w:t xml:space="preserve"> blooms emerge in Lee County, Florida, USA: </w:t>
      </w:r>
      <w:r w:rsidR="00431B2F">
        <w:rPr>
          <w:rFonts w:cs="Arial"/>
          <w:color w:val="000000"/>
          <w:szCs w:val="22"/>
        </w:rPr>
        <w:t xml:space="preserve"> </w:t>
      </w:r>
      <w:r w:rsidRPr="000025CA">
        <w:rPr>
          <w:rFonts w:cs="Arial"/>
          <w:color w:val="000000"/>
          <w:szCs w:val="22"/>
        </w:rPr>
        <w:t xml:space="preserve">Evidence of escalating coastal eutrophication. </w:t>
      </w:r>
      <w:r w:rsidR="00431B2F">
        <w:rPr>
          <w:rFonts w:cs="Arial"/>
          <w:color w:val="000000"/>
          <w:szCs w:val="22"/>
        </w:rPr>
        <w:t xml:space="preserve"> </w:t>
      </w:r>
      <w:r w:rsidR="000309E2" w:rsidRPr="000309E2">
        <w:rPr>
          <w:rFonts w:cs="Arial"/>
          <w:i/>
          <w:color w:val="000000"/>
          <w:szCs w:val="22"/>
        </w:rPr>
        <w:t>Harmful Algae 6:421</w:t>
      </w:r>
      <w:r w:rsidR="00AA3594">
        <w:rPr>
          <w:rFonts w:cs="Arial"/>
          <w:i/>
          <w:color w:val="000000"/>
          <w:szCs w:val="22"/>
        </w:rPr>
        <w:t>–</w:t>
      </w:r>
      <w:r w:rsidR="000309E2" w:rsidRPr="000309E2">
        <w:rPr>
          <w:rFonts w:cs="Arial"/>
          <w:i/>
          <w:color w:val="000000"/>
          <w:szCs w:val="22"/>
        </w:rPr>
        <w:t>437.</w:t>
      </w:r>
    </w:p>
    <w:p w:rsidR="00485094" w:rsidRDefault="00485094" w:rsidP="001E335C">
      <w:pPr>
        <w:pStyle w:val="References"/>
      </w:pPr>
      <w:r>
        <w:t xml:space="preserve">Long, E.R., and L.G. Morgan.  1990.  </w:t>
      </w:r>
      <w:r>
        <w:rPr>
          <w:i/>
        </w:rPr>
        <w:t>The potential for biological effects of sediment-sorbed contaminants tested in the National Status and Trends Program.</w:t>
      </w:r>
      <w:r>
        <w:t xml:space="preserve">  National Oceanic and Atmospheric Administration Technical Memorandum NOS OMA 52.  Seattle, WA:  National Oceanic and Atmospheric Administration.  </w:t>
      </w:r>
    </w:p>
    <w:p w:rsidR="00485094" w:rsidRPr="00E25E53" w:rsidRDefault="00485094" w:rsidP="00E25E53">
      <w:pPr>
        <w:pStyle w:val="References"/>
        <w:rPr>
          <w:lang w:val="de-DE"/>
        </w:rPr>
      </w:pPr>
      <w:r w:rsidRPr="00125711">
        <w:rPr>
          <w:lang w:val="de-DE"/>
        </w:rPr>
        <w:t>MacDonald, D.D.  1994</w:t>
      </w:r>
      <w:r w:rsidRPr="001319C1">
        <w:rPr>
          <w:lang w:val="de-DE"/>
        </w:rPr>
        <w:t xml:space="preserve">.  </w:t>
      </w:r>
      <w:r w:rsidRPr="00E25E53">
        <w:rPr>
          <w:rStyle w:val="FootnoteReference"/>
          <w:i/>
          <w:vertAlign w:val="baseline"/>
          <w:lang w:val="de-DE"/>
        </w:rPr>
        <w:t>Approach to the assessment of sediment quality in Florida coastal waters</w:t>
      </w:r>
      <w:r w:rsidRPr="00E25E53">
        <w:rPr>
          <w:i/>
          <w:lang w:val="de-DE"/>
        </w:rPr>
        <w:t>.</w:t>
      </w:r>
      <w:r w:rsidRPr="00E25E53">
        <w:rPr>
          <w:lang w:val="de-DE"/>
        </w:rPr>
        <w:t xml:space="preserve">  </w:t>
      </w:r>
      <w:r w:rsidRPr="00E25E53">
        <w:rPr>
          <w:rStyle w:val="FootnoteReference"/>
          <w:vertAlign w:val="baseline"/>
          <w:lang w:val="de-DE"/>
        </w:rPr>
        <w:t>M</w:t>
      </w:r>
      <w:r>
        <w:rPr>
          <w:lang w:val="de-DE"/>
        </w:rPr>
        <w:t>a</w:t>
      </w:r>
      <w:r w:rsidRPr="00E25E53">
        <w:rPr>
          <w:rStyle w:val="FootnoteReference"/>
          <w:vertAlign w:val="baseline"/>
          <w:lang w:val="de-DE"/>
        </w:rPr>
        <w:t>cDonald Environmental Sciences Ltd.</w:t>
      </w:r>
      <w:r>
        <w:rPr>
          <w:lang w:val="de-DE"/>
        </w:rPr>
        <w:t xml:space="preserve">  Prepared for the Florida Department of </w:t>
      </w:r>
      <w:r>
        <w:rPr>
          <w:lang w:val="de-DE"/>
        </w:rPr>
        <w:lastRenderedPageBreak/>
        <w:t xml:space="preserve">Environmental Protection.  Available:  </w:t>
      </w:r>
      <w:r w:rsidR="00B2471C">
        <w:fldChar w:fldCharType="begin"/>
      </w:r>
      <w:r w:rsidR="00B2471C">
        <w:instrText>HYPERLINK "http://www.dep.state.fl.us/waste/quick_topics/publications/documents/sediment/volume2.pdf"</w:instrText>
      </w:r>
      <w:r w:rsidR="00B2471C">
        <w:fldChar w:fldCharType="separate"/>
      </w:r>
      <w:r w:rsidRPr="005F7EAB">
        <w:rPr>
          <w:rStyle w:val="Hyperlink"/>
          <w:lang w:val="de-DE"/>
        </w:rPr>
        <w:t>http://www.dep.state.fl.us/waste/quick_topics/</w:t>
      </w:r>
      <w:r w:rsidRPr="005F7EAB">
        <w:rPr>
          <w:rStyle w:val="Hyperlink"/>
          <w:lang w:val="de-DE"/>
        </w:rPr>
        <w:br/>
        <w:t>publications/documents/sediment/volume2.pdf</w:t>
      </w:r>
      <w:r w:rsidR="00B2471C">
        <w:fldChar w:fldCharType="end"/>
      </w:r>
      <w:r>
        <w:rPr>
          <w:lang w:val="de-DE"/>
        </w:rPr>
        <w:t>.</w:t>
      </w:r>
    </w:p>
    <w:p w:rsidR="00485094" w:rsidRDefault="00485094" w:rsidP="003917BD">
      <w:pPr>
        <w:pStyle w:val="References"/>
        <w:rPr>
          <w:i/>
        </w:rPr>
      </w:pPr>
      <w:r w:rsidRPr="006B1693">
        <w:t xml:space="preserve">MacDonald Environmental Sciences Ltd. and </w:t>
      </w:r>
      <w:r>
        <w:t xml:space="preserve">U.S. </w:t>
      </w:r>
      <w:r w:rsidRPr="006B1693">
        <w:t>Geological Survey</w:t>
      </w:r>
      <w:r>
        <w:t>.</w:t>
      </w:r>
      <w:r w:rsidRPr="006B1693">
        <w:t xml:space="preserve">  2003.  </w:t>
      </w:r>
      <w:r w:rsidRPr="00E25E53">
        <w:rPr>
          <w:i/>
        </w:rPr>
        <w:t>Development and evaluation of numerical sediment quality assessment guidelines for Florida inland waters.</w:t>
      </w:r>
      <w:r>
        <w:rPr>
          <w:i/>
        </w:rPr>
        <w:t xml:space="preserve">  </w:t>
      </w:r>
      <w:r w:rsidRPr="00136F87">
        <w:t xml:space="preserve">Available:  </w:t>
      </w:r>
      <w:hyperlink r:id="rId280" w:history="1">
        <w:r w:rsidRPr="005F7EAB">
          <w:rPr>
            <w:rStyle w:val="Hyperlink"/>
          </w:rPr>
          <w:t>http://www.dep.state.fl.us/water/monitoring/docs/seds/SQAGs_for_</w:t>
        </w:r>
        <w:r w:rsidRPr="005F7EAB">
          <w:rPr>
            <w:rStyle w:val="Hyperlink"/>
          </w:rPr>
          <w:br/>
          <w:t>Florida_Inland_Waters_01_03.PDF</w:t>
        </w:r>
      </w:hyperlink>
      <w:r>
        <w:rPr>
          <w:i/>
        </w:rPr>
        <w:t>.</w:t>
      </w:r>
    </w:p>
    <w:p w:rsidR="00485094" w:rsidRPr="003917BD" w:rsidRDefault="00485094" w:rsidP="003917BD">
      <w:pPr>
        <w:pStyle w:val="References"/>
        <w:rPr>
          <w:rFonts w:cs="Arial"/>
          <w:color w:val="000000"/>
        </w:rPr>
      </w:pPr>
      <w:proofErr w:type="spellStart"/>
      <w:r w:rsidRPr="003917BD">
        <w:rPr>
          <w:rFonts w:cs="Arial"/>
          <w:color w:val="000000"/>
        </w:rPr>
        <w:t>Marella</w:t>
      </w:r>
      <w:proofErr w:type="spellEnd"/>
      <w:r w:rsidRPr="003917BD">
        <w:rPr>
          <w:rFonts w:cs="Arial"/>
          <w:color w:val="000000"/>
        </w:rPr>
        <w:t xml:space="preserve">, R.L. </w:t>
      </w:r>
      <w:r>
        <w:rPr>
          <w:rFonts w:cs="Arial"/>
          <w:color w:val="000000"/>
        </w:rPr>
        <w:t xml:space="preserve"> 2009. </w:t>
      </w:r>
      <w:r w:rsidRPr="003917BD">
        <w:rPr>
          <w:rFonts w:cs="Arial"/>
          <w:color w:val="000000"/>
        </w:rPr>
        <w:t xml:space="preserve"> Water withdrawals, use, and trends in Florida, 2005</w:t>
      </w:r>
      <w:r w:rsidR="00431B2F">
        <w:rPr>
          <w:rFonts w:cs="Arial"/>
          <w:color w:val="000000"/>
        </w:rPr>
        <w:t xml:space="preserve">.  </w:t>
      </w:r>
      <w:r w:rsidRPr="003917BD">
        <w:rPr>
          <w:rFonts w:cs="Arial"/>
          <w:color w:val="000000"/>
        </w:rPr>
        <w:t>U.S. Geological Survey Scientific Investigations Report 2009-5125</w:t>
      </w:r>
      <w:r w:rsidR="00431B2F">
        <w:rPr>
          <w:rFonts w:cs="Arial"/>
          <w:color w:val="000000"/>
        </w:rPr>
        <w:t>.</w:t>
      </w:r>
      <w:r>
        <w:rPr>
          <w:rFonts w:cs="Arial"/>
          <w:color w:val="000000"/>
        </w:rPr>
        <w:t xml:space="preserve">  Available:  </w:t>
      </w:r>
      <w:hyperlink r:id="rId281" w:history="1">
        <w:r w:rsidR="005C7479" w:rsidRPr="00BF2DFB">
          <w:rPr>
            <w:rStyle w:val="Hyperlink"/>
            <w:rFonts w:cs="Arial"/>
          </w:rPr>
          <w:t>http://pubs.usgs.gov/</w:t>
        </w:r>
        <w:r w:rsidR="000309E2" w:rsidRPr="000309E2">
          <w:rPr>
            <w:rStyle w:val="Hyperlink"/>
            <w:rFonts w:cs="Arial"/>
          </w:rPr>
          <w:br/>
          <w:t>sir/2009/5125/</w:t>
        </w:r>
      </w:hyperlink>
      <w:r w:rsidR="00431B2F">
        <w:t>.</w:t>
      </w:r>
    </w:p>
    <w:p w:rsidR="00485094" w:rsidRDefault="00485094" w:rsidP="00FA232C">
      <w:pPr>
        <w:pStyle w:val="References"/>
      </w:pPr>
      <w:r>
        <w:t xml:space="preserve">National Oceanic and Atmospheric Administration.  2010.  </w:t>
      </w:r>
      <w:r w:rsidRPr="00B820CA">
        <w:rPr>
          <w:i/>
        </w:rPr>
        <w:t>Harmful Algal Bloom Operational Forecast System</w:t>
      </w:r>
      <w:r>
        <w:rPr>
          <w:i/>
        </w:rPr>
        <w:t xml:space="preserve"> website</w:t>
      </w:r>
      <w:r w:rsidRPr="00B820CA">
        <w:rPr>
          <w:i/>
        </w:rPr>
        <w:t xml:space="preserve">.  </w:t>
      </w:r>
      <w:r>
        <w:t xml:space="preserve">Available:  </w:t>
      </w:r>
      <w:hyperlink r:id="rId282" w:history="1">
        <w:r w:rsidRPr="00C57FE5">
          <w:rPr>
            <w:rStyle w:val="Hyperlink"/>
          </w:rPr>
          <w:t>http://tidesandcurrents.noaa.gov/hab/</w:t>
        </w:r>
      </w:hyperlink>
      <w:r>
        <w:t>.</w:t>
      </w:r>
    </w:p>
    <w:p w:rsidR="00485094" w:rsidRDefault="00485094" w:rsidP="007B1DF7">
      <w:pPr>
        <w:pStyle w:val="References"/>
        <w:rPr>
          <w:rFonts w:ascii="AGaramondPro-Regular" w:hAnsi="AGaramondPro-Regular" w:cs="AGaramondPro-Regular"/>
          <w:color w:val="231F20"/>
        </w:rPr>
      </w:pPr>
      <w:r>
        <w:t xml:space="preserve">Natural Resources Defense Council.  April 2007.  </w:t>
      </w:r>
      <w:r w:rsidRPr="002F434A">
        <w:rPr>
          <w:rFonts w:ascii="AGaramondPro-Regular" w:hAnsi="AGaramondPro-Regular" w:cs="AGaramondPro-Regular"/>
          <w:i/>
          <w:color w:val="231F20"/>
        </w:rPr>
        <w:t xml:space="preserve">Florida’s coastal and ocean future:  A blueprint for economic and environmental leadership. </w:t>
      </w:r>
      <w:r>
        <w:rPr>
          <w:rFonts w:ascii="AGaramondPro-Regular" w:hAnsi="AGaramondPro-Regular" w:cs="AGaramondPro-Regular"/>
          <w:color w:val="231F20"/>
        </w:rPr>
        <w:t xml:space="preserve"> </w:t>
      </w:r>
      <w:r>
        <w:t xml:space="preserve">Florida Ocean and Coastal Coalition.  </w:t>
      </w:r>
      <w:r>
        <w:rPr>
          <w:rFonts w:ascii="AGaramondPro-Regular" w:hAnsi="AGaramondPro-Regular" w:cs="AGaramondPro-Regular"/>
          <w:color w:val="231F20"/>
        </w:rPr>
        <w:t xml:space="preserve">Issue Paper.  Available:  </w:t>
      </w:r>
      <w:hyperlink r:id="rId283" w:history="1">
        <w:r w:rsidRPr="00C57FE5">
          <w:rPr>
            <w:rStyle w:val="Hyperlink"/>
            <w:rFonts w:ascii="AGaramondPro-Regular" w:hAnsi="AGaramondPro-Regular" w:cs="AGaramondPro-Regular"/>
          </w:rPr>
          <w:t>http://www.nrdc.org/water/oceans/florida/flfuture.pdf</w:t>
        </w:r>
      </w:hyperlink>
      <w:r>
        <w:rPr>
          <w:rFonts w:ascii="AGaramondPro-Regular" w:hAnsi="AGaramondPro-Regular" w:cs="AGaramondPro-Regular"/>
          <w:color w:val="231F20"/>
        </w:rPr>
        <w:t>.</w:t>
      </w:r>
    </w:p>
    <w:p w:rsidR="00485094" w:rsidRDefault="00485094" w:rsidP="00E25E53">
      <w:pPr>
        <w:pStyle w:val="References"/>
        <w:rPr>
          <w:szCs w:val="22"/>
        </w:rPr>
      </w:pPr>
      <w:r>
        <w:rPr>
          <w:szCs w:val="22"/>
        </w:rPr>
        <w:t xml:space="preserve">Netstate.com website.  2010.  </w:t>
      </w:r>
      <w:r w:rsidRPr="007A2902">
        <w:rPr>
          <w:i/>
          <w:szCs w:val="22"/>
        </w:rPr>
        <w:t>The state of Florida.</w:t>
      </w:r>
      <w:r>
        <w:rPr>
          <w:szCs w:val="22"/>
        </w:rPr>
        <w:t xml:space="preserve">  Available:  </w:t>
      </w:r>
      <w:hyperlink r:id="rId284" w:history="1">
        <w:r w:rsidRPr="005F7EAB">
          <w:rPr>
            <w:rStyle w:val="Hyperlink"/>
            <w:szCs w:val="22"/>
          </w:rPr>
          <w:t>http://www.netstate.com/</w:t>
        </w:r>
        <w:r w:rsidRPr="005F7EAB">
          <w:rPr>
            <w:rStyle w:val="Hyperlink"/>
            <w:szCs w:val="22"/>
          </w:rPr>
          <w:br/>
          <w:t>states/intro/fl_intro.htm</w:t>
        </w:r>
      </w:hyperlink>
      <w:r>
        <w:rPr>
          <w:szCs w:val="22"/>
        </w:rPr>
        <w:t>.</w:t>
      </w:r>
    </w:p>
    <w:p w:rsidR="00485094" w:rsidRDefault="00485094" w:rsidP="00E25E53">
      <w:pPr>
        <w:pStyle w:val="References"/>
        <w:rPr>
          <w:szCs w:val="22"/>
        </w:rPr>
      </w:pPr>
      <w:r>
        <w:rPr>
          <w:szCs w:val="22"/>
        </w:rPr>
        <w:t xml:space="preserve">Northwest Florida Water Management District.  September 19, 2007.  </w:t>
      </w:r>
      <w:r w:rsidRPr="00B820CA">
        <w:rPr>
          <w:i/>
          <w:szCs w:val="22"/>
        </w:rPr>
        <w:t xml:space="preserve">Environmental resource permitting in Florida’s Panhandle.  </w:t>
      </w:r>
      <w:r>
        <w:rPr>
          <w:szCs w:val="22"/>
        </w:rPr>
        <w:t xml:space="preserve">Brochure.  District Publication Number PIC 07-01.  Available:  </w:t>
      </w:r>
      <w:hyperlink r:id="rId285" w:history="1">
        <w:r w:rsidRPr="00C57FE5">
          <w:rPr>
            <w:rStyle w:val="Hyperlink"/>
            <w:szCs w:val="22"/>
          </w:rPr>
          <w:t>http://www.dep.state.fl.us/water/wetlands/docs/erp/nwerp_brochure.pdf</w:t>
        </w:r>
      </w:hyperlink>
      <w:r>
        <w:rPr>
          <w:szCs w:val="22"/>
        </w:rPr>
        <w:t>.</w:t>
      </w:r>
    </w:p>
    <w:p w:rsidR="00485094" w:rsidRDefault="00485094" w:rsidP="00E25E53">
      <w:pPr>
        <w:pStyle w:val="References"/>
      </w:pPr>
      <w:r>
        <w:rPr>
          <w:szCs w:val="22"/>
        </w:rPr>
        <w:t xml:space="preserve">Obreza, </w:t>
      </w:r>
      <w:r w:rsidRPr="00B605D1">
        <w:rPr>
          <w:szCs w:val="22"/>
        </w:rPr>
        <w:t>T</w:t>
      </w:r>
      <w:r>
        <w:rPr>
          <w:szCs w:val="22"/>
        </w:rPr>
        <w:t xml:space="preserve">., M. Clark, B. Boman, T. Borisova, and M. Cohen, et al.  A guide to EPA’s proposed numeric nutrient water quality criteria for Florida.  SL316.  Gainesville, FL:  </w:t>
      </w:r>
      <w:r w:rsidRPr="00F6674C">
        <w:t>University of Florida Institute of Food and Agricultural Sciences</w:t>
      </w:r>
      <w:r>
        <w:t xml:space="preserve">.  Available:  </w:t>
      </w:r>
      <w:hyperlink r:id="rId286" w:history="1">
        <w:r w:rsidRPr="005F7EAB">
          <w:rPr>
            <w:rStyle w:val="Hyperlink"/>
          </w:rPr>
          <w:t>http://edis.ifas.</w:t>
        </w:r>
        <w:r w:rsidRPr="005F7EAB">
          <w:rPr>
            <w:rStyle w:val="Hyperlink"/>
          </w:rPr>
          <w:br/>
          <w:t>ufl.edu/pdffiles/SS/SS52800.pdf</w:t>
        </w:r>
      </w:hyperlink>
      <w:r>
        <w:t>.</w:t>
      </w:r>
    </w:p>
    <w:p w:rsidR="00485094" w:rsidRDefault="00485094" w:rsidP="00376229">
      <w:pPr>
        <w:pStyle w:val="References"/>
        <w:rPr>
          <w:rFonts w:cs="Arial"/>
          <w:color w:val="000000"/>
          <w:szCs w:val="22"/>
        </w:rPr>
      </w:pPr>
      <w:r w:rsidRPr="001319C1">
        <w:rPr>
          <w:szCs w:val="22"/>
        </w:rPr>
        <w:t xml:space="preserve">Ollis, S., and G. Redfield.  2010.  </w:t>
      </w:r>
      <w:r w:rsidRPr="005263D3">
        <w:rPr>
          <w:szCs w:val="22"/>
        </w:rPr>
        <w:t xml:space="preserve">Introduction.  </w:t>
      </w:r>
      <w:r w:rsidR="000309E2" w:rsidRPr="000309E2">
        <w:rPr>
          <w:i/>
          <w:szCs w:val="22"/>
        </w:rPr>
        <w:t>In:</w:t>
      </w:r>
      <w:r>
        <w:rPr>
          <w:i/>
          <w:szCs w:val="22"/>
        </w:rPr>
        <w:t xml:space="preserve">  </w:t>
      </w:r>
      <w:r w:rsidRPr="001319C1">
        <w:rPr>
          <w:i/>
          <w:iCs/>
          <w:szCs w:val="22"/>
        </w:rPr>
        <w:t>2010 South Florida environmental report</w:t>
      </w:r>
      <w:r>
        <w:rPr>
          <w:i/>
          <w:iCs/>
          <w:szCs w:val="22"/>
        </w:rPr>
        <w:t xml:space="preserve">, </w:t>
      </w:r>
      <w:r w:rsidRPr="001319C1">
        <w:rPr>
          <w:szCs w:val="22"/>
        </w:rPr>
        <w:t xml:space="preserve"> </w:t>
      </w:r>
      <w:r w:rsidRPr="0068128A">
        <w:rPr>
          <w:i/>
          <w:iCs/>
          <w:szCs w:val="22"/>
        </w:rPr>
        <w:t xml:space="preserve">Volume I, </w:t>
      </w:r>
      <w:r w:rsidRPr="0068128A">
        <w:rPr>
          <w:i/>
          <w:szCs w:val="22"/>
        </w:rPr>
        <w:t>Chapter 1</w:t>
      </w:r>
      <w:r>
        <w:rPr>
          <w:szCs w:val="22"/>
        </w:rPr>
        <w:t xml:space="preserve"> (</w:t>
      </w:r>
      <w:r w:rsidRPr="001319C1">
        <w:rPr>
          <w:szCs w:val="22"/>
        </w:rPr>
        <w:t>West Palm Beach, FL:  South Flori</w:t>
      </w:r>
      <w:r>
        <w:rPr>
          <w:szCs w:val="22"/>
        </w:rPr>
        <w:t xml:space="preserve">da Water Management District).  </w:t>
      </w:r>
      <w:r w:rsidRPr="001319C1">
        <w:rPr>
          <w:szCs w:val="22"/>
        </w:rPr>
        <w:t xml:space="preserve">Available: </w:t>
      </w:r>
      <w:r>
        <w:rPr>
          <w:szCs w:val="22"/>
        </w:rPr>
        <w:t xml:space="preserve"> </w:t>
      </w:r>
      <w:hyperlink r:id="rId287" w:history="1">
        <w:r w:rsidR="005C7479" w:rsidRPr="00BF2DFB">
          <w:rPr>
            <w:rStyle w:val="Hyperlink"/>
            <w:rFonts w:cs="Arial"/>
            <w:szCs w:val="22"/>
          </w:rPr>
          <w:t>https://my.sfwmd.gov/portal/page/portal/pg_grp_sfwmd_sfer/</w:t>
        </w:r>
        <w:r w:rsidR="005C7479" w:rsidRPr="00BF2DFB">
          <w:rPr>
            <w:rStyle w:val="Hyperlink"/>
            <w:rFonts w:cs="Arial"/>
            <w:szCs w:val="22"/>
          </w:rPr>
          <w:br/>
          <w:t>portlet_sfer/tab2236037/2010%20report/v1/c</w:t>
        </w:r>
        <w:r w:rsidR="000309E2" w:rsidRPr="000309E2">
          <w:rPr>
            <w:rStyle w:val="Hyperlink"/>
            <w:rFonts w:cs="Arial"/>
            <w:szCs w:val="22"/>
          </w:rPr>
          <w:t>hapters/v1_ch1.pdf</w:t>
        </w:r>
      </w:hyperlink>
      <w:r w:rsidRPr="001319C1">
        <w:rPr>
          <w:rFonts w:cs="Arial"/>
          <w:color w:val="000000"/>
          <w:szCs w:val="22"/>
        </w:rPr>
        <w:t>.</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and </w:t>
      </w:r>
      <w:r w:rsidR="00431B2F">
        <w:rPr>
          <w:rFonts w:cs="Arial"/>
          <w:color w:val="000000"/>
          <w:szCs w:val="22"/>
        </w:rPr>
        <w:t xml:space="preserve">T.L. </w:t>
      </w:r>
      <w:r w:rsidRPr="000025CA">
        <w:rPr>
          <w:rFonts w:cs="Arial"/>
          <w:color w:val="000000"/>
          <w:szCs w:val="22"/>
        </w:rPr>
        <w:t xml:space="preserve">Lynch.  1999. Blooms of the </w:t>
      </w:r>
      <w:proofErr w:type="spellStart"/>
      <w:r w:rsidRPr="000025CA">
        <w:rPr>
          <w:rFonts w:cs="Arial"/>
          <w:color w:val="000000"/>
          <w:szCs w:val="22"/>
        </w:rPr>
        <w:t>picoplanktonic</w:t>
      </w:r>
      <w:proofErr w:type="spellEnd"/>
      <w:r w:rsidRPr="000025CA">
        <w:rPr>
          <w:rFonts w:cs="Arial"/>
          <w:color w:val="000000"/>
          <w:szCs w:val="22"/>
        </w:rPr>
        <w:t xml:space="preserve"> </w:t>
      </w:r>
      <w:proofErr w:type="spellStart"/>
      <w:r w:rsidRPr="000025CA">
        <w:rPr>
          <w:rFonts w:cs="Arial"/>
          <w:color w:val="000000"/>
          <w:szCs w:val="22"/>
        </w:rPr>
        <w:t>Cyanobacterium</w:t>
      </w:r>
      <w:proofErr w:type="spellEnd"/>
      <w:r w:rsidRPr="000025CA">
        <w:rPr>
          <w:rFonts w:cs="Arial"/>
          <w:color w:val="000000"/>
          <w:szCs w:val="22"/>
        </w:rPr>
        <w:t xml:space="preserve"> </w:t>
      </w:r>
      <w:proofErr w:type="spellStart"/>
      <w:r w:rsidRPr="000025CA">
        <w:rPr>
          <w:rFonts w:cs="Arial"/>
          <w:color w:val="000000"/>
          <w:szCs w:val="22"/>
        </w:rPr>
        <w:t>Synechococcus</w:t>
      </w:r>
      <w:proofErr w:type="spellEnd"/>
      <w:r w:rsidRPr="000025CA">
        <w:rPr>
          <w:rFonts w:cs="Arial"/>
          <w:color w:val="000000"/>
          <w:szCs w:val="22"/>
        </w:rPr>
        <w:t xml:space="preserve"> in Florida Bay. </w:t>
      </w:r>
      <w:r>
        <w:rPr>
          <w:rFonts w:cs="Arial"/>
          <w:color w:val="000000"/>
          <w:szCs w:val="22"/>
        </w:rPr>
        <w:t xml:space="preserve"> </w:t>
      </w:r>
      <w:proofErr w:type="spellStart"/>
      <w:r w:rsidR="000309E2" w:rsidRPr="000309E2">
        <w:rPr>
          <w:rFonts w:cs="Arial"/>
          <w:i/>
          <w:color w:val="000000"/>
          <w:szCs w:val="22"/>
        </w:rPr>
        <w:t>Limnol</w:t>
      </w:r>
      <w:proofErr w:type="spellEnd"/>
      <w:r w:rsidR="000309E2" w:rsidRPr="000309E2">
        <w:rPr>
          <w:rFonts w:cs="Arial"/>
          <w:i/>
          <w:color w:val="000000"/>
          <w:szCs w:val="22"/>
        </w:rPr>
        <w:t xml:space="preserve">. </w:t>
      </w:r>
      <w:proofErr w:type="spellStart"/>
      <w:r w:rsidR="000309E2" w:rsidRPr="000309E2">
        <w:rPr>
          <w:rFonts w:cs="Arial"/>
          <w:i/>
          <w:color w:val="000000"/>
          <w:szCs w:val="22"/>
        </w:rPr>
        <w:t>Oceanogr</w:t>
      </w:r>
      <w:proofErr w:type="spellEnd"/>
      <w:r w:rsidR="000309E2" w:rsidRPr="000309E2">
        <w:rPr>
          <w:rFonts w:cs="Arial"/>
          <w:i/>
          <w:color w:val="000000"/>
          <w:szCs w:val="22"/>
        </w:rPr>
        <w:t>. 44:1166</w:t>
      </w:r>
      <w:r w:rsidR="00431B2F">
        <w:rPr>
          <w:rFonts w:cs="Arial"/>
          <w:i/>
          <w:color w:val="000000"/>
          <w:szCs w:val="22"/>
        </w:rPr>
        <w:t>–</w:t>
      </w:r>
      <w:r w:rsidR="000309E2" w:rsidRPr="000309E2">
        <w:rPr>
          <w:rFonts w:cs="Arial"/>
          <w:i/>
          <w:color w:val="000000"/>
          <w:szCs w:val="22"/>
        </w:rPr>
        <w:t>1175.</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E.L.</w:t>
      </w:r>
      <w:r w:rsidRPr="000025CA">
        <w:rPr>
          <w:rFonts w:cs="Arial"/>
          <w:color w:val="000000"/>
          <w:szCs w:val="22"/>
        </w:rPr>
        <w:t xml:space="preserve"> Bledsoe, and </w:t>
      </w:r>
      <w:r w:rsidR="00431B2F">
        <w:rPr>
          <w:rFonts w:cs="Arial"/>
          <w:color w:val="000000"/>
          <w:szCs w:val="22"/>
        </w:rPr>
        <w:t xml:space="preserve">M. </w:t>
      </w:r>
      <w:r w:rsidRPr="000025CA">
        <w:rPr>
          <w:rFonts w:cs="Arial"/>
          <w:color w:val="000000"/>
          <w:szCs w:val="22"/>
        </w:rPr>
        <w:t>Cichra.</w:t>
      </w:r>
      <w:r w:rsidR="00431B2F">
        <w:rPr>
          <w:rFonts w:cs="Arial"/>
          <w:color w:val="000000"/>
          <w:szCs w:val="22"/>
        </w:rPr>
        <w:t xml:space="preserve"> </w:t>
      </w:r>
      <w:r w:rsidRPr="000025CA">
        <w:rPr>
          <w:rFonts w:cs="Arial"/>
          <w:color w:val="000000"/>
          <w:szCs w:val="22"/>
        </w:rPr>
        <w:t xml:space="preserve"> 2006.  Factors influencing</w:t>
      </w:r>
      <w:r>
        <w:rPr>
          <w:rFonts w:cs="Arial"/>
          <w:color w:val="000000"/>
          <w:szCs w:val="22"/>
        </w:rPr>
        <w:t xml:space="preserve"> </w:t>
      </w:r>
      <w:r w:rsidRPr="000025CA">
        <w:rPr>
          <w:rFonts w:cs="Arial"/>
          <w:color w:val="000000"/>
          <w:szCs w:val="22"/>
        </w:rPr>
        <w:t xml:space="preserve">the distribution and abundance of Pyrodinium bahamense in coastal ecosystems of Florida. </w:t>
      </w:r>
      <w:r>
        <w:rPr>
          <w:rFonts w:cs="Arial"/>
          <w:color w:val="000000"/>
          <w:szCs w:val="22"/>
        </w:rPr>
        <w:t xml:space="preserve"> </w:t>
      </w:r>
      <w:r w:rsidR="000309E2" w:rsidRPr="000309E2">
        <w:rPr>
          <w:rFonts w:cs="Arial"/>
          <w:i/>
          <w:color w:val="000000"/>
          <w:szCs w:val="22"/>
        </w:rPr>
        <w:t xml:space="preserve">Mar. Ecol. </w:t>
      </w:r>
      <w:proofErr w:type="spellStart"/>
      <w:r w:rsidR="000309E2" w:rsidRPr="000309E2">
        <w:rPr>
          <w:rFonts w:cs="Arial"/>
          <w:i/>
          <w:color w:val="000000"/>
          <w:szCs w:val="22"/>
        </w:rPr>
        <w:t>Progr</w:t>
      </w:r>
      <w:proofErr w:type="spellEnd"/>
      <w:r w:rsidR="000309E2" w:rsidRPr="000309E2">
        <w:rPr>
          <w:rFonts w:cs="Arial"/>
          <w:i/>
          <w:color w:val="000000"/>
          <w:szCs w:val="22"/>
        </w:rPr>
        <w:t>. Ser. 322:99</w:t>
      </w:r>
      <w:r w:rsidR="00AA3594">
        <w:rPr>
          <w:rFonts w:cs="Arial"/>
          <w:i/>
          <w:color w:val="000000"/>
          <w:szCs w:val="22"/>
        </w:rPr>
        <w:t>–</w:t>
      </w:r>
      <w:r w:rsidR="000309E2" w:rsidRPr="000309E2">
        <w:rPr>
          <w:rFonts w:cs="Arial"/>
          <w:i/>
          <w:color w:val="000000"/>
          <w:szCs w:val="22"/>
        </w:rPr>
        <w:t>115.</w:t>
      </w:r>
      <w:r w:rsidRPr="000025CA">
        <w:rPr>
          <w:rFonts w:cs="Arial"/>
          <w:color w:val="000000"/>
          <w:szCs w:val="22"/>
        </w:rPr>
        <w:t xml:space="preserve"> </w:t>
      </w:r>
    </w:p>
    <w:p w:rsidR="00485094" w:rsidRPr="00431B2F" w:rsidRDefault="00485094" w:rsidP="00376229">
      <w:pPr>
        <w:pStyle w:val="References"/>
        <w:rPr>
          <w:rFonts w:cs="Arial"/>
          <w:i/>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M.</w:t>
      </w:r>
      <w:r w:rsidRPr="000025CA">
        <w:rPr>
          <w:rFonts w:cs="Arial"/>
          <w:color w:val="000000"/>
          <w:szCs w:val="22"/>
        </w:rPr>
        <w:t xml:space="preserve"> </w:t>
      </w:r>
      <w:proofErr w:type="spellStart"/>
      <w:r w:rsidRPr="000025CA">
        <w:rPr>
          <w:rFonts w:cs="Arial"/>
          <w:color w:val="000000"/>
          <w:szCs w:val="22"/>
        </w:rPr>
        <w:t>Christman</w:t>
      </w:r>
      <w:proofErr w:type="spellEnd"/>
      <w:r w:rsidRPr="000025CA">
        <w:rPr>
          <w:rFonts w:cs="Arial"/>
          <w:color w:val="000000"/>
          <w:szCs w:val="22"/>
        </w:rPr>
        <w:t xml:space="preserve">, and </w:t>
      </w:r>
      <w:r w:rsidR="00431B2F">
        <w:rPr>
          <w:rFonts w:cs="Arial"/>
          <w:color w:val="000000"/>
          <w:szCs w:val="22"/>
        </w:rPr>
        <w:t xml:space="preserve">M. </w:t>
      </w:r>
      <w:proofErr w:type="spellStart"/>
      <w:r w:rsidRPr="000025CA">
        <w:rPr>
          <w:rFonts w:cs="Arial"/>
          <w:color w:val="000000"/>
          <w:szCs w:val="22"/>
        </w:rPr>
        <w:t>Lasi</w:t>
      </w:r>
      <w:proofErr w:type="spellEnd"/>
      <w:r w:rsidRPr="000025CA">
        <w:rPr>
          <w:rFonts w:cs="Arial"/>
          <w:color w:val="000000"/>
          <w:szCs w:val="22"/>
        </w:rPr>
        <w:t xml:space="preserve">.  2010a.  Climatic trends and temporal patterns of phytoplankton composition, abundance and succession in the Indian River Lagoon, Florida, USA.  </w:t>
      </w:r>
      <w:r w:rsidR="000309E2" w:rsidRPr="000309E2">
        <w:rPr>
          <w:rFonts w:cs="Arial"/>
          <w:i/>
          <w:color w:val="000000"/>
          <w:szCs w:val="22"/>
        </w:rPr>
        <w:t>Estuaries and Coasts 33:498</w:t>
      </w:r>
      <w:r w:rsidR="00AA3594">
        <w:rPr>
          <w:rFonts w:cs="Arial"/>
          <w:i/>
          <w:color w:val="000000"/>
          <w:szCs w:val="22"/>
        </w:rPr>
        <w:t>–</w:t>
      </w:r>
      <w:r w:rsidR="000309E2" w:rsidRPr="000309E2">
        <w:rPr>
          <w:rFonts w:cs="Arial"/>
          <w:i/>
          <w:color w:val="000000"/>
          <w:szCs w:val="22"/>
        </w:rPr>
        <w:t>513.</w:t>
      </w:r>
    </w:p>
    <w:p w:rsidR="00485094" w:rsidRDefault="00485094" w:rsidP="00376229">
      <w:pPr>
        <w:pStyle w:val="References"/>
        <w:rPr>
          <w:rFonts w:cs="Arial"/>
          <w:color w:val="000000"/>
          <w:szCs w:val="22"/>
        </w:rPr>
      </w:pPr>
      <w:r w:rsidRPr="000025CA">
        <w:rPr>
          <w:rFonts w:cs="Arial"/>
          <w:color w:val="000000"/>
          <w:szCs w:val="22"/>
        </w:rPr>
        <w:t xml:space="preserve">Phlips, E. J., </w:t>
      </w:r>
      <w:r w:rsidR="00431B2F">
        <w:rPr>
          <w:rFonts w:cs="Arial"/>
          <w:color w:val="000000"/>
          <w:szCs w:val="22"/>
        </w:rPr>
        <w:t xml:space="preserve">S. </w:t>
      </w:r>
      <w:r w:rsidRPr="000025CA">
        <w:rPr>
          <w:rFonts w:cs="Arial"/>
          <w:color w:val="000000"/>
          <w:szCs w:val="22"/>
        </w:rPr>
        <w:t xml:space="preserve">Badylak, </w:t>
      </w:r>
      <w:r w:rsidR="00431B2F">
        <w:rPr>
          <w:rFonts w:cs="Arial"/>
          <w:color w:val="000000"/>
          <w:szCs w:val="22"/>
        </w:rPr>
        <w:t>M.</w:t>
      </w:r>
      <w:r w:rsidRPr="000025CA">
        <w:rPr>
          <w:rFonts w:cs="Arial"/>
          <w:color w:val="000000"/>
          <w:szCs w:val="22"/>
        </w:rPr>
        <w:t xml:space="preserve"> </w:t>
      </w:r>
      <w:proofErr w:type="spellStart"/>
      <w:r w:rsidRPr="000025CA">
        <w:rPr>
          <w:rFonts w:cs="Arial"/>
          <w:color w:val="000000"/>
          <w:szCs w:val="22"/>
        </w:rPr>
        <w:t>Christman</w:t>
      </w:r>
      <w:proofErr w:type="spellEnd"/>
      <w:r w:rsidRPr="000025CA">
        <w:rPr>
          <w:rFonts w:cs="Arial"/>
          <w:color w:val="000000"/>
          <w:szCs w:val="22"/>
        </w:rPr>
        <w:t xml:space="preserve">, </w:t>
      </w:r>
      <w:r w:rsidR="00431B2F">
        <w:rPr>
          <w:rFonts w:cs="Arial"/>
          <w:color w:val="000000"/>
          <w:szCs w:val="22"/>
        </w:rPr>
        <w:t>J.</w:t>
      </w:r>
      <w:r w:rsidRPr="000025CA">
        <w:rPr>
          <w:rFonts w:cs="Arial"/>
          <w:color w:val="000000"/>
          <w:szCs w:val="22"/>
        </w:rPr>
        <w:t xml:space="preserve"> </w:t>
      </w:r>
      <w:proofErr w:type="spellStart"/>
      <w:r w:rsidRPr="000025CA">
        <w:rPr>
          <w:rFonts w:cs="Arial"/>
          <w:color w:val="000000"/>
          <w:szCs w:val="22"/>
        </w:rPr>
        <w:t>Wolney</w:t>
      </w:r>
      <w:proofErr w:type="spellEnd"/>
      <w:r w:rsidRPr="000025CA">
        <w:rPr>
          <w:rFonts w:cs="Arial"/>
          <w:color w:val="000000"/>
          <w:szCs w:val="22"/>
        </w:rPr>
        <w:t xml:space="preserve">, </w:t>
      </w:r>
      <w:r w:rsidR="00431B2F">
        <w:rPr>
          <w:rFonts w:cs="Arial"/>
          <w:color w:val="000000"/>
          <w:szCs w:val="22"/>
        </w:rPr>
        <w:t>J.</w:t>
      </w:r>
      <w:r w:rsidRPr="000025CA">
        <w:rPr>
          <w:rFonts w:cs="Arial"/>
          <w:color w:val="000000"/>
          <w:szCs w:val="22"/>
        </w:rPr>
        <w:t xml:space="preserve"> Garland, </w:t>
      </w:r>
      <w:r w:rsidR="00431B2F">
        <w:rPr>
          <w:rFonts w:cs="Arial"/>
          <w:color w:val="000000"/>
          <w:szCs w:val="22"/>
        </w:rPr>
        <w:t>and L.</w:t>
      </w:r>
      <w:r w:rsidRPr="000025CA">
        <w:rPr>
          <w:rFonts w:cs="Arial"/>
          <w:color w:val="000000"/>
          <w:szCs w:val="22"/>
        </w:rPr>
        <w:t xml:space="preserve"> Hall</w:t>
      </w:r>
      <w:r w:rsidR="00431B2F">
        <w:rPr>
          <w:rFonts w:cs="Arial"/>
          <w:color w:val="000000"/>
          <w:szCs w:val="22"/>
        </w:rPr>
        <w:t xml:space="preserve"> et al.  </w:t>
      </w:r>
      <w:r w:rsidRPr="000025CA">
        <w:rPr>
          <w:rFonts w:cs="Arial"/>
          <w:color w:val="000000"/>
          <w:szCs w:val="22"/>
        </w:rPr>
        <w:t xml:space="preserve">2010b.  Scales of variability of harmful algae blooms in the Indian River, Florida, USA.  </w:t>
      </w:r>
      <w:r w:rsidR="000309E2" w:rsidRPr="000309E2">
        <w:rPr>
          <w:rFonts w:cs="Arial"/>
          <w:i/>
          <w:color w:val="000000"/>
          <w:szCs w:val="22"/>
        </w:rPr>
        <w:t>Harmful Algae,</w:t>
      </w:r>
      <w:r w:rsidRPr="000025CA">
        <w:rPr>
          <w:rFonts w:cs="Arial"/>
          <w:color w:val="000000"/>
          <w:szCs w:val="22"/>
        </w:rPr>
        <w:t xml:space="preserve"> accepted for publication. </w:t>
      </w:r>
    </w:p>
    <w:p w:rsidR="00485094" w:rsidRDefault="00485094" w:rsidP="00376229">
      <w:pPr>
        <w:pStyle w:val="References"/>
      </w:pPr>
      <w:r>
        <w:t>P</w:t>
      </w:r>
      <w:r w:rsidRPr="00271E81">
        <w:t xml:space="preserve">hlips, </w:t>
      </w:r>
      <w:r>
        <w:t>E.J</w:t>
      </w:r>
      <w:r w:rsidRPr="00271E81">
        <w:t xml:space="preserve">., </w:t>
      </w:r>
      <w:r>
        <w:t>E</w:t>
      </w:r>
      <w:r w:rsidRPr="00271E81">
        <w:t xml:space="preserve">. </w:t>
      </w:r>
      <w:r>
        <w:t>B</w:t>
      </w:r>
      <w:r w:rsidRPr="00271E81">
        <w:t xml:space="preserve">ledsoe, </w:t>
      </w:r>
      <w:r>
        <w:t>M</w:t>
      </w:r>
      <w:r w:rsidRPr="00271E81">
        <w:t xml:space="preserve">. </w:t>
      </w:r>
      <w:r>
        <w:t>C</w:t>
      </w:r>
      <w:r w:rsidRPr="00271E81">
        <w:t xml:space="preserve">ichra, </w:t>
      </w:r>
      <w:r>
        <w:t>S</w:t>
      </w:r>
      <w:r w:rsidRPr="00271E81">
        <w:t xml:space="preserve">. </w:t>
      </w:r>
      <w:r>
        <w:t>B</w:t>
      </w:r>
      <w:r w:rsidRPr="00271E81">
        <w:t xml:space="preserve">adylak, and </w:t>
      </w:r>
      <w:r>
        <w:t>J</w:t>
      </w:r>
      <w:r w:rsidRPr="00271E81">
        <w:t>.</w:t>
      </w:r>
      <w:r>
        <w:t>F</w:t>
      </w:r>
      <w:r w:rsidRPr="00271E81">
        <w:t>rost.</w:t>
      </w:r>
      <w:r>
        <w:t xml:space="preserve"> </w:t>
      </w:r>
      <w:r w:rsidRPr="00431F94">
        <w:t xml:space="preserve"> 2002.</w:t>
      </w:r>
      <w:r>
        <w:t xml:space="preserve"> </w:t>
      </w:r>
      <w:r w:rsidRPr="00431F94">
        <w:t xml:space="preserve">The distribution of potentially toxic cyanobacteria in Florida. </w:t>
      </w:r>
      <w:r>
        <w:t xml:space="preserve"> </w:t>
      </w:r>
      <w:r w:rsidR="000309E2" w:rsidRPr="000309E2">
        <w:rPr>
          <w:i/>
        </w:rPr>
        <w:t>In:</w:t>
      </w:r>
      <w:r>
        <w:t xml:space="preserve">  </w:t>
      </w:r>
      <w:r w:rsidRPr="00431F94">
        <w:t>D. Johnson and R.D. Harbison</w:t>
      </w:r>
      <w:r>
        <w:t xml:space="preserve"> (</w:t>
      </w:r>
      <w:r w:rsidR="005C7479">
        <w:t>E</w:t>
      </w:r>
      <w:r w:rsidR="005C7479" w:rsidRPr="00431F94">
        <w:t>ds</w:t>
      </w:r>
      <w:r w:rsidRPr="00431F94">
        <w:t>.</w:t>
      </w:r>
      <w:r>
        <w:t>),</w:t>
      </w:r>
      <w:r w:rsidRPr="00431F94">
        <w:t xml:space="preserve"> </w:t>
      </w:r>
      <w:r w:rsidRPr="008654A0">
        <w:rPr>
          <w:i/>
        </w:rPr>
        <w:t>Proceedings of health effects of exposure to cyanobacteria toxins:  State of the science,</w:t>
      </w:r>
      <w:r w:rsidRPr="00431F94">
        <w:t xml:space="preserve"> August 13–14, 2002</w:t>
      </w:r>
      <w:r>
        <w:t xml:space="preserve">, </w:t>
      </w:r>
      <w:r w:rsidRPr="00431F94">
        <w:t xml:space="preserve">Sarasota, </w:t>
      </w:r>
      <w:r>
        <w:t>FL, pp. 22–29</w:t>
      </w:r>
      <w:r w:rsidRPr="00431F94">
        <w:t xml:space="preserve">. </w:t>
      </w:r>
      <w:r>
        <w:t xml:space="preserve"> </w:t>
      </w:r>
      <w:r w:rsidRPr="00431F94">
        <w:t>Available</w:t>
      </w:r>
      <w:r>
        <w:t xml:space="preserve">: </w:t>
      </w:r>
      <w:r w:rsidRPr="00431F94">
        <w:t xml:space="preserve"> </w:t>
      </w:r>
      <w:hyperlink r:id="rId288" w:history="1">
        <w:r w:rsidRPr="00431F94">
          <w:rPr>
            <w:rStyle w:val="Hyperlink"/>
            <w:rFonts w:cs="Arial"/>
            <w:bCs/>
            <w:szCs w:val="22"/>
          </w:rPr>
          <w:t>http://www.doh.state.fl.us/environment/community/</w:t>
        </w:r>
        <w:r w:rsidRPr="00A20C26">
          <w:rPr>
            <w:rStyle w:val="Hyperlink"/>
            <w:rFonts w:cs="Arial"/>
            <w:bCs/>
          </w:rPr>
          <w:t xml:space="preserve"> </w:t>
        </w:r>
        <w:r w:rsidRPr="00431F94">
          <w:rPr>
            <w:rStyle w:val="Hyperlink"/>
            <w:rFonts w:cs="Arial"/>
            <w:bCs/>
            <w:szCs w:val="22"/>
          </w:rPr>
          <w:t>aquatic/pdfs/Cyanobacteria_200208.pdf</w:t>
        </w:r>
      </w:hyperlink>
      <w:r>
        <w:t>.</w:t>
      </w:r>
    </w:p>
    <w:p w:rsidR="00485094" w:rsidRDefault="00485094" w:rsidP="003917BD">
      <w:pPr>
        <w:pStyle w:val="References"/>
        <w:rPr>
          <w:rFonts w:cs="Arial"/>
          <w:color w:val="000000"/>
          <w:szCs w:val="22"/>
        </w:rPr>
      </w:pPr>
      <w:r>
        <w:rPr>
          <w:color w:val="000000"/>
          <w:szCs w:val="22"/>
        </w:rPr>
        <w:lastRenderedPageBreak/>
        <w:t>Poli, M.</w:t>
      </w:r>
      <w:r w:rsidRPr="0075585F">
        <w:rPr>
          <w:color w:val="000000"/>
          <w:szCs w:val="22"/>
        </w:rPr>
        <w:t xml:space="preserve">A., </w:t>
      </w:r>
      <w:r>
        <w:rPr>
          <w:color w:val="000000"/>
          <w:szCs w:val="22"/>
        </w:rPr>
        <w:t xml:space="preserve">S.M. </w:t>
      </w:r>
      <w:r w:rsidRPr="0075585F">
        <w:rPr>
          <w:color w:val="000000"/>
          <w:szCs w:val="22"/>
        </w:rPr>
        <w:t xml:space="preserve">Musser, </w:t>
      </w:r>
      <w:r>
        <w:rPr>
          <w:color w:val="000000"/>
          <w:szCs w:val="22"/>
        </w:rPr>
        <w:t>R.W.</w:t>
      </w:r>
      <w:r w:rsidRPr="0075585F">
        <w:rPr>
          <w:color w:val="000000"/>
          <w:szCs w:val="22"/>
        </w:rPr>
        <w:t xml:space="preserve"> Dickey, </w:t>
      </w:r>
      <w:r>
        <w:rPr>
          <w:color w:val="000000"/>
          <w:szCs w:val="22"/>
        </w:rPr>
        <w:t>P.</w:t>
      </w:r>
      <w:r w:rsidRPr="0075585F">
        <w:rPr>
          <w:color w:val="000000"/>
          <w:szCs w:val="22"/>
        </w:rPr>
        <w:t xml:space="preserve"> </w:t>
      </w:r>
      <w:proofErr w:type="spellStart"/>
      <w:r w:rsidRPr="0075585F">
        <w:rPr>
          <w:color w:val="000000"/>
          <w:szCs w:val="22"/>
        </w:rPr>
        <w:t>Eilers</w:t>
      </w:r>
      <w:proofErr w:type="spellEnd"/>
      <w:r w:rsidRPr="0075585F">
        <w:rPr>
          <w:color w:val="000000"/>
          <w:szCs w:val="22"/>
        </w:rPr>
        <w:t xml:space="preserve">, </w:t>
      </w:r>
      <w:r>
        <w:rPr>
          <w:color w:val="000000"/>
          <w:szCs w:val="22"/>
        </w:rPr>
        <w:t>and S.</w:t>
      </w:r>
      <w:r w:rsidRPr="0075585F">
        <w:rPr>
          <w:color w:val="000000"/>
          <w:szCs w:val="22"/>
        </w:rPr>
        <w:t xml:space="preserve"> Hall.</w:t>
      </w:r>
      <w:r>
        <w:rPr>
          <w:color w:val="000000"/>
          <w:szCs w:val="22"/>
        </w:rPr>
        <w:t xml:space="preserve"> </w:t>
      </w:r>
      <w:r w:rsidRPr="0075585F">
        <w:rPr>
          <w:color w:val="000000"/>
          <w:szCs w:val="22"/>
        </w:rPr>
        <w:t xml:space="preserve"> 2000.</w:t>
      </w:r>
      <w:r>
        <w:rPr>
          <w:color w:val="000000"/>
          <w:szCs w:val="22"/>
        </w:rPr>
        <w:t xml:space="preserve"> </w:t>
      </w:r>
      <w:r w:rsidRPr="0075585F">
        <w:rPr>
          <w:color w:val="000000"/>
          <w:szCs w:val="22"/>
        </w:rPr>
        <w:t xml:space="preserve"> Neurotoxic shellﬁsh </w:t>
      </w:r>
      <w:r w:rsidRPr="0093436B">
        <w:rPr>
          <w:rFonts w:cs="Arial"/>
          <w:color w:val="000000"/>
          <w:szCs w:val="22"/>
        </w:rPr>
        <w:t>poison</w:t>
      </w:r>
      <w:r w:rsidRPr="0093436B">
        <w:rPr>
          <w:rFonts w:cs="Arial"/>
          <w:color w:val="000000"/>
          <w:szCs w:val="22"/>
        </w:rPr>
        <w:softHyphen/>
        <w:t xml:space="preserve">ing and brevetoxin metabolites:  A case study from Florida.  </w:t>
      </w:r>
      <w:r w:rsidRPr="0093436B">
        <w:rPr>
          <w:rFonts w:cs="Arial"/>
          <w:i/>
          <w:color w:val="000000"/>
          <w:szCs w:val="22"/>
        </w:rPr>
        <w:t>Toxicon 38: 981–993.</w:t>
      </w:r>
      <w:r w:rsidRPr="0093436B">
        <w:rPr>
          <w:rFonts w:cs="Arial"/>
          <w:color w:val="000000"/>
          <w:szCs w:val="22"/>
        </w:rPr>
        <w:t xml:space="preserve"> </w:t>
      </w:r>
    </w:p>
    <w:p w:rsidR="00485094" w:rsidRPr="003917BD" w:rsidRDefault="00485094" w:rsidP="003917BD">
      <w:pPr>
        <w:pStyle w:val="References"/>
      </w:pPr>
      <w:r>
        <w:t>Price, R. E. and T. Pichler.</w:t>
      </w:r>
      <w:r w:rsidRPr="003917BD">
        <w:t xml:space="preserve"> </w:t>
      </w:r>
      <w:r>
        <w:t xml:space="preserve"> </w:t>
      </w:r>
      <w:r w:rsidRPr="003917BD">
        <w:t>2006</w:t>
      </w:r>
      <w:r>
        <w:t xml:space="preserve">. </w:t>
      </w:r>
      <w:r w:rsidRPr="003917BD">
        <w:t xml:space="preserve"> Abundance and mineralogical association of arsenic in the Suwannee Limestone (Florida): implications for arsenic release during water-rock interaction. </w:t>
      </w:r>
      <w:r>
        <w:t xml:space="preserve"> </w:t>
      </w:r>
      <w:r w:rsidRPr="003917BD">
        <w:t xml:space="preserve">Invited paper for special issue of </w:t>
      </w:r>
      <w:r w:rsidR="000309E2" w:rsidRPr="000309E2">
        <w:rPr>
          <w:i/>
        </w:rPr>
        <w:t>Chemical Geology 228 (1-3), 44</w:t>
      </w:r>
      <w:r w:rsidR="00AA3594">
        <w:rPr>
          <w:i/>
        </w:rPr>
        <w:t>–</w:t>
      </w:r>
      <w:r w:rsidR="000309E2" w:rsidRPr="000309E2">
        <w:rPr>
          <w:i/>
        </w:rPr>
        <w:t>56.</w:t>
      </w:r>
    </w:p>
    <w:p w:rsidR="00485094" w:rsidRDefault="00485094" w:rsidP="001E335C">
      <w:pPr>
        <w:pStyle w:val="References"/>
        <w:rPr>
          <w:szCs w:val="22"/>
        </w:rPr>
      </w:pPr>
      <w:r>
        <w:rPr>
          <w:szCs w:val="22"/>
        </w:rPr>
        <w:t xml:space="preserve">Reiss, K.C., and M.T. Brown.  June 2005a.  </w:t>
      </w:r>
      <w:r w:rsidRPr="001E335C">
        <w:rPr>
          <w:i/>
          <w:szCs w:val="22"/>
        </w:rPr>
        <w:t>The Florida Wetland Condition Index (FWCI):  Developing biological indicators for isolated depressional forested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289" w:history="1">
        <w:r w:rsidRPr="00C57FE5">
          <w:rPr>
            <w:rStyle w:val="Hyperlink"/>
            <w:szCs w:val="22"/>
          </w:rPr>
          <w:t>http://publicfiles.dep.state.fl.us/dear/labs/sas/library/docs/wet_depf.pdf</w:t>
        </w:r>
      </w:hyperlink>
      <w:r>
        <w:rPr>
          <w:szCs w:val="22"/>
        </w:rPr>
        <w:t>.</w:t>
      </w:r>
    </w:p>
    <w:p w:rsidR="00485094" w:rsidRPr="001E335C" w:rsidRDefault="00485094" w:rsidP="001E335C">
      <w:pPr>
        <w:pStyle w:val="References"/>
        <w:rPr>
          <w:szCs w:val="22"/>
        </w:rPr>
      </w:pPr>
      <w:r w:rsidRPr="0026647D">
        <w:t xml:space="preserve">———.  </w:t>
      </w:r>
      <w:r>
        <w:t xml:space="preserve">June 2005b.  </w:t>
      </w:r>
      <w:r w:rsidRPr="001E335C">
        <w:rPr>
          <w:i/>
          <w:szCs w:val="22"/>
        </w:rPr>
        <w:t xml:space="preserve">Pilot </w:t>
      </w:r>
      <w:r>
        <w:rPr>
          <w:i/>
          <w:szCs w:val="22"/>
        </w:rPr>
        <w:t>s</w:t>
      </w:r>
      <w:r w:rsidRPr="001E335C">
        <w:rPr>
          <w:i/>
          <w:szCs w:val="22"/>
        </w:rPr>
        <w:t>tudy—The Florida Wetland Condition Index (FWCI):</w:t>
      </w:r>
      <w:r w:rsidRPr="001E335C">
        <w:rPr>
          <w:szCs w:val="22"/>
        </w:rPr>
        <w:t xml:space="preserve"> </w:t>
      </w:r>
      <w:r w:rsidRPr="001E335C">
        <w:rPr>
          <w:i/>
          <w:szCs w:val="22"/>
        </w:rPr>
        <w:t>Preliminary development of biological indicators for forested strand and floodplain wetlands.</w:t>
      </w:r>
      <w:r>
        <w:rPr>
          <w:szCs w:val="22"/>
        </w:rPr>
        <w:t xml:space="preserve">  </w:t>
      </w:r>
      <w:r w:rsidRPr="001E335C">
        <w:rPr>
          <w:szCs w:val="22"/>
        </w:rPr>
        <w:t xml:space="preserve">Report </w:t>
      </w:r>
      <w:r>
        <w:rPr>
          <w:szCs w:val="22"/>
        </w:rPr>
        <w:t>s</w:t>
      </w:r>
      <w:r w:rsidRPr="001E335C">
        <w:rPr>
          <w:szCs w:val="22"/>
        </w:rPr>
        <w:t>ubmitted to the</w:t>
      </w:r>
      <w:r>
        <w:rPr>
          <w:szCs w:val="22"/>
        </w:rPr>
        <w:t xml:space="preserve"> </w:t>
      </w:r>
      <w:r w:rsidRPr="001E335C">
        <w:rPr>
          <w:szCs w:val="22"/>
        </w:rPr>
        <w:t>Florida Department of Environmental Protection</w:t>
      </w:r>
      <w:r>
        <w:rPr>
          <w:szCs w:val="22"/>
        </w:rPr>
        <w:t xml:space="preserve"> u</w:t>
      </w:r>
      <w:r w:rsidRPr="001E335C">
        <w:rPr>
          <w:szCs w:val="22"/>
        </w:rPr>
        <w:t>nder Contract #WM-683</w:t>
      </w:r>
      <w:r>
        <w:rPr>
          <w:szCs w:val="22"/>
        </w:rPr>
        <w:t xml:space="preserve">.  Gainesville, FL:  University of Florida, </w:t>
      </w:r>
      <w:r w:rsidRPr="001E335C">
        <w:rPr>
          <w:szCs w:val="22"/>
        </w:rPr>
        <w:t>Howard T. Odum Center for Wetlands</w:t>
      </w:r>
      <w:r>
        <w:rPr>
          <w:szCs w:val="22"/>
        </w:rPr>
        <w:t xml:space="preserve">.  Available:  </w:t>
      </w:r>
      <w:hyperlink r:id="rId290" w:history="1">
        <w:r w:rsidRPr="00C57FE5">
          <w:rPr>
            <w:rStyle w:val="Hyperlink"/>
            <w:szCs w:val="22"/>
          </w:rPr>
          <w:t>http://publicfiles.dep.state.fl.us/dear/labs/sas/library/docs/wet_stfp.pdf</w:t>
        </w:r>
      </w:hyperlink>
      <w:r>
        <w:rPr>
          <w:szCs w:val="22"/>
        </w:rPr>
        <w:t>.</w:t>
      </w:r>
    </w:p>
    <w:p w:rsidR="00485094" w:rsidRPr="0075585F" w:rsidRDefault="00485094" w:rsidP="001E335C">
      <w:pPr>
        <w:pStyle w:val="References"/>
        <w:rPr>
          <w:szCs w:val="22"/>
        </w:rPr>
      </w:pPr>
      <w:r w:rsidRPr="00285A41">
        <w:rPr>
          <w:szCs w:val="22"/>
        </w:rPr>
        <w:t xml:space="preserve">Sato, K., A. Kitahara, K. Satoh, T. Ichikawa, M. Tatematsu, and N. Ito.  1984.  The placental form of glutathione S-transferase as a new marker protein for preneoplasia in rat chemical carcinogenesis.  </w:t>
      </w:r>
      <w:r w:rsidRPr="00285A41">
        <w:rPr>
          <w:i/>
          <w:szCs w:val="22"/>
        </w:rPr>
        <w:t>Gann 75: 199–202.</w:t>
      </w:r>
    </w:p>
    <w:p w:rsidR="00485094" w:rsidRPr="006B1693" w:rsidRDefault="00485094" w:rsidP="00E25E53">
      <w:pPr>
        <w:pStyle w:val="References"/>
      </w:pPr>
      <w:r>
        <w:t xml:space="preserve">Schropp, S., and H. Windom.  </w:t>
      </w:r>
      <w:r w:rsidRPr="006B1693">
        <w:t xml:space="preserve">1988.  </w:t>
      </w:r>
      <w:r w:rsidRPr="00E25E53">
        <w:rPr>
          <w:i/>
        </w:rPr>
        <w:t xml:space="preserve">A guide to the interpretation of metals concentrations in estuarine sediments.  </w:t>
      </w:r>
      <w:r>
        <w:t xml:space="preserve">Tallassee, FL:  </w:t>
      </w:r>
      <w:r w:rsidRPr="006B1693">
        <w:t>Florida Department of Environmental Regulation</w:t>
      </w:r>
      <w:r>
        <w:t xml:space="preserve">, </w:t>
      </w:r>
      <w:r w:rsidRPr="006B1693">
        <w:t>Coastal Zone Management Sectio</w:t>
      </w:r>
      <w:r>
        <w:t xml:space="preserve">n.  Available:  </w:t>
      </w:r>
      <w:hyperlink r:id="rId291" w:history="1">
        <w:r w:rsidRPr="005F7EAB">
          <w:rPr>
            <w:rStyle w:val="Hyperlink"/>
          </w:rPr>
          <w:t>http://www.dep.state.fl.us/WATER/</w:t>
        </w:r>
        <w:r w:rsidRPr="005F7EAB">
          <w:rPr>
            <w:rStyle w:val="Hyperlink"/>
          </w:rPr>
          <w:br/>
          <w:t>monitoring/docs/seds/estuarine.pdf</w:t>
        </w:r>
      </w:hyperlink>
      <w:r>
        <w:t>.</w:t>
      </w:r>
    </w:p>
    <w:p w:rsidR="00485094" w:rsidRDefault="00485094" w:rsidP="007A2902">
      <w:pPr>
        <w:pStyle w:val="References"/>
      </w:pPr>
      <w:r>
        <w:t xml:space="preserve">Scott, T.M., G.H. Means, R.P. Meegan, R.C. Means, S.B. Upchurch, R.E. Copeland, J. Jones, T. Roberts, and A. Willet.  2004.  </w:t>
      </w:r>
      <w:r w:rsidRPr="007A2902">
        <w:rPr>
          <w:i/>
        </w:rPr>
        <w:t>Springs of Florida.</w:t>
      </w:r>
      <w:r>
        <w:t xml:space="preserve">  Florida Geological Survey.  Bulletin 66.  Available:  </w:t>
      </w:r>
      <w:hyperlink r:id="rId292" w:history="1">
        <w:r w:rsidRPr="005F7EAB">
          <w:rPr>
            <w:rStyle w:val="Hyperlink"/>
          </w:rPr>
          <w:t>http://www.dep.state.fl.us/geology/geologictopics/springs/bulletin66.htm</w:t>
        </w:r>
      </w:hyperlink>
      <w:r>
        <w:t>.</w:t>
      </w:r>
    </w:p>
    <w:p w:rsidR="00485094" w:rsidRDefault="00485094" w:rsidP="00DE3850">
      <w:pPr>
        <w:pStyle w:val="References"/>
      </w:pPr>
      <w:r>
        <w:t xml:space="preserve">Seal, T., F. Calder, G. Sloane, S. Schropp, and H. Windom.  1994.  </w:t>
      </w:r>
      <w:r w:rsidRPr="00CA461C">
        <w:rPr>
          <w:i/>
        </w:rPr>
        <w:t>Florida coastal sediment contaminants atlas:  A summary of coastal sediment quality surveys.</w:t>
      </w:r>
      <w:r>
        <w:t xml:space="preserve">  Florida Department of Environmental Protection.  Available:  </w:t>
      </w:r>
      <w:hyperlink r:id="rId293" w:history="1">
        <w:r w:rsidRPr="00CA461C">
          <w:rPr>
            <w:rStyle w:val="Hyperlink"/>
          </w:rPr>
          <w:t>http://publicfiles.dep.state.fl.us/FGS/</w:t>
        </w:r>
        <w:r w:rsidRPr="00CA461C">
          <w:rPr>
            <w:rStyle w:val="Hyperlink"/>
          </w:rPr>
          <w:br/>
          <w:t>FGS_Publications/FGS%20Library%20Documents/FLCoastSedContamAtlas.pdf</w:t>
        </w:r>
      </w:hyperlink>
      <w:r>
        <w:t>.</w:t>
      </w:r>
    </w:p>
    <w:p w:rsidR="00485094" w:rsidRDefault="00485094" w:rsidP="00DE3850">
      <w:pPr>
        <w:pStyle w:val="References"/>
      </w:pPr>
      <w:r>
        <w:t xml:space="preserve"> South Florida Water Management District website.  2010a.   Available:  </w:t>
      </w:r>
      <w:hyperlink r:id="rId294" w:history="1">
        <w:r w:rsidRPr="005F7EAB">
          <w:rPr>
            <w:rStyle w:val="Hyperlink"/>
          </w:rPr>
          <w:t>http://www.sfwmd.</w:t>
        </w:r>
        <w:r w:rsidRPr="005F7EAB">
          <w:rPr>
            <w:rStyle w:val="Hyperlink"/>
          </w:rPr>
          <w:br/>
          <w:t>gov/portal/page/portal/sfwmdmain/home%20page</w:t>
        </w:r>
      </w:hyperlink>
      <w:r>
        <w:t>.</w:t>
      </w:r>
    </w:p>
    <w:p w:rsidR="00485094" w:rsidRDefault="00485094" w:rsidP="007B1DF7">
      <w:pPr>
        <w:pStyle w:val="References"/>
      </w:pPr>
      <w:r w:rsidRPr="0026647D">
        <w:t xml:space="preserve">———.  </w:t>
      </w:r>
      <w:r>
        <w:t xml:space="preserve">2010b.  </w:t>
      </w:r>
      <w:r w:rsidRPr="00FF0DCB">
        <w:rPr>
          <w:i/>
        </w:rPr>
        <w:t>About Everglades</w:t>
      </w:r>
      <w:r>
        <w:rPr>
          <w:i/>
        </w:rPr>
        <w:t xml:space="preserve"> website</w:t>
      </w:r>
      <w:r w:rsidRPr="00FF0DCB">
        <w:rPr>
          <w:i/>
        </w:rPr>
        <w:t>.</w:t>
      </w:r>
      <w:r>
        <w:t xml:space="preserve">  Available:  </w:t>
      </w:r>
      <w:hyperlink r:id="rId295" w:history="1">
        <w:r w:rsidRPr="00AA5408">
          <w:rPr>
            <w:rStyle w:val="Hyperlink"/>
          </w:rPr>
          <w:t>https://my.sfwmd.gov/portal/page/</w:t>
        </w:r>
        <w:r w:rsidRPr="00AA5408">
          <w:rPr>
            <w:rStyle w:val="Hyperlink"/>
          </w:rPr>
          <w:br/>
          <w:t>portal/pg_grp_sfwmd_watershed/subtabs_evergladesflbay_home/tab1834093/flbayalgalbloom.pdf</w:t>
        </w:r>
      </w:hyperlink>
      <w:r>
        <w:t>.</w:t>
      </w:r>
    </w:p>
    <w:p w:rsidR="00485094" w:rsidRPr="0075585F" w:rsidRDefault="00485094" w:rsidP="00E25E53">
      <w:pPr>
        <w:pStyle w:val="References"/>
        <w:rPr>
          <w:color w:val="000000"/>
          <w:szCs w:val="22"/>
        </w:rPr>
      </w:pPr>
      <w:r w:rsidRPr="0075585F">
        <w:rPr>
          <w:color w:val="000000"/>
          <w:szCs w:val="22"/>
        </w:rPr>
        <w:t>Steidinge</w:t>
      </w:r>
      <w:r>
        <w:rPr>
          <w:color w:val="000000"/>
          <w:szCs w:val="22"/>
        </w:rPr>
        <w:t>r, K.A.</w:t>
      </w:r>
      <w:r w:rsidRPr="0075585F">
        <w:rPr>
          <w:color w:val="000000"/>
          <w:szCs w:val="22"/>
        </w:rPr>
        <w:t xml:space="preserve">, </w:t>
      </w:r>
      <w:r>
        <w:rPr>
          <w:color w:val="000000"/>
          <w:szCs w:val="22"/>
        </w:rPr>
        <w:t xml:space="preserve">P. </w:t>
      </w:r>
      <w:r w:rsidRPr="0075585F">
        <w:rPr>
          <w:color w:val="000000"/>
          <w:szCs w:val="22"/>
        </w:rPr>
        <w:t xml:space="preserve">Carlson, </w:t>
      </w:r>
      <w:r>
        <w:rPr>
          <w:color w:val="000000"/>
          <w:szCs w:val="22"/>
        </w:rPr>
        <w:t>D.</w:t>
      </w:r>
      <w:r w:rsidRPr="0075585F">
        <w:rPr>
          <w:color w:val="000000"/>
          <w:szCs w:val="22"/>
        </w:rPr>
        <w:t xml:space="preserve"> Baden, </w:t>
      </w:r>
      <w:r>
        <w:rPr>
          <w:color w:val="000000"/>
          <w:szCs w:val="22"/>
        </w:rPr>
        <w:t>C.</w:t>
      </w:r>
      <w:r w:rsidRPr="0075585F">
        <w:rPr>
          <w:color w:val="000000"/>
          <w:szCs w:val="22"/>
        </w:rPr>
        <w:t xml:space="preserve"> Ro</w:t>
      </w:r>
      <w:r w:rsidRPr="0075585F">
        <w:rPr>
          <w:color w:val="000000"/>
          <w:szCs w:val="22"/>
        </w:rPr>
        <w:softHyphen/>
        <w:t xml:space="preserve">driguez, and </w:t>
      </w:r>
      <w:r>
        <w:rPr>
          <w:color w:val="000000"/>
          <w:szCs w:val="22"/>
        </w:rPr>
        <w:t xml:space="preserve">J. </w:t>
      </w:r>
      <w:r w:rsidRPr="0075585F">
        <w:rPr>
          <w:color w:val="000000"/>
          <w:szCs w:val="22"/>
        </w:rPr>
        <w:t>Seagle</w:t>
      </w:r>
      <w:r>
        <w:rPr>
          <w:color w:val="000000"/>
          <w:szCs w:val="22"/>
        </w:rPr>
        <w:t xml:space="preserve">. </w:t>
      </w:r>
      <w:r w:rsidRPr="0075585F">
        <w:rPr>
          <w:color w:val="000000"/>
          <w:szCs w:val="22"/>
        </w:rPr>
        <w:t xml:space="preserve"> 1998.</w:t>
      </w:r>
      <w:r>
        <w:rPr>
          <w:color w:val="000000"/>
          <w:szCs w:val="22"/>
        </w:rPr>
        <w:t xml:space="preserve"> </w:t>
      </w:r>
      <w:r w:rsidRPr="0075585F">
        <w:rPr>
          <w:color w:val="000000"/>
          <w:szCs w:val="22"/>
        </w:rPr>
        <w:t xml:space="preserve"> Neurotoxic shellﬁsh poisoning due to toxin retention in the clam </w:t>
      </w:r>
      <w:r>
        <w:rPr>
          <w:i/>
          <w:iCs/>
          <w:color w:val="000000"/>
          <w:szCs w:val="22"/>
        </w:rPr>
        <w:t>Chione can</w:t>
      </w:r>
      <w:r w:rsidRPr="0075585F">
        <w:rPr>
          <w:i/>
          <w:iCs/>
          <w:color w:val="000000"/>
          <w:szCs w:val="22"/>
        </w:rPr>
        <w:t xml:space="preserve">cellata. </w:t>
      </w:r>
      <w:r>
        <w:rPr>
          <w:i/>
          <w:iCs/>
          <w:color w:val="000000"/>
          <w:szCs w:val="22"/>
        </w:rPr>
        <w:t xml:space="preserve"> </w:t>
      </w:r>
      <w:r w:rsidR="000309E2" w:rsidRPr="000309E2">
        <w:rPr>
          <w:i/>
          <w:iCs/>
          <w:color w:val="000000"/>
          <w:szCs w:val="22"/>
        </w:rPr>
        <w:t>In</w:t>
      </w:r>
      <w:r w:rsidRPr="00375554">
        <w:rPr>
          <w:iCs/>
          <w:color w:val="000000"/>
          <w:szCs w:val="22"/>
        </w:rPr>
        <w:t xml:space="preserve">:  </w:t>
      </w:r>
      <w:r w:rsidRPr="00375554">
        <w:rPr>
          <w:color w:val="000000"/>
          <w:szCs w:val="22"/>
        </w:rPr>
        <w:t>B</w:t>
      </w:r>
      <w:r>
        <w:rPr>
          <w:color w:val="000000"/>
          <w:szCs w:val="22"/>
        </w:rPr>
        <w:t>. Reguera, J. Blanco, M.L. Fer</w:t>
      </w:r>
      <w:r w:rsidRPr="0075585F">
        <w:rPr>
          <w:color w:val="000000"/>
          <w:szCs w:val="22"/>
        </w:rPr>
        <w:t>nández, and T. Wyatt</w:t>
      </w:r>
      <w:r>
        <w:rPr>
          <w:color w:val="000000"/>
          <w:szCs w:val="22"/>
        </w:rPr>
        <w:t xml:space="preserve"> (</w:t>
      </w:r>
      <w:r w:rsidR="005C7479">
        <w:rPr>
          <w:color w:val="000000"/>
          <w:szCs w:val="22"/>
        </w:rPr>
        <w:t>E</w:t>
      </w:r>
      <w:r w:rsidR="005C7479" w:rsidRPr="0075585F">
        <w:rPr>
          <w:color w:val="000000"/>
          <w:szCs w:val="22"/>
        </w:rPr>
        <w:t>ds</w:t>
      </w:r>
      <w:r w:rsidRPr="0075585F">
        <w:rPr>
          <w:color w:val="000000"/>
          <w:szCs w:val="22"/>
        </w:rPr>
        <w:t>.</w:t>
      </w:r>
      <w:r>
        <w:rPr>
          <w:color w:val="000000"/>
          <w:szCs w:val="22"/>
        </w:rPr>
        <w:t>),</w:t>
      </w:r>
      <w:r w:rsidRPr="0075585F">
        <w:rPr>
          <w:color w:val="000000"/>
          <w:szCs w:val="22"/>
        </w:rPr>
        <w:t xml:space="preserve"> </w:t>
      </w:r>
      <w:r w:rsidRPr="00375554">
        <w:rPr>
          <w:i/>
          <w:color w:val="000000"/>
          <w:szCs w:val="22"/>
        </w:rPr>
        <w:t>Harmful algae</w:t>
      </w:r>
      <w:r>
        <w:rPr>
          <w:color w:val="000000"/>
          <w:szCs w:val="22"/>
        </w:rPr>
        <w:t xml:space="preserve"> (Paris, France:  </w:t>
      </w:r>
      <w:r w:rsidRPr="0075585F">
        <w:rPr>
          <w:color w:val="000000"/>
          <w:szCs w:val="22"/>
        </w:rPr>
        <w:t>Xunta de Galicia and Intergovernmental Oceanogra</w:t>
      </w:r>
      <w:r>
        <w:rPr>
          <w:color w:val="000000"/>
          <w:szCs w:val="22"/>
        </w:rPr>
        <w:t>phic Com</w:t>
      </w:r>
      <w:r w:rsidRPr="0075585F">
        <w:rPr>
          <w:color w:val="000000"/>
          <w:szCs w:val="22"/>
        </w:rPr>
        <w:t>mission of UNESCO</w:t>
      </w:r>
      <w:r>
        <w:rPr>
          <w:color w:val="000000"/>
          <w:szCs w:val="22"/>
        </w:rPr>
        <w:t>, pp. 457–458)</w:t>
      </w:r>
      <w:r w:rsidRPr="0075585F">
        <w:rPr>
          <w:color w:val="000000"/>
          <w:szCs w:val="22"/>
        </w:rPr>
        <w:t xml:space="preserve">. </w:t>
      </w:r>
    </w:p>
    <w:p w:rsidR="00485094" w:rsidRPr="00DF48BE" w:rsidRDefault="00485094" w:rsidP="00E25E53">
      <w:pPr>
        <w:pStyle w:val="References"/>
        <w:rPr>
          <w:color w:val="002060"/>
          <w:szCs w:val="22"/>
          <w:u w:val="single"/>
        </w:rPr>
      </w:pPr>
      <w:r>
        <w:rPr>
          <w:color w:val="000000"/>
          <w:szCs w:val="22"/>
        </w:rPr>
        <w:t>Steidinger, K.A.,</w:t>
      </w:r>
      <w:r w:rsidRPr="0075585F">
        <w:rPr>
          <w:color w:val="000000"/>
          <w:szCs w:val="22"/>
        </w:rPr>
        <w:t xml:space="preserve"> </w:t>
      </w:r>
      <w:r>
        <w:rPr>
          <w:color w:val="000000"/>
          <w:szCs w:val="22"/>
        </w:rPr>
        <w:t xml:space="preserve">J.H. </w:t>
      </w:r>
      <w:r w:rsidRPr="0075585F">
        <w:rPr>
          <w:color w:val="000000"/>
          <w:szCs w:val="22"/>
        </w:rPr>
        <w:t xml:space="preserve">Landsberg, </w:t>
      </w:r>
      <w:r>
        <w:rPr>
          <w:color w:val="000000"/>
          <w:szCs w:val="22"/>
        </w:rPr>
        <w:t>C.R.</w:t>
      </w:r>
      <w:r w:rsidRPr="0075585F">
        <w:rPr>
          <w:color w:val="000000"/>
          <w:szCs w:val="22"/>
        </w:rPr>
        <w:t xml:space="preserve"> Tomas, and </w:t>
      </w:r>
      <w:r>
        <w:rPr>
          <w:color w:val="000000"/>
          <w:szCs w:val="22"/>
        </w:rPr>
        <w:t xml:space="preserve">J.W. </w:t>
      </w:r>
      <w:r w:rsidRPr="0075585F">
        <w:rPr>
          <w:color w:val="000000"/>
          <w:szCs w:val="22"/>
        </w:rPr>
        <w:t>Burns.</w:t>
      </w:r>
      <w:r>
        <w:rPr>
          <w:color w:val="000000"/>
          <w:szCs w:val="22"/>
        </w:rPr>
        <w:t xml:space="preserve">  </w:t>
      </w:r>
      <w:r w:rsidRPr="0075585F">
        <w:rPr>
          <w:color w:val="000000"/>
          <w:szCs w:val="22"/>
        </w:rPr>
        <w:t>1999.</w:t>
      </w:r>
      <w:r>
        <w:rPr>
          <w:color w:val="000000"/>
          <w:szCs w:val="22"/>
        </w:rPr>
        <w:t xml:space="preserve">  </w:t>
      </w:r>
      <w:r w:rsidRPr="00375554">
        <w:rPr>
          <w:i/>
          <w:color w:val="000000"/>
          <w:szCs w:val="22"/>
        </w:rPr>
        <w:t>Harmful algal blooms in Florida.</w:t>
      </w:r>
      <w:r w:rsidRPr="0075585F">
        <w:rPr>
          <w:color w:val="000000"/>
          <w:szCs w:val="22"/>
        </w:rPr>
        <w:t xml:space="preserve"> </w:t>
      </w:r>
      <w:r>
        <w:rPr>
          <w:color w:val="000000"/>
          <w:szCs w:val="22"/>
        </w:rPr>
        <w:t xml:space="preserve"> </w:t>
      </w:r>
      <w:r w:rsidRPr="0075585F">
        <w:rPr>
          <w:color w:val="000000"/>
          <w:szCs w:val="22"/>
        </w:rPr>
        <w:t xml:space="preserve">Unpublished technical report submitted to the Florida Harmful Algal Bloom Task Force. </w:t>
      </w:r>
      <w:r>
        <w:rPr>
          <w:color w:val="000000"/>
          <w:szCs w:val="22"/>
        </w:rPr>
        <w:t xml:space="preserve"> </w:t>
      </w:r>
      <w:r w:rsidR="005D2A20" w:rsidRPr="00DF48BE">
        <w:rPr>
          <w:color w:val="002060"/>
          <w:szCs w:val="22"/>
        </w:rPr>
        <w:t>St. Petersburg, FL</w:t>
      </w:r>
      <w:r w:rsidR="005D2A20">
        <w:rPr>
          <w:color w:val="000000"/>
          <w:szCs w:val="22"/>
        </w:rPr>
        <w:t xml:space="preserve">:  </w:t>
      </w:r>
      <w:r w:rsidRPr="0075585F">
        <w:rPr>
          <w:color w:val="000000"/>
          <w:szCs w:val="22"/>
        </w:rPr>
        <w:t xml:space="preserve">Florida Fish and Wildlife Conservation Commission, Fish and Wildlife Research </w:t>
      </w:r>
      <w:r w:rsidRPr="00DF48BE">
        <w:rPr>
          <w:color w:val="002060"/>
          <w:szCs w:val="22"/>
        </w:rPr>
        <w:t xml:space="preserve">Institute. </w:t>
      </w:r>
      <w:r>
        <w:rPr>
          <w:color w:val="002060"/>
          <w:szCs w:val="22"/>
        </w:rPr>
        <w:t xml:space="preserve"> Available:  </w:t>
      </w:r>
      <w:hyperlink r:id="rId296" w:history="1">
        <w:r w:rsidRPr="005F7EAB">
          <w:rPr>
            <w:rStyle w:val="Hyperlink"/>
            <w:szCs w:val="22"/>
          </w:rPr>
          <w:t>http://research.myfwc.com/features/</w:t>
        </w:r>
        <w:r w:rsidRPr="005F7EAB">
          <w:rPr>
            <w:rStyle w:val="Hyperlink"/>
            <w:szCs w:val="22"/>
          </w:rPr>
          <w:br/>
          <w:t>view_article.asp?id=26925</w:t>
        </w:r>
      </w:hyperlink>
      <w:r>
        <w:rPr>
          <w:color w:val="002060"/>
          <w:szCs w:val="22"/>
        </w:rPr>
        <w:t>.</w:t>
      </w:r>
    </w:p>
    <w:p w:rsidR="00485094" w:rsidRPr="0075585F" w:rsidRDefault="00485094" w:rsidP="00E25E53">
      <w:pPr>
        <w:pStyle w:val="References"/>
        <w:rPr>
          <w:szCs w:val="22"/>
        </w:rPr>
      </w:pPr>
      <w:r w:rsidRPr="0075585F">
        <w:rPr>
          <w:szCs w:val="22"/>
        </w:rPr>
        <w:lastRenderedPageBreak/>
        <w:t xml:space="preserve">Steidinger, K.A., </w:t>
      </w:r>
      <w:r>
        <w:rPr>
          <w:szCs w:val="22"/>
        </w:rPr>
        <w:t xml:space="preserve">J.H. </w:t>
      </w:r>
      <w:r w:rsidRPr="0075585F">
        <w:rPr>
          <w:szCs w:val="22"/>
        </w:rPr>
        <w:t xml:space="preserve">Landsberg, </w:t>
      </w:r>
      <w:r>
        <w:rPr>
          <w:szCs w:val="22"/>
        </w:rPr>
        <w:t xml:space="preserve">E.W. Truby, </w:t>
      </w:r>
      <w:r w:rsidRPr="0075585F">
        <w:rPr>
          <w:szCs w:val="22"/>
        </w:rPr>
        <w:t xml:space="preserve">and </w:t>
      </w:r>
      <w:r>
        <w:rPr>
          <w:szCs w:val="22"/>
        </w:rPr>
        <w:t xml:space="preserve">B.S. </w:t>
      </w:r>
      <w:r w:rsidRPr="0075585F">
        <w:rPr>
          <w:szCs w:val="22"/>
        </w:rPr>
        <w:t xml:space="preserve">Roberts. </w:t>
      </w:r>
      <w:r>
        <w:rPr>
          <w:szCs w:val="22"/>
        </w:rPr>
        <w:t xml:space="preserve"> </w:t>
      </w:r>
      <w:r w:rsidRPr="0075585F">
        <w:rPr>
          <w:szCs w:val="22"/>
        </w:rPr>
        <w:t xml:space="preserve">1998. </w:t>
      </w:r>
      <w:r>
        <w:rPr>
          <w:szCs w:val="22"/>
        </w:rPr>
        <w:t xml:space="preserve"> </w:t>
      </w:r>
      <w:r w:rsidRPr="0075585F">
        <w:rPr>
          <w:szCs w:val="22"/>
        </w:rPr>
        <w:t>First report of</w:t>
      </w:r>
      <w:r>
        <w:rPr>
          <w:szCs w:val="22"/>
        </w:rPr>
        <w:t xml:space="preserve"> </w:t>
      </w:r>
      <w:r w:rsidRPr="0075585F">
        <w:rPr>
          <w:i/>
          <w:szCs w:val="22"/>
        </w:rPr>
        <w:t>Gymnodinium pulchellum</w:t>
      </w:r>
      <w:r w:rsidRPr="0075585F">
        <w:rPr>
          <w:szCs w:val="22"/>
        </w:rPr>
        <w:t xml:space="preserve"> Larsen 1994 (Dinophyceae) in North America and associated fish kills in the Indian River, Florida.</w:t>
      </w:r>
      <w:r>
        <w:rPr>
          <w:szCs w:val="22"/>
        </w:rPr>
        <w:t xml:space="preserve"> </w:t>
      </w:r>
      <w:r w:rsidRPr="0075585F">
        <w:rPr>
          <w:szCs w:val="22"/>
        </w:rPr>
        <w:t xml:space="preserve"> </w:t>
      </w:r>
      <w:r w:rsidRPr="00375554">
        <w:rPr>
          <w:i/>
          <w:szCs w:val="22"/>
        </w:rPr>
        <w:t>J</w:t>
      </w:r>
      <w:r w:rsidR="005D2A20">
        <w:rPr>
          <w:i/>
          <w:szCs w:val="22"/>
        </w:rPr>
        <w:t>.</w:t>
      </w:r>
      <w:r w:rsidRPr="00375554">
        <w:rPr>
          <w:i/>
          <w:szCs w:val="22"/>
        </w:rPr>
        <w:t xml:space="preserve"> Phycology 34: 431</w:t>
      </w:r>
      <w:r w:rsidR="00AA3594">
        <w:rPr>
          <w:i/>
          <w:szCs w:val="22"/>
        </w:rPr>
        <w:t>–</w:t>
      </w:r>
      <w:r w:rsidRPr="00375554">
        <w:rPr>
          <w:i/>
          <w:szCs w:val="22"/>
        </w:rPr>
        <w:t>437.</w:t>
      </w:r>
    </w:p>
    <w:p w:rsidR="00485094" w:rsidRPr="007E75F4" w:rsidRDefault="00485094" w:rsidP="00E25E53">
      <w:pPr>
        <w:pStyle w:val="References"/>
      </w:pPr>
      <w:r>
        <w:t>Stevenson, R.</w:t>
      </w:r>
      <w:r w:rsidRPr="007E75F4">
        <w:t>J, A</w:t>
      </w:r>
      <w:r>
        <w:t>. Pinowska, A. Albertin, and J.</w:t>
      </w:r>
      <w:r w:rsidRPr="007E75F4">
        <w:t>O. Sickman</w:t>
      </w:r>
      <w:r>
        <w:t xml:space="preserve">.  </w:t>
      </w:r>
      <w:r w:rsidRPr="007E75F4">
        <w:t xml:space="preserve">2007.  </w:t>
      </w:r>
      <w:r w:rsidRPr="007E75F4">
        <w:rPr>
          <w:i/>
        </w:rPr>
        <w:t xml:space="preserve">Ecological condition of alga and nutrients in Florida springs:  The synthesis report.  </w:t>
      </w:r>
      <w:r w:rsidRPr="007E75F4">
        <w:t>Michigan State Univ</w:t>
      </w:r>
      <w:r>
        <w:t xml:space="preserve">ersity, Department </w:t>
      </w:r>
      <w:r w:rsidRPr="007E75F4">
        <w:t xml:space="preserve">of Zoology, </w:t>
      </w:r>
      <w:r>
        <w:t>F</w:t>
      </w:r>
      <w:r w:rsidRPr="007E75F4">
        <w:t xml:space="preserve">DEP Contract WM858. </w:t>
      </w:r>
      <w:r>
        <w:t xml:space="preserve"> Available:  </w:t>
      </w:r>
      <w:hyperlink r:id="rId297" w:history="1">
        <w:r w:rsidRPr="005F7EAB">
          <w:rPr>
            <w:rStyle w:val="Hyperlink"/>
          </w:rPr>
          <w:t>http://publicfiles.dep.</w:t>
        </w:r>
        <w:r w:rsidRPr="005F7EAB">
          <w:rPr>
            <w:rStyle w:val="Hyperlink"/>
          </w:rPr>
          <w:br/>
          <w:t>state.fl.us/dear/labs/sas/library/docs/springs/synthesisreport.pdf</w:t>
        </w:r>
      </w:hyperlink>
      <w:r>
        <w:t>.</w:t>
      </w:r>
    </w:p>
    <w:p w:rsidR="00485094" w:rsidRDefault="00485094" w:rsidP="00E25E53">
      <w:pPr>
        <w:pStyle w:val="References"/>
      </w:pPr>
      <w:r>
        <w:t xml:space="preserve">Suwannee River Water Management District website.  2010.  </w:t>
      </w:r>
      <w:r w:rsidRPr="005C2590">
        <w:rPr>
          <w:i/>
        </w:rPr>
        <w:t>Nitrate information.</w:t>
      </w:r>
      <w:r>
        <w:t xml:space="preserve">  Available:  </w:t>
      </w:r>
      <w:hyperlink r:id="rId298" w:history="1">
        <w:r w:rsidRPr="00677862">
          <w:rPr>
            <w:rStyle w:val="Hyperlink"/>
          </w:rPr>
          <w:t>http://www.srwmd.state.fl.us/index.aspx?NID=151</w:t>
        </w:r>
      </w:hyperlink>
      <w:r>
        <w:t>.</w:t>
      </w:r>
    </w:p>
    <w:p w:rsidR="00485094" w:rsidRDefault="00485094" w:rsidP="00E25E53">
      <w:pPr>
        <w:pStyle w:val="References"/>
      </w:pPr>
      <w:r w:rsidRPr="00F35C56">
        <w:t>Tiner, R.W</w:t>
      </w:r>
      <w:r>
        <w:t>.,</w:t>
      </w:r>
      <w:r w:rsidRPr="00F35C56">
        <w:t xml:space="preserve"> Jr. </w:t>
      </w:r>
      <w:r>
        <w:t xml:space="preserve"> </w:t>
      </w:r>
      <w:r w:rsidRPr="00F35C56">
        <w:t xml:space="preserve">1984. </w:t>
      </w:r>
      <w:r>
        <w:t xml:space="preserve"> </w:t>
      </w:r>
      <w:r w:rsidRPr="00F35C56">
        <w:rPr>
          <w:i/>
        </w:rPr>
        <w:t>Wetlands of the United States:  Current status and recent trends.</w:t>
      </w:r>
      <w:r w:rsidRPr="00F35C56">
        <w:t xml:space="preserve"> </w:t>
      </w:r>
      <w:r>
        <w:t xml:space="preserve"> </w:t>
      </w:r>
      <w:r w:rsidRPr="00F35C56">
        <w:t>Washington, DC</w:t>
      </w:r>
      <w:r>
        <w:t xml:space="preserve">:  </w:t>
      </w:r>
      <w:r w:rsidRPr="00F35C56">
        <w:t>U.S. Fish and Wildlife Service, National Wetlands Inventory.</w:t>
      </w:r>
    </w:p>
    <w:p w:rsidR="00485094" w:rsidRDefault="00485094" w:rsidP="00E25E53">
      <w:pPr>
        <w:pStyle w:val="References"/>
      </w:pPr>
      <w:r>
        <w:t xml:space="preserve">University of Central Florida.  2010.  </w:t>
      </w:r>
      <w:r w:rsidRPr="00B54C2B">
        <w:rPr>
          <w:i/>
        </w:rPr>
        <w:t>Stormwater Management Academy website.</w:t>
      </w:r>
      <w:r>
        <w:t xml:space="preserve">  Available:  </w:t>
      </w:r>
      <w:hyperlink r:id="rId299" w:history="1">
        <w:r w:rsidRPr="00C57FE5">
          <w:rPr>
            <w:rStyle w:val="Hyperlink"/>
          </w:rPr>
          <w:t>http://www.stormwater.ucf.edu/</w:t>
        </w:r>
      </w:hyperlink>
      <w:r>
        <w:t xml:space="preserve">. </w:t>
      </w:r>
    </w:p>
    <w:p w:rsidR="00485094" w:rsidRDefault="00485094" w:rsidP="00E25E53">
      <w:pPr>
        <w:pStyle w:val="References"/>
      </w:pPr>
      <w:r>
        <w:t xml:space="preserve">University of Florida Institute of Food and Agricultural Sciences.  February 2010.  </w:t>
      </w:r>
      <w:r w:rsidRPr="00B54C2B">
        <w:rPr>
          <w:i/>
        </w:rPr>
        <w:t xml:space="preserve">A guide to EPA’s proposed numeric nutrient water quality criteria for Florida. </w:t>
      </w:r>
      <w:r>
        <w:t xml:space="preserve"> SL316. </w:t>
      </w:r>
      <w:r w:rsidRPr="00B54C2B">
        <w:t xml:space="preserve"> </w:t>
      </w:r>
      <w:r>
        <w:t xml:space="preserve">Gainesville, FL:  </w:t>
      </w:r>
      <w:r w:rsidRPr="00B54C2B">
        <w:t>Soil and Water Science Department, Florida Cooperative Extension Service</w:t>
      </w:r>
      <w:r>
        <w:t xml:space="preserve">.  Available:  </w:t>
      </w:r>
      <w:hyperlink r:id="rId300" w:history="1">
        <w:r w:rsidRPr="00C57FE5">
          <w:rPr>
            <w:rStyle w:val="Hyperlink"/>
          </w:rPr>
          <w:t>http://edis.ifas.ufl.edu/pdffiles/SS/SS52800.pdf</w:t>
        </w:r>
      </w:hyperlink>
      <w:r>
        <w:t>.</w:t>
      </w:r>
    </w:p>
    <w:p w:rsidR="00485094" w:rsidRDefault="00485094" w:rsidP="00E25E53">
      <w:pPr>
        <w:pStyle w:val="References"/>
      </w:pPr>
      <w:r>
        <w:t xml:space="preserve">———.  2010.  </w:t>
      </w:r>
      <w:r w:rsidRPr="00A81A6F">
        <w:rPr>
          <w:i/>
        </w:rPr>
        <w:t>LakeWatch</w:t>
      </w:r>
      <w:r>
        <w:rPr>
          <w:i/>
        </w:rPr>
        <w:t xml:space="preserve"> website</w:t>
      </w:r>
      <w:r w:rsidRPr="00A81A6F">
        <w:rPr>
          <w:i/>
        </w:rPr>
        <w:t>.</w:t>
      </w:r>
      <w:r>
        <w:t xml:space="preserve">  Available:  </w:t>
      </w:r>
      <w:hyperlink r:id="rId301" w:history="1">
        <w:r w:rsidRPr="00C57FE5">
          <w:rPr>
            <w:rStyle w:val="Hyperlink"/>
          </w:rPr>
          <w:t>http://lakewatch.ifas.ufl.edu/</w:t>
        </w:r>
      </w:hyperlink>
      <w:r>
        <w:t>.</w:t>
      </w:r>
    </w:p>
    <w:p w:rsidR="00485094" w:rsidRDefault="00485094" w:rsidP="00E25E53">
      <w:pPr>
        <w:pStyle w:val="References"/>
        <w:rPr>
          <w:snapToGrid w:val="0"/>
        </w:rPr>
      </w:pPr>
      <w:r>
        <w:t xml:space="preserve">University of South Florida.  2010.  </w:t>
      </w:r>
      <w:r w:rsidRPr="00A81A6F">
        <w:rPr>
          <w:i/>
        </w:rPr>
        <w:t>Bay Regional Atmospheric Chemistry Experiment website.</w:t>
      </w:r>
      <w:r>
        <w:t xml:space="preserve">  Available:  </w:t>
      </w:r>
      <w:hyperlink r:id="rId302" w:history="1">
        <w:r w:rsidRPr="00C57FE5">
          <w:rPr>
            <w:rStyle w:val="Hyperlink"/>
            <w:snapToGrid w:val="0"/>
          </w:rPr>
          <w:t>http://hsc.usf.edu/publichealth/EOH/BRACE/</w:t>
        </w:r>
      </w:hyperlink>
      <w:r>
        <w:rPr>
          <w:snapToGrid w:val="0"/>
        </w:rPr>
        <w:t>.</w:t>
      </w:r>
    </w:p>
    <w:p w:rsidR="00485094" w:rsidRDefault="00485094" w:rsidP="00E25E53">
      <w:pPr>
        <w:pStyle w:val="References"/>
      </w:pPr>
      <w:r>
        <w:t xml:space="preserve">U.S. Census Bureau website.  2010a.  </w:t>
      </w:r>
      <w:r w:rsidRPr="00DA23A4">
        <w:rPr>
          <w:i/>
        </w:rPr>
        <w:t>Quickfacts.</w:t>
      </w:r>
      <w:r>
        <w:t xml:space="preserve">  Available:  </w:t>
      </w:r>
      <w:hyperlink r:id="rId303" w:history="1">
        <w:r w:rsidRPr="005F7EAB">
          <w:rPr>
            <w:rStyle w:val="Hyperlink"/>
          </w:rPr>
          <w:t>http://quickfacts.census.gov/</w:t>
        </w:r>
        <w:r w:rsidRPr="005F7EAB">
          <w:rPr>
            <w:rStyle w:val="Hyperlink"/>
          </w:rPr>
          <w:br/>
          <w:t>qfd/states/12000.html</w:t>
        </w:r>
      </w:hyperlink>
      <w:r>
        <w:t>.</w:t>
      </w:r>
    </w:p>
    <w:p w:rsidR="00485094" w:rsidRDefault="00485094" w:rsidP="00E25E53">
      <w:pPr>
        <w:pStyle w:val="References"/>
      </w:pPr>
      <w:r>
        <w:t xml:space="preserve">———.  2010b.  </w:t>
      </w:r>
      <w:r w:rsidRPr="00DA23A4">
        <w:rPr>
          <w:i/>
        </w:rPr>
        <w:t>State resident population—Projections: 2010 to 2030.</w:t>
      </w:r>
      <w:r>
        <w:t xml:space="preserve">  Available:  </w:t>
      </w:r>
      <w:hyperlink r:id="rId304" w:history="1">
        <w:r w:rsidRPr="00C07403">
          <w:rPr>
            <w:rStyle w:val="Hyperlink"/>
          </w:rPr>
          <w:t>http://www.census.gov/compendia/statab/2010/tables/10s0014.pdf</w:t>
        </w:r>
      </w:hyperlink>
      <w:r>
        <w:t>.</w:t>
      </w:r>
    </w:p>
    <w:p w:rsidR="00485094" w:rsidRDefault="00485094" w:rsidP="00E25E53">
      <w:pPr>
        <w:pStyle w:val="References"/>
      </w:pPr>
      <w:r>
        <w:t xml:space="preserve">———.  2010c.  </w:t>
      </w:r>
      <w:r w:rsidRPr="00DA23A4">
        <w:rPr>
          <w:i/>
        </w:rPr>
        <w:t>Resident population by age and state:  2008.</w:t>
      </w:r>
      <w:r>
        <w:t xml:space="preserve">  Available:  </w:t>
      </w:r>
      <w:hyperlink r:id="rId305" w:history="1">
        <w:r w:rsidRPr="00C07403">
          <w:rPr>
            <w:rStyle w:val="Hyperlink"/>
          </w:rPr>
          <w:t>http://www.census.gov/compendia/statab/2010/tables/10s0016.pdf</w:t>
        </w:r>
      </w:hyperlink>
      <w:r>
        <w:t>.</w:t>
      </w:r>
    </w:p>
    <w:p w:rsidR="00485094" w:rsidRDefault="00485094" w:rsidP="00E25E53">
      <w:pPr>
        <w:pStyle w:val="References"/>
      </w:pPr>
      <w:r>
        <w:t xml:space="preserve">———.  2010d.  </w:t>
      </w:r>
      <w:r w:rsidRPr="00DA23A4">
        <w:rPr>
          <w:i/>
        </w:rPr>
        <w:t>Resident population by age and state—Projections: 2010 and 2015.</w:t>
      </w:r>
      <w:r>
        <w:t xml:space="preserve">  Available:  </w:t>
      </w:r>
      <w:hyperlink r:id="rId306" w:history="1">
        <w:r w:rsidRPr="00E04677">
          <w:rPr>
            <w:rStyle w:val="Hyperlink"/>
          </w:rPr>
          <w:t>http://www.census.gov/compendia/statab/2010/tables/10s0018.pdf</w:t>
        </w:r>
      </w:hyperlink>
      <w:r>
        <w:t>.</w:t>
      </w:r>
    </w:p>
    <w:p w:rsidR="00485094" w:rsidRDefault="00485094" w:rsidP="00E86D10">
      <w:pPr>
        <w:pStyle w:val="References"/>
      </w:pPr>
      <w:r w:rsidRPr="00397DF3">
        <w:t xml:space="preserve">U.S. Environmental Protection Agency.  </w:t>
      </w:r>
      <w:r>
        <w:t xml:space="preserve">November 19, 2001.  </w:t>
      </w:r>
      <w:r w:rsidRPr="00E86D10">
        <w:rPr>
          <w:i/>
        </w:rPr>
        <w:t>2002 Integrated water quality monitoring and assessment report guidance.</w:t>
      </w:r>
      <w:r>
        <w:t xml:space="preserve">  Memorandum.  Available:  </w:t>
      </w:r>
      <w:hyperlink r:id="rId307" w:history="1">
        <w:r w:rsidRPr="00C57FE5">
          <w:rPr>
            <w:rStyle w:val="Hyperlink"/>
          </w:rPr>
          <w:t>http://www.epa.gov/owow/TMDL/2002wqma.html</w:t>
        </w:r>
      </w:hyperlink>
      <w:r>
        <w:t>.</w:t>
      </w:r>
    </w:p>
    <w:p w:rsidR="00485094" w:rsidRDefault="00485094" w:rsidP="00E25E53">
      <w:pPr>
        <w:pStyle w:val="References"/>
      </w:pPr>
      <w:r>
        <w:t xml:space="preserve">———.  </w:t>
      </w:r>
      <w:r w:rsidRPr="00397DF3">
        <w:t xml:space="preserve">March 2003.  </w:t>
      </w:r>
      <w:r w:rsidRPr="00397DF3">
        <w:rPr>
          <w:i/>
        </w:rPr>
        <w:t>Elements of a state water monitoring and assessment program</w:t>
      </w:r>
      <w:r>
        <w:t>.</w:t>
      </w:r>
      <w:r w:rsidRPr="00397DF3">
        <w:t xml:space="preserve"> </w:t>
      </w:r>
      <w:r>
        <w:t xml:space="preserve"> </w:t>
      </w:r>
      <w:r w:rsidRPr="00397DF3">
        <w:t>Washington, DC:  Office of Wetlands, Oceans and Watersheds</w:t>
      </w:r>
      <w:r>
        <w:t xml:space="preserve">.  </w:t>
      </w:r>
      <w:r w:rsidRPr="00397DF3">
        <w:t>EPA 841-B-03-003.  Available</w:t>
      </w:r>
      <w:r>
        <w:t xml:space="preserve">:  </w:t>
      </w:r>
      <w:hyperlink r:id="rId308" w:history="1">
        <w:r w:rsidRPr="006836C8">
          <w:rPr>
            <w:rStyle w:val="Hyperlink"/>
          </w:rPr>
          <w:t>http://www.epa.gov/owow/monitoring/elements/</w:t>
        </w:r>
      </w:hyperlink>
      <w:r w:rsidRPr="00397DF3">
        <w:t>.</w:t>
      </w:r>
    </w:p>
    <w:p w:rsidR="00485094" w:rsidRDefault="00485094" w:rsidP="00E25E53">
      <w:pPr>
        <w:pStyle w:val="References"/>
      </w:pPr>
      <w:r>
        <w:t xml:space="preserve">———.  July 29, 2005.  </w:t>
      </w:r>
      <w:r>
        <w:rPr>
          <w:i/>
        </w:rPr>
        <w:t>Guidance for 2004 assessment, listing, and reporting requirements under Sections 303(d) and 305 (b) of the Clean Water Act.</w:t>
      </w:r>
      <w:r>
        <w:t xml:space="preserve">  Watershed Branch, Office of Wetlands, Oceans and Watersheds.</w:t>
      </w:r>
    </w:p>
    <w:p w:rsidR="00485094" w:rsidRPr="00F21058" w:rsidRDefault="00485094" w:rsidP="00E25E53">
      <w:pPr>
        <w:pStyle w:val="References"/>
      </w:pPr>
      <w:r w:rsidRPr="00F21058">
        <w:t xml:space="preserve">———.  </w:t>
      </w:r>
      <w:r>
        <w:t xml:space="preserve">2006a.  </w:t>
      </w:r>
      <w:r w:rsidRPr="00F21058">
        <w:rPr>
          <w:i/>
        </w:rPr>
        <w:t>Ecoregions of Florida</w:t>
      </w:r>
      <w:r>
        <w:rPr>
          <w:i/>
        </w:rPr>
        <w:t xml:space="preserve"> website</w:t>
      </w:r>
      <w:r w:rsidRPr="00F21058">
        <w:rPr>
          <w:i/>
        </w:rPr>
        <w:t>.</w:t>
      </w:r>
      <w:r>
        <w:t xml:space="preserve">  Available:  </w:t>
      </w:r>
      <w:hyperlink r:id="rId309" w:history="1">
        <w:r w:rsidRPr="005F7EAB">
          <w:rPr>
            <w:rStyle w:val="Hyperlink"/>
          </w:rPr>
          <w:t>http://www.epa.gov/wed/pages/</w:t>
        </w:r>
        <w:r w:rsidRPr="005F7EAB">
          <w:rPr>
            <w:rStyle w:val="Hyperlink"/>
          </w:rPr>
          <w:br/>
          <w:t>ecoregions/fl_eco.htm</w:t>
        </w:r>
      </w:hyperlink>
      <w:r w:rsidRPr="00F21058">
        <w:t>.</w:t>
      </w:r>
    </w:p>
    <w:p w:rsidR="00485094" w:rsidRDefault="00485094" w:rsidP="00E25E53">
      <w:pPr>
        <w:pStyle w:val="References"/>
      </w:pPr>
      <w:r>
        <w:t xml:space="preserve">———.  2006b.  </w:t>
      </w:r>
      <w:r w:rsidRPr="00F21058">
        <w:rPr>
          <w:i/>
        </w:rPr>
        <w:t xml:space="preserve">Region 4:  Total </w:t>
      </w:r>
      <w:r>
        <w:rPr>
          <w:i/>
        </w:rPr>
        <w:t>m</w:t>
      </w:r>
      <w:r w:rsidRPr="00F21058">
        <w:rPr>
          <w:i/>
        </w:rPr>
        <w:t xml:space="preserve">aximum </w:t>
      </w:r>
      <w:r>
        <w:rPr>
          <w:i/>
        </w:rPr>
        <w:t>d</w:t>
      </w:r>
      <w:r w:rsidRPr="00F21058">
        <w:rPr>
          <w:i/>
        </w:rPr>
        <w:t xml:space="preserve">aily </w:t>
      </w:r>
      <w:r>
        <w:rPr>
          <w:i/>
        </w:rPr>
        <w:t>l</w:t>
      </w:r>
      <w:r w:rsidRPr="00F21058">
        <w:rPr>
          <w:i/>
        </w:rPr>
        <w:t>oads in Florida</w:t>
      </w:r>
      <w:r>
        <w:rPr>
          <w:i/>
        </w:rPr>
        <w:t xml:space="preserve"> website</w:t>
      </w:r>
      <w:r w:rsidRPr="00F21058">
        <w:rPr>
          <w:i/>
        </w:rPr>
        <w:t>.</w:t>
      </w:r>
      <w:r>
        <w:t xml:space="preserve">  Available:  </w:t>
      </w:r>
      <w:hyperlink r:id="rId310" w:history="1">
        <w:r w:rsidRPr="0056159B">
          <w:rPr>
            <w:rStyle w:val="Hyperlink"/>
          </w:rPr>
          <w:t>http://www.epa.gov/region4/water/tmdl/florida/</w:t>
        </w:r>
      </w:hyperlink>
      <w:r>
        <w:t>.</w:t>
      </w:r>
    </w:p>
    <w:p w:rsidR="00485094" w:rsidRDefault="00485094" w:rsidP="00E25E53">
      <w:pPr>
        <w:pStyle w:val="References"/>
      </w:pPr>
      <w:r>
        <w:t xml:space="preserve">———.  2006c.  </w:t>
      </w:r>
      <w:r w:rsidRPr="00F21058">
        <w:rPr>
          <w:i/>
        </w:rPr>
        <w:t>National STORET Program</w:t>
      </w:r>
      <w:r>
        <w:rPr>
          <w:i/>
        </w:rPr>
        <w:t xml:space="preserve"> website</w:t>
      </w:r>
      <w:r w:rsidRPr="00F21058">
        <w:rPr>
          <w:i/>
        </w:rPr>
        <w:t>.</w:t>
      </w:r>
      <w:r>
        <w:t xml:space="preserve">  </w:t>
      </w:r>
      <w:hyperlink r:id="rId311" w:history="1">
        <w:r w:rsidRPr="0056159B">
          <w:rPr>
            <w:rStyle w:val="Hyperlink"/>
          </w:rPr>
          <w:t>http://www.epa.gov/storet/</w:t>
        </w:r>
      </w:hyperlink>
      <w:r>
        <w:t>.</w:t>
      </w:r>
    </w:p>
    <w:p w:rsidR="00485094" w:rsidRDefault="00485094" w:rsidP="00A81A6F">
      <w:pPr>
        <w:pStyle w:val="References"/>
      </w:pPr>
      <w:r>
        <w:lastRenderedPageBreak/>
        <w:t xml:space="preserve">———.  2008.  </w:t>
      </w:r>
      <w:r w:rsidRPr="00A81A6F">
        <w:rPr>
          <w:i/>
        </w:rPr>
        <w:t>Clean watersheds needs survey 2004:  Report to Congress.</w:t>
      </w:r>
      <w:r>
        <w:t xml:space="preserve">  Available:  </w:t>
      </w:r>
      <w:hyperlink r:id="rId312" w:history="1">
        <w:r w:rsidRPr="00C57FE5">
          <w:rPr>
            <w:rStyle w:val="Hyperlink"/>
          </w:rPr>
          <w:t>http://www.epa.gov/cwns/2004rtc/cwns2004rtc.pdf</w:t>
        </w:r>
      </w:hyperlink>
      <w:r>
        <w:t>.</w:t>
      </w:r>
    </w:p>
    <w:p w:rsidR="00485094" w:rsidRDefault="00485094" w:rsidP="00A81A6F">
      <w:pPr>
        <w:pStyle w:val="References"/>
      </w:pPr>
      <w:r>
        <w:t xml:space="preserve">———.  2009.  </w:t>
      </w:r>
      <w:r w:rsidRPr="00A81A6F">
        <w:rPr>
          <w:i/>
        </w:rPr>
        <w:t>Contaminant Candidate 3 list.</w:t>
      </w:r>
      <w:r>
        <w:t xml:space="preserve">  Available:  </w:t>
      </w:r>
      <w:hyperlink r:id="rId313" w:anchor="chemical" w:history="1">
        <w:r w:rsidRPr="00C57FE5">
          <w:rPr>
            <w:rStyle w:val="Hyperlink"/>
          </w:rPr>
          <w:t>http://www.epa.gov/ogwdw000/ccl/ccl3.html#chemical</w:t>
        </w:r>
      </w:hyperlink>
      <w:r>
        <w:t>.</w:t>
      </w:r>
    </w:p>
    <w:p w:rsidR="00485094" w:rsidRDefault="00485094" w:rsidP="009D22C7">
      <w:pPr>
        <w:pStyle w:val="References"/>
      </w:pPr>
      <w:r>
        <w:t xml:space="preserve">———.  January 14, 2009.  </w:t>
      </w:r>
      <w:r w:rsidRPr="0017783C">
        <w:rPr>
          <w:i/>
        </w:rPr>
        <w:t>Letter to Michael Sole, FDEP Secretary, from Benjamin Grumbles, Assistant Administrator.</w:t>
      </w:r>
      <w:r>
        <w:t xml:space="preserve">  Washington, DC:  Office of Water.  </w:t>
      </w:r>
    </w:p>
    <w:p w:rsidR="00485094" w:rsidRDefault="00485094" w:rsidP="00A81A6F">
      <w:pPr>
        <w:pStyle w:val="References"/>
      </w:pPr>
      <w:r>
        <w:t xml:space="preserve">———.  2010a.  </w:t>
      </w:r>
      <w:r w:rsidRPr="00A81A6F">
        <w:rPr>
          <w:i/>
        </w:rPr>
        <w:t>Clean Watersheds Needs Survey</w:t>
      </w:r>
      <w:r>
        <w:rPr>
          <w:i/>
        </w:rPr>
        <w:t xml:space="preserve"> website</w:t>
      </w:r>
      <w:r w:rsidRPr="00A81A6F">
        <w:rPr>
          <w:i/>
        </w:rPr>
        <w:t>.</w:t>
      </w:r>
      <w:r>
        <w:t xml:space="preserve">  Available:  </w:t>
      </w:r>
      <w:hyperlink r:id="rId314" w:history="1">
        <w:r w:rsidRPr="00C57FE5">
          <w:rPr>
            <w:rStyle w:val="Hyperlink"/>
          </w:rPr>
          <w:t>http://www.epa.gov/cwns/</w:t>
        </w:r>
      </w:hyperlink>
      <w:r>
        <w:t>.</w:t>
      </w:r>
    </w:p>
    <w:p w:rsidR="00485094" w:rsidRDefault="00485094" w:rsidP="00A81A6F">
      <w:pPr>
        <w:pStyle w:val="References"/>
      </w:pPr>
      <w:r>
        <w:t xml:space="preserve">———.  2010b.  </w:t>
      </w:r>
      <w:r w:rsidRPr="0017783C">
        <w:rPr>
          <w:i/>
        </w:rPr>
        <w:t>STORET/WQX</w:t>
      </w:r>
      <w:r>
        <w:rPr>
          <w:i/>
        </w:rPr>
        <w:t xml:space="preserve"> website</w:t>
      </w:r>
      <w:r w:rsidRPr="0017783C">
        <w:rPr>
          <w:i/>
        </w:rPr>
        <w:t>.</w:t>
      </w:r>
      <w:r>
        <w:t xml:space="preserve">  Available:  </w:t>
      </w:r>
      <w:hyperlink r:id="rId315" w:history="1">
        <w:r w:rsidRPr="00C57FE5">
          <w:rPr>
            <w:rStyle w:val="Hyperlink"/>
          </w:rPr>
          <w:t>http://www.epa.gov/storet/</w:t>
        </w:r>
      </w:hyperlink>
      <w:r>
        <w:t>.</w:t>
      </w:r>
    </w:p>
    <w:p w:rsidR="00485094" w:rsidRDefault="00485094" w:rsidP="00E25E53">
      <w:pPr>
        <w:pStyle w:val="References"/>
      </w:pPr>
      <w:r>
        <w:t xml:space="preserve">U.S. Fish and Wildlife Service, National Wetlands Inventory, Branch of Resource and Mapping Support.  2010.  </w:t>
      </w:r>
      <w:r w:rsidRPr="0017783C">
        <w:rPr>
          <w:i/>
        </w:rPr>
        <w:t>Wetlands Status and Trends website.</w:t>
      </w:r>
      <w:r>
        <w:t xml:space="preserve">  Available:  </w:t>
      </w:r>
      <w:hyperlink r:id="rId316" w:history="1">
        <w:r w:rsidRPr="005F7EAB">
          <w:rPr>
            <w:rStyle w:val="Hyperlink"/>
          </w:rPr>
          <w:t>http://www.fws.gov/</w:t>
        </w:r>
        <w:r w:rsidRPr="005F7EAB">
          <w:rPr>
            <w:rStyle w:val="Hyperlink"/>
          </w:rPr>
          <w:br/>
          <w:t>wetlands/StatusAndTrends/</w:t>
        </w:r>
      </w:hyperlink>
      <w:r>
        <w:t>.</w:t>
      </w:r>
    </w:p>
    <w:p w:rsidR="00485094" w:rsidRDefault="00485094" w:rsidP="00E25E53">
      <w:pPr>
        <w:pStyle w:val="References"/>
      </w:pPr>
      <w:r>
        <w:t xml:space="preserve">U.S. Geological Survey.  2006.  </w:t>
      </w:r>
      <w:r w:rsidRPr="004E22EE">
        <w:rPr>
          <w:i/>
        </w:rPr>
        <w:t>Water resources of the United States website.</w:t>
      </w:r>
      <w:r>
        <w:t xml:space="preserve">  Available:  </w:t>
      </w:r>
      <w:hyperlink r:id="rId317" w:history="1">
        <w:r w:rsidRPr="0056159B">
          <w:rPr>
            <w:rStyle w:val="Hyperlink"/>
          </w:rPr>
          <w:t>http://water.usgs.gov/</w:t>
        </w:r>
      </w:hyperlink>
      <w:r>
        <w:t>.</w:t>
      </w:r>
    </w:p>
    <w:p w:rsidR="00485094" w:rsidRDefault="00485094" w:rsidP="00E25E53">
      <w:pPr>
        <w:pStyle w:val="References"/>
      </w:pPr>
      <w:r>
        <w:t xml:space="preserve">———.  2008.  </w:t>
      </w:r>
      <w:r w:rsidRPr="00C4487F">
        <w:rPr>
          <w:i/>
        </w:rPr>
        <w:t xml:space="preserve">Historical water use by category, 1970–2000.  </w:t>
      </w:r>
      <w:r>
        <w:t xml:space="preserve">Available:  </w:t>
      </w:r>
      <w:hyperlink r:id="rId318" w:history="1">
        <w:r w:rsidRPr="005F7EAB">
          <w:rPr>
            <w:rStyle w:val="Hyperlink"/>
          </w:rPr>
          <w:t>http://fl.water.usgs.</w:t>
        </w:r>
        <w:r w:rsidRPr="005F7EAB">
          <w:rPr>
            <w:rStyle w:val="Hyperlink"/>
          </w:rPr>
          <w:br/>
          <w:t>gov/WaterUse/Historical_Tables_Miscellaneous/florida-historical-category.1970-2000.htm</w:t>
        </w:r>
      </w:hyperlink>
      <w:r>
        <w:t>.</w:t>
      </w:r>
    </w:p>
    <w:p w:rsidR="00485094" w:rsidRDefault="00485094" w:rsidP="00DC7515">
      <w:pPr>
        <w:pStyle w:val="References"/>
      </w:pPr>
      <w:r>
        <w:t xml:space="preserve">U.S. Geological Survey and </w:t>
      </w:r>
      <w:r w:rsidRPr="00DC7515">
        <w:t>Florida Water Science Center Environmental Data Server</w:t>
      </w:r>
      <w:r>
        <w:t xml:space="preserve"> website.  2010.  Available:  </w:t>
      </w:r>
      <w:hyperlink r:id="rId319" w:history="1">
        <w:r w:rsidRPr="0056159B">
          <w:rPr>
            <w:rStyle w:val="Hyperlink"/>
          </w:rPr>
          <w:t>http://www.envirobase.usgs.gov/</w:t>
        </w:r>
      </w:hyperlink>
      <w:r>
        <w:t>.</w:t>
      </w:r>
    </w:p>
    <w:p w:rsidR="00485094" w:rsidRDefault="00485094" w:rsidP="00E25E53">
      <w:pPr>
        <w:pStyle w:val="References"/>
      </w:pPr>
      <w:r w:rsidRPr="00FE7836">
        <w:t xml:space="preserve">Vogel, M.  April 2006.  Economic yearbook 2006:  Good migrations.  </w:t>
      </w:r>
      <w:r w:rsidRPr="00FE7836">
        <w:rPr>
          <w:i/>
        </w:rPr>
        <w:t xml:space="preserve">Florida Trend.  </w:t>
      </w:r>
      <w:r w:rsidRPr="00FE7836">
        <w:t xml:space="preserve">Available:  </w:t>
      </w:r>
      <w:hyperlink r:id="rId320" w:history="1">
        <w:r w:rsidRPr="00FE7836">
          <w:rPr>
            <w:rStyle w:val="Hyperlink"/>
          </w:rPr>
          <w:t>http://www.floridatrend.com/article.asp?id=5795</w:t>
        </w:r>
      </w:hyperlink>
      <w:r w:rsidRPr="00FE7836">
        <w:t>.</w:t>
      </w:r>
    </w:p>
    <w:p w:rsidR="00485094" w:rsidRDefault="00485094" w:rsidP="00E25E53">
      <w:pPr>
        <w:pStyle w:val="References"/>
      </w:pPr>
      <w:r>
        <w:t xml:space="preserve">Water Quality Association.  2006.  </w:t>
      </w:r>
      <w:r w:rsidRPr="0026647D">
        <w:rPr>
          <w:i/>
        </w:rPr>
        <w:t>Water quality glossary:</w:t>
      </w:r>
      <w:r>
        <w:t xml:space="preserve">  </w:t>
      </w:r>
      <w:r w:rsidRPr="00F45E91">
        <w:rPr>
          <w:i/>
        </w:rPr>
        <w:t>pH.</w:t>
      </w:r>
      <w:r>
        <w:t xml:space="preserve">  Available:  </w:t>
      </w:r>
      <w:hyperlink r:id="rId321" w:history="1">
        <w:r w:rsidRPr="005F7EAB">
          <w:rPr>
            <w:rStyle w:val="Hyperlink"/>
          </w:rPr>
          <w:t>http://www.wqa.</w:t>
        </w:r>
        <w:r w:rsidRPr="005F7EAB">
          <w:rPr>
            <w:rStyle w:val="Hyperlink"/>
          </w:rPr>
          <w:br/>
          <w:t>org/glossary.cfm?gl=1146</w:t>
        </w:r>
      </w:hyperlink>
      <w:r>
        <w:t>.</w:t>
      </w:r>
    </w:p>
    <w:p w:rsidR="00485094" w:rsidRPr="00375554" w:rsidRDefault="00485094" w:rsidP="00E25E53">
      <w:pPr>
        <w:pStyle w:val="References"/>
        <w:rPr>
          <w:i/>
          <w:color w:val="000000"/>
          <w:szCs w:val="22"/>
        </w:rPr>
      </w:pPr>
      <w:r>
        <w:rPr>
          <w:color w:val="000000"/>
          <w:szCs w:val="22"/>
        </w:rPr>
        <w:t>Watkins, S.</w:t>
      </w:r>
      <w:r w:rsidRPr="0075585F">
        <w:rPr>
          <w:color w:val="000000"/>
          <w:szCs w:val="22"/>
        </w:rPr>
        <w:t xml:space="preserve">M., </w:t>
      </w:r>
      <w:r>
        <w:rPr>
          <w:color w:val="000000"/>
          <w:szCs w:val="22"/>
        </w:rPr>
        <w:t xml:space="preserve">A. </w:t>
      </w:r>
      <w:r w:rsidRPr="0075585F">
        <w:rPr>
          <w:color w:val="000000"/>
          <w:szCs w:val="22"/>
        </w:rPr>
        <w:t xml:space="preserve">Reich, </w:t>
      </w:r>
      <w:r>
        <w:rPr>
          <w:color w:val="000000"/>
          <w:szCs w:val="22"/>
        </w:rPr>
        <w:t xml:space="preserve">L.E. </w:t>
      </w:r>
      <w:r w:rsidRPr="0075585F">
        <w:rPr>
          <w:color w:val="000000"/>
          <w:szCs w:val="22"/>
        </w:rPr>
        <w:t xml:space="preserve">Fleming, and </w:t>
      </w:r>
      <w:r>
        <w:rPr>
          <w:color w:val="000000"/>
          <w:szCs w:val="22"/>
        </w:rPr>
        <w:t xml:space="preserve">R. </w:t>
      </w:r>
      <w:r w:rsidRPr="0075585F">
        <w:rPr>
          <w:color w:val="000000"/>
          <w:szCs w:val="22"/>
        </w:rPr>
        <w:t>Hammond.</w:t>
      </w:r>
      <w:r>
        <w:rPr>
          <w:color w:val="000000"/>
          <w:szCs w:val="22"/>
        </w:rPr>
        <w:t xml:space="preserve"> </w:t>
      </w:r>
      <w:r w:rsidRPr="0075585F">
        <w:rPr>
          <w:color w:val="000000"/>
          <w:szCs w:val="22"/>
        </w:rPr>
        <w:t xml:space="preserve"> 2008.</w:t>
      </w:r>
      <w:r>
        <w:rPr>
          <w:color w:val="000000"/>
          <w:szCs w:val="22"/>
        </w:rPr>
        <w:t xml:space="preserve"> </w:t>
      </w:r>
      <w:r w:rsidRPr="0075585F">
        <w:rPr>
          <w:color w:val="000000"/>
          <w:szCs w:val="22"/>
        </w:rPr>
        <w:t xml:space="preserve"> Neurotoxic shellﬁsh poisoning. </w:t>
      </w:r>
      <w:r>
        <w:rPr>
          <w:color w:val="000000"/>
          <w:szCs w:val="22"/>
        </w:rPr>
        <w:t xml:space="preserve"> </w:t>
      </w:r>
      <w:r w:rsidRPr="00375554">
        <w:rPr>
          <w:i/>
          <w:color w:val="000000"/>
          <w:szCs w:val="22"/>
        </w:rPr>
        <w:t xml:space="preserve">Marine Drugs 6: 431–455. </w:t>
      </w:r>
    </w:p>
    <w:p w:rsidR="00485094" w:rsidRDefault="00485094" w:rsidP="00E86D10">
      <w:pPr>
        <w:pStyle w:val="References"/>
      </w:pPr>
      <w:r>
        <w:t xml:space="preserve">Wayland, R.H.  November 19, 2001.  </w:t>
      </w:r>
      <w:r w:rsidRPr="00E86D10">
        <w:rPr>
          <w:i/>
        </w:rPr>
        <w:t xml:space="preserve">2002 Integrated water quality monitoring and assessment report guidance.  </w:t>
      </w:r>
      <w:r>
        <w:t xml:space="preserve">Memorandum.  Washington, DC:  U.S. Environmental Protection Agency.  Available:  </w:t>
      </w:r>
      <w:hyperlink r:id="rId322" w:history="1">
        <w:r w:rsidRPr="00C57FE5">
          <w:rPr>
            <w:rStyle w:val="Hyperlink"/>
          </w:rPr>
          <w:t>http://www.epa.gov/owow/tmdl/2002wqma.html</w:t>
        </w:r>
      </w:hyperlink>
      <w:r>
        <w:t>.</w:t>
      </w:r>
    </w:p>
    <w:p w:rsidR="00485094" w:rsidRPr="00375554" w:rsidRDefault="00485094" w:rsidP="00E25E53">
      <w:pPr>
        <w:pStyle w:val="References"/>
        <w:rPr>
          <w:i/>
        </w:rPr>
      </w:pPr>
      <w:r>
        <w:t>Wekell, J.</w:t>
      </w:r>
      <w:r w:rsidRPr="0075585F">
        <w:t xml:space="preserve">C., </w:t>
      </w:r>
      <w:r>
        <w:t xml:space="preserve">J. </w:t>
      </w:r>
      <w:r w:rsidRPr="0075585F">
        <w:t xml:space="preserve">Hurst, and </w:t>
      </w:r>
      <w:r>
        <w:t xml:space="preserve">K.A. </w:t>
      </w:r>
      <w:r w:rsidRPr="0075585F">
        <w:t>Lefebvre.</w:t>
      </w:r>
      <w:r>
        <w:t xml:space="preserve"> </w:t>
      </w:r>
      <w:r w:rsidRPr="0075585F">
        <w:t xml:space="preserve"> 2004.</w:t>
      </w:r>
      <w:r>
        <w:t xml:space="preserve"> </w:t>
      </w:r>
      <w:r w:rsidRPr="0075585F">
        <w:t xml:space="preserve"> The origin of the regula</w:t>
      </w:r>
      <w:r>
        <w:t>tory limits for PSP and ASP tox</w:t>
      </w:r>
      <w:r w:rsidRPr="0075585F">
        <w:t>ins in shellﬁsh.</w:t>
      </w:r>
      <w:r>
        <w:t xml:space="preserve"> </w:t>
      </w:r>
      <w:r w:rsidRPr="0075585F">
        <w:t xml:space="preserve"> </w:t>
      </w:r>
      <w:r w:rsidRPr="00375554">
        <w:rPr>
          <w:i/>
        </w:rPr>
        <w:t>J</w:t>
      </w:r>
      <w:r w:rsidR="005D2A20">
        <w:rPr>
          <w:i/>
        </w:rPr>
        <w:t>.</w:t>
      </w:r>
      <w:r w:rsidRPr="00375554">
        <w:rPr>
          <w:i/>
        </w:rPr>
        <w:t xml:space="preserve"> Shellﬁsh Res</w:t>
      </w:r>
      <w:r w:rsidR="005D2A20">
        <w:rPr>
          <w:i/>
        </w:rPr>
        <w:t>.</w:t>
      </w:r>
      <w:r w:rsidRPr="00375554">
        <w:rPr>
          <w:i/>
        </w:rPr>
        <w:t xml:space="preserve"> 23: 927–930. </w:t>
      </w:r>
    </w:p>
    <w:p w:rsidR="00485094" w:rsidRDefault="00485094" w:rsidP="00E25E53">
      <w:pPr>
        <w:pStyle w:val="References"/>
        <w:rPr>
          <w:rFonts w:cs="Arial"/>
          <w:bCs/>
        </w:rPr>
      </w:pPr>
      <w:r w:rsidRPr="00CC5857">
        <w:rPr>
          <w:rFonts w:cs="Arial"/>
          <w:bCs/>
        </w:rPr>
        <w:t xml:space="preserve">Welch, P.S.  1948.  </w:t>
      </w:r>
      <w:r w:rsidRPr="00CC5857">
        <w:rPr>
          <w:rFonts w:cs="Arial"/>
          <w:bCs/>
          <w:i/>
        </w:rPr>
        <w:t>Limnological methods.</w:t>
      </w:r>
      <w:r w:rsidRPr="00CC5857">
        <w:rPr>
          <w:rFonts w:cs="Arial"/>
          <w:bCs/>
        </w:rPr>
        <w:t xml:space="preserve">  New York, NY:  John Wiley and Sons, Inc.</w:t>
      </w:r>
    </w:p>
    <w:p w:rsidR="00485094" w:rsidRPr="00271E81" w:rsidRDefault="00485094" w:rsidP="00E25E53">
      <w:pPr>
        <w:pStyle w:val="References"/>
        <w:rPr>
          <w:rFonts w:cs="Arial"/>
          <w:bCs/>
        </w:rPr>
      </w:pPr>
      <w:r w:rsidRPr="00431F94">
        <w:rPr>
          <w:rFonts w:cs="Arial"/>
          <w:bCs/>
        </w:rPr>
        <w:t xml:space="preserve">Williams, </w:t>
      </w:r>
      <w:r>
        <w:rPr>
          <w:rFonts w:cs="Arial"/>
          <w:bCs/>
        </w:rPr>
        <w:t>C.</w:t>
      </w:r>
      <w:r w:rsidRPr="00271E81">
        <w:rPr>
          <w:rFonts w:cs="Arial"/>
          <w:bCs/>
        </w:rPr>
        <w:t xml:space="preserve">D., </w:t>
      </w:r>
      <w:r>
        <w:rPr>
          <w:rFonts w:cs="Arial"/>
          <w:bCs/>
        </w:rPr>
        <w:t>M.</w:t>
      </w:r>
      <w:r w:rsidRPr="00271E81">
        <w:rPr>
          <w:rFonts w:cs="Arial"/>
          <w:bCs/>
        </w:rPr>
        <w:t xml:space="preserve">T. Aubel, </w:t>
      </w:r>
      <w:r>
        <w:rPr>
          <w:rFonts w:cs="Arial"/>
          <w:bCs/>
        </w:rPr>
        <w:t>A.</w:t>
      </w:r>
      <w:r w:rsidRPr="00271E81">
        <w:rPr>
          <w:rFonts w:cs="Arial"/>
          <w:bCs/>
        </w:rPr>
        <w:t>D. Chapman,</w:t>
      </w:r>
      <w:r w:rsidRPr="00431F94">
        <w:rPr>
          <w:rFonts w:cs="Arial"/>
          <w:bCs/>
        </w:rPr>
        <w:t xml:space="preserve"> </w:t>
      </w:r>
      <w:r w:rsidRPr="00271E81">
        <w:rPr>
          <w:rFonts w:cs="Arial"/>
          <w:bCs/>
        </w:rPr>
        <w:t xml:space="preserve">and </w:t>
      </w:r>
      <w:r>
        <w:rPr>
          <w:rFonts w:cs="Arial"/>
          <w:bCs/>
        </w:rPr>
        <w:t>P.</w:t>
      </w:r>
      <w:r w:rsidRPr="00271E81">
        <w:rPr>
          <w:rFonts w:cs="Arial"/>
          <w:bCs/>
        </w:rPr>
        <w:t>E. D</w:t>
      </w:r>
      <w:r w:rsidRPr="00431F94">
        <w:rPr>
          <w:rFonts w:cs="Arial"/>
          <w:bCs/>
        </w:rPr>
        <w:t>’</w:t>
      </w:r>
      <w:r>
        <w:rPr>
          <w:rFonts w:cs="Arial"/>
          <w:bCs/>
        </w:rPr>
        <w:t>A</w:t>
      </w:r>
      <w:r w:rsidRPr="00271E81">
        <w:rPr>
          <w:rFonts w:cs="Arial"/>
          <w:bCs/>
        </w:rPr>
        <w:t>iuto</w:t>
      </w:r>
      <w:r w:rsidRPr="00431F94">
        <w:rPr>
          <w:rFonts w:cs="Arial"/>
          <w:bCs/>
        </w:rPr>
        <w:t xml:space="preserve">. </w:t>
      </w:r>
      <w:r>
        <w:rPr>
          <w:rFonts w:cs="Arial"/>
          <w:bCs/>
        </w:rPr>
        <w:t xml:space="preserve"> </w:t>
      </w:r>
      <w:r w:rsidRPr="00431F94">
        <w:rPr>
          <w:rFonts w:cs="Arial"/>
          <w:bCs/>
        </w:rPr>
        <w:t>2007.</w:t>
      </w:r>
      <w:r>
        <w:rPr>
          <w:rFonts w:cs="Arial"/>
          <w:bCs/>
        </w:rPr>
        <w:t xml:space="preserve"> </w:t>
      </w:r>
      <w:r w:rsidRPr="00431F94">
        <w:rPr>
          <w:rFonts w:cs="Arial"/>
          <w:bCs/>
        </w:rPr>
        <w:t xml:space="preserve"> Identification of cyanobacterial toxins in Florida’s freshwater systems. </w:t>
      </w:r>
      <w:r>
        <w:rPr>
          <w:rFonts w:cs="Arial"/>
          <w:bCs/>
        </w:rPr>
        <w:t xml:space="preserve"> </w:t>
      </w:r>
      <w:r w:rsidRPr="00431F94">
        <w:rPr>
          <w:rFonts w:cs="Arial"/>
          <w:bCs/>
          <w:i/>
        </w:rPr>
        <w:t>Lake and Reservoir Management 23: 144–152</w:t>
      </w:r>
      <w:r w:rsidRPr="00431F94">
        <w:rPr>
          <w:rFonts w:cs="Arial"/>
          <w:bCs/>
        </w:rPr>
        <w:t>.</w:t>
      </w:r>
    </w:p>
    <w:p w:rsidR="00485094" w:rsidRDefault="00485094" w:rsidP="00E25E53">
      <w:pPr>
        <w:pStyle w:val="References"/>
        <w:rPr>
          <w:rFonts w:cs="Arial"/>
          <w:bCs/>
        </w:rPr>
      </w:pPr>
      <w:r>
        <w:rPr>
          <w:rFonts w:cs="Arial"/>
          <w:bCs/>
        </w:rPr>
        <w:t>W</w:t>
      </w:r>
      <w:r w:rsidRPr="00271E81">
        <w:rPr>
          <w:rFonts w:cs="Arial"/>
          <w:bCs/>
        </w:rPr>
        <w:t xml:space="preserve">illiams, </w:t>
      </w:r>
      <w:r>
        <w:rPr>
          <w:rFonts w:cs="Arial"/>
          <w:bCs/>
        </w:rPr>
        <w:t>C.D</w:t>
      </w:r>
      <w:r w:rsidRPr="00271E81">
        <w:rPr>
          <w:rFonts w:cs="Arial"/>
          <w:bCs/>
        </w:rPr>
        <w:t xml:space="preserve">., </w:t>
      </w:r>
      <w:r>
        <w:rPr>
          <w:rFonts w:cs="Arial"/>
          <w:bCs/>
        </w:rPr>
        <w:t>J</w:t>
      </w:r>
      <w:r w:rsidRPr="00271E81">
        <w:rPr>
          <w:rFonts w:cs="Arial"/>
          <w:bCs/>
        </w:rPr>
        <w:t xml:space="preserve">. </w:t>
      </w:r>
      <w:r>
        <w:rPr>
          <w:rFonts w:cs="Arial"/>
          <w:bCs/>
        </w:rPr>
        <w:t>B</w:t>
      </w:r>
      <w:r w:rsidRPr="00271E81">
        <w:rPr>
          <w:rFonts w:cs="Arial"/>
          <w:bCs/>
        </w:rPr>
        <w:t xml:space="preserve">urns, </w:t>
      </w:r>
      <w:r>
        <w:rPr>
          <w:rFonts w:cs="Arial"/>
          <w:bCs/>
        </w:rPr>
        <w:t>A</w:t>
      </w:r>
      <w:r w:rsidRPr="00271E81">
        <w:rPr>
          <w:rFonts w:cs="Arial"/>
          <w:bCs/>
        </w:rPr>
        <w:t xml:space="preserve">. </w:t>
      </w:r>
      <w:r>
        <w:rPr>
          <w:rFonts w:cs="Arial"/>
          <w:bCs/>
        </w:rPr>
        <w:t>C</w:t>
      </w:r>
      <w:r w:rsidRPr="00271E81">
        <w:rPr>
          <w:rFonts w:cs="Arial"/>
          <w:bCs/>
        </w:rPr>
        <w:t xml:space="preserve">hapman, </w:t>
      </w:r>
      <w:r>
        <w:rPr>
          <w:rFonts w:cs="Arial"/>
          <w:bCs/>
        </w:rPr>
        <w:t>M</w:t>
      </w:r>
      <w:r w:rsidRPr="00271E81">
        <w:rPr>
          <w:rFonts w:cs="Arial"/>
          <w:bCs/>
        </w:rPr>
        <w:t xml:space="preserve">. </w:t>
      </w:r>
      <w:r>
        <w:rPr>
          <w:rFonts w:cs="Arial"/>
          <w:bCs/>
        </w:rPr>
        <w:t>P</w:t>
      </w:r>
      <w:r w:rsidRPr="00271E81">
        <w:rPr>
          <w:rFonts w:cs="Arial"/>
          <w:bCs/>
        </w:rPr>
        <w:t xml:space="preserve">awlowicz, and </w:t>
      </w:r>
      <w:r>
        <w:rPr>
          <w:rFonts w:cs="Arial"/>
          <w:bCs/>
        </w:rPr>
        <w:t>W</w:t>
      </w:r>
      <w:r w:rsidRPr="00271E81">
        <w:rPr>
          <w:rFonts w:cs="Arial"/>
          <w:bCs/>
        </w:rPr>
        <w:t xml:space="preserve">. </w:t>
      </w:r>
      <w:r>
        <w:rPr>
          <w:rFonts w:cs="Arial"/>
          <w:bCs/>
        </w:rPr>
        <w:t>C</w:t>
      </w:r>
      <w:r w:rsidRPr="00271E81">
        <w:rPr>
          <w:rFonts w:cs="Arial"/>
          <w:bCs/>
        </w:rPr>
        <w:t>armichael</w:t>
      </w:r>
      <w:r w:rsidRPr="00431F94">
        <w:rPr>
          <w:rFonts w:cs="Arial"/>
          <w:bCs/>
        </w:rPr>
        <w:t xml:space="preserve">. </w:t>
      </w:r>
      <w:r>
        <w:rPr>
          <w:rFonts w:cs="Arial"/>
          <w:bCs/>
        </w:rPr>
        <w:t xml:space="preserve"> </w:t>
      </w:r>
      <w:r w:rsidRPr="00431F94">
        <w:rPr>
          <w:rFonts w:cs="Arial"/>
          <w:bCs/>
        </w:rPr>
        <w:t xml:space="preserve">2006. </w:t>
      </w:r>
      <w:r>
        <w:rPr>
          <w:rFonts w:cs="Arial"/>
          <w:bCs/>
        </w:rPr>
        <w:t xml:space="preserve"> </w:t>
      </w:r>
      <w:r w:rsidRPr="008654A0">
        <w:rPr>
          <w:rFonts w:cs="Arial"/>
          <w:bCs/>
          <w:i/>
        </w:rPr>
        <w:t>Assessment of cyanotoxins in Florida’s surface waters and associated drinking water resources.</w:t>
      </w:r>
      <w:r w:rsidRPr="00431F94">
        <w:rPr>
          <w:rFonts w:cs="Arial"/>
          <w:bCs/>
        </w:rPr>
        <w:t xml:space="preserve"> </w:t>
      </w:r>
      <w:r>
        <w:rPr>
          <w:rFonts w:cs="Arial"/>
          <w:bCs/>
        </w:rPr>
        <w:t xml:space="preserve"> </w:t>
      </w:r>
      <w:r w:rsidRPr="00431F94">
        <w:rPr>
          <w:rFonts w:cs="Arial"/>
          <w:bCs/>
        </w:rPr>
        <w:t>Final report to the St. Johns River Water Management District, Palatka, F</w:t>
      </w:r>
      <w:r>
        <w:rPr>
          <w:rFonts w:cs="Arial"/>
          <w:bCs/>
        </w:rPr>
        <w:t>L</w:t>
      </w:r>
      <w:r w:rsidRPr="00431F94">
        <w:rPr>
          <w:rFonts w:cs="Arial"/>
          <w:bCs/>
        </w:rPr>
        <w:t>.</w:t>
      </w:r>
      <w:r>
        <w:rPr>
          <w:rFonts w:cs="Arial"/>
          <w:bCs/>
        </w:rPr>
        <w:t xml:space="preserve">  Available:  </w:t>
      </w:r>
      <w:hyperlink r:id="rId323" w:history="1">
        <w:r w:rsidRPr="00C57FE5">
          <w:rPr>
            <w:rStyle w:val="Hyperlink"/>
            <w:rFonts w:cs="Arial"/>
            <w:bCs/>
          </w:rPr>
          <w:t>http://www.greenwaterlab.com/newsite/articles/Assessment%20of%20Cyanotoxins%202001.pdf</w:t>
        </w:r>
      </w:hyperlink>
      <w:r>
        <w:rPr>
          <w:rFonts w:cs="Arial"/>
          <w:bCs/>
        </w:rPr>
        <w:t>.</w:t>
      </w:r>
    </w:p>
    <w:p w:rsidR="00485094" w:rsidRDefault="00485094" w:rsidP="009C365A">
      <w:pPr>
        <w:pStyle w:val="Bodytext"/>
      </w:pPr>
    </w:p>
    <w:sectPr w:rsidR="00485094" w:rsidSect="00B43F8D">
      <w:headerReference w:type="even" r:id="rId324"/>
      <w:footerReference w:type="even" r:id="rId325"/>
      <w:footerReference w:type="default" r:id="rId326"/>
      <w:headerReference w:type="first" r:id="rId32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6909" w:rsidRDefault="00366909" w:rsidP="00D87176">
      <w:r>
        <w:separator/>
      </w:r>
    </w:p>
  </w:endnote>
  <w:endnote w:type="continuationSeparator" w:id="0">
    <w:p w:rsidR="00366909" w:rsidRDefault="00366909" w:rsidP="00D8717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omic Sans MS">
    <w:panose1 w:val="030F0702030302020204"/>
    <w:charset w:val="00"/>
    <w:family w:val="script"/>
    <w:pitch w:val="variable"/>
    <w:sig w:usb0="00000287" w:usb1="00000000" w:usb2="00000000" w:usb3="00000000" w:csb0="0000009F" w:csb1="00000000"/>
  </w:font>
  <w:font w:name="Arial Bold">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61002A87" w:usb1="80000000" w:usb2="00000008" w:usb3="00000000" w:csb0="000101FF" w:csb1="00000000"/>
  </w:font>
  <w:font w:name="HGHKB L+ Avant Garde">
    <w:altName w:val="Century Gothic"/>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00"/>
    <w:family w:val="roman"/>
    <w:notTrueType/>
    <w:pitch w:val="default"/>
    <w:sig w:usb0="00000003" w:usb1="00000000" w:usb2="00000000" w:usb3="00000000" w:csb0="00000001" w:csb1="00000000"/>
  </w:font>
  <w:font w:name="AGaramondPro-Regular">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rsidP="004F5E9A">
    <w:pPr>
      <w:pStyle w:val="Footer"/>
      <w:framePr w:wrap="around" w:vAnchor="text" w:hAnchor="margin" w:xAlign="center" w:y="1"/>
      <w:rPr>
        <w:rStyle w:val="PageNumber"/>
      </w:rPr>
    </w:pPr>
    <w:r>
      <w:rPr>
        <w:rStyle w:val="PageNumber"/>
      </w:rPr>
      <w:fldChar w:fldCharType="begin"/>
    </w:r>
    <w:r w:rsidR="00366909">
      <w:rPr>
        <w:rStyle w:val="PageNumber"/>
      </w:rPr>
      <w:instrText xml:space="preserve">PAGE  </w:instrText>
    </w:r>
    <w:r>
      <w:rPr>
        <w:rStyle w:val="PageNumber"/>
      </w:rPr>
      <w:fldChar w:fldCharType="end"/>
    </w:r>
  </w:p>
  <w:p w:rsidR="00366909" w:rsidRDefault="00366909">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Pr="00D17492" w:rsidRDefault="00B2471C" w:rsidP="002C06E9">
    <w:pPr>
      <w:pStyle w:val="Footer"/>
      <w:framePr w:wrap="around" w:vAnchor="text" w:hAnchor="margin" w:xAlign="center" w:y="-229"/>
      <w:rPr>
        <w:rStyle w:val="PageNumber"/>
        <w:rFonts w:ascii="Arial" w:hAnsi="Arial" w:cs="Arial"/>
        <w:sz w:val="20"/>
        <w:szCs w:val="20"/>
      </w:rPr>
    </w:pPr>
    <w:r w:rsidRPr="00D17492">
      <w:rPr>
        <w:rStyle w:val="PageNumber"/>
        <w:rFonts w:ascii="Arial" w:hAnsi="Arial" w:cs="Arial"/>
        <w:sz w:val="20"/>
        <w:szCs w:val="20"/>
      </w:rPr>
      <w:fldChar w:fldCharType="begin"/>
    </w:r>
    <w:r w:rsidR="00366909" w:rsidRPr="00D17492">
      <w:rPr>
        <w:rStyle w:val="PageNumber"/>
        <w:rFonts w:ascii="Arial" w:hAnsi="Arial" w:cs="Arial"/>
        <w:sz w:val="20"/>
        <w:szCs w:val="20"/>
      </w:rPr>
      <w:instrText xml:space="preserve">PAGE  </w:instrText>
    </w:r>
    <w:r w:rsidRPr="00D17492">
      <w:rPr>
        <w:rStyle w:val="PageNumber"/>
        <w:rFonts w:ascii="Arial" w:hAnsi="Arial" w:cs="Arial"/>
        <w:sz w:val="20"/>
        <w:szCs w:val="20"/>
      </w:rPr>
      <w:fldChar w:fldCharType="separate"/>
    </w:r>
    <w:r w:rsidR="005546A0">
      <w:rPr>
        <w:rStyle w:val="PageNumber"/>
        <w:rFonts w:ascii="Arial" w:hAnsi="Arial" w:cs="Arial"/>
        <w:noProof/>
        <w:sz w:val="20"/>
        <w:szCs w:val="20"/>
      </w:rPr>
      <w:t>96</w:t>
    </w:r>
    <w:r w:rsidRPr="00D17492">
      <w:rPr>
        <w:rStyle w:val="PageNumber"/>
        <w:rFonts w:ascii="Arial" w:hAnsi="Arial" w:cs="Arial"/>
        <w:sz w:val="20"/>
        <w:szCs w:val="20"/>
      </w:rPr>
      <w:fldChar w:fldCharType="end"/>
    </w:r>
  </w:p>
  <w:p w:rsidR="00366909" w:rsidRPr="00673FAB" w:rsidRDefault="00366909">
    <w:pPr>
      <w:pStyle w:val="Footer"/>
      <w:rPr>
        <w:rFonts w:ascii="Arial" w:hAnsi="Arial" w:cs="Arial"/>
        <w:i/>
        <w:sz w:val="22"/>
        <w:szCs w:val="22"/>
      </w:rPr>
    </w:pPr>
    <w:r w:rsidRPr="00673FAB">
      <w:rPr>
        <w:rFonts w:ascii="Arial" w:hAnsi="Arial" w:cs="Arial"/>
        <w:i/>
        <w:sz w:val="22"/>
        <w:szCs w:val="22"/>
      </w:rPr>
      <w:t>Florida Department of Environmental Protection</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rsidP="003B37D3">
    <w:pPr>
      <w:pStyle w:val="Footer"/>
      <w:framePr w:wrap="around" w:vAnchor="text" w:hAnchor="margin" w:xAlign="center" w:y="1"/>
      <w:rPr>
        <w:rStyle w:val="PageNumber"/>
      </w:rPr>
    </w:pPr>
    <w:r>
      <w:rPr>
        <w:rStyle w:val="PageNumber"/>
      </w:rPr>
      <w:fldChar w:fldCharType="begin"/>
    </w:r>
    <w:r w:rsidR="00366909">
      <w:rPr>
        <w:rStyle w:val="PageNumber"/>
      </w:rPr>
      <w:instrText xml:space="preserve">PAGE  </w:instrText>
    </w:r>
    <w:r>
      <w:rPr>
        <w:rStyle w:val="PageNumber"/>
      </w:rPr>
      <w:fldChar w:fldCharType="end"/>
    </w:r>
  </w:p>
  <w:p w:rsidR="00366909" w:rsidRDefault="00366909">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rsidP="00E6035C">
    <w:pPr>
      <w:pStyle w:val="Footer"/>
      <w:framePr w:wrap="around" w:vAnchor="text" w:hAnchor="margin" w:xAlign="center" w:y="1"/>
      <w:rPr>
        <w:rStyle w:val="PageNumber"/>
      </w:rPr>
    </w:pPr>
    <w:r>
      <w:rPr>
        <w:rStyle w:val="PageNumber"/>
      </w:rPr>
      <w:fldChar w:fldCharType="begin"/>
    </w:r>
    <w:r w:rsidR="00366909">
      <w:rPr>
        <w:rStyle w:val="PageNumber"/>
      </w:rPr>
      <w:instrText xml:space="preserve">PAGE  </w:instrText>
    </w:r>
    <w:r>
      <w:rPr>
        <w:rStyle w:val="PageNumber"/>
      </w:rPr>
      <w:fldChar w:fldCharType="end"/>
    </w:r>
  </w:p>
  <w:p w:rsidR="00366909" w:rsidRDefault="00366909">
    <w:pPr>
      <w:pStyle w:val="Foo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Pr="00D865EB" w:rsidRDefault="00B2471C" w:rsidP="00BB22DA">
    <w:pPr>
      <w:pStyle w:val="Footer"/>
      <w:framePr w:wrap="around" w:vAnchor="text" w:hAnchor="margin" w:xAlign="center" w:y="-357"/>
      <w:rPr>
        <w:rStyle w:val="PageNumber"/>
        <w:rFonts w:ascii="Arial" w:hAnsi="Arial" w:cs="Arial"/>
        <w:sz w:val="20"/>
        <w:szCs w:val="20"/>
      </w:rPr>
    </w:pPr>
    <w:r w:rsidRPr="00D865EB">
      <w:rPr>
        <w:rStyle w:val="PageNumber"/>
        <w:rFonts w:ascii="Arial" w:hAnsi="Arial" w:cs="Arial"/>
        <w:sz w:val="20"/>
        <w:szCs w:val="20"/>
      </w:rPr>
      <w:fldChar w:fldCharType="begin"/>
    </w:r>
    <w:r w:rsidR="00366909" w:rsidRPr="00D865EB">
      <w:rPr>
        <w:rStyle w:val="PageNumber"/>
        <w:rFonts w:ascii="Arial" w:hAnsi="Arial" w:cs="Arial"/>
        <w:sz w:val="20"/>
        <w:szCs w:val="20"/>
      </w:rPr>
      <w:instrText xml:space="preserve">PAGE  </w:instrText>
    </w:r>
    <w:r w:rsidRPr="00D865EB">
      <w:rPr>
        <w:rStyle w:val="PageNumber"/>
        <w:rFonts w:ascii="Arial" w:hAnsi="Arial" w:cs="Arial"/>
        <w:sz w:val="20"/>
        <w:szCs w:val="20"/>
      </w:rPr>
      <w:fldChar w:fldCharType="separate"/>
    </w:r>
    <w:r w:rsidR="005546A0">
      <w:rPr>
        <w:rStyle w:val="PageNumber"/>
        <w:rFonts w:ascii="Arial" w:hAnsi="Arial" w:cs="Arial"/>
        <w:noProof/>
        <w:sz w:val="20"/>
        <w:szCs w:val="20"/>
      </w:rPr>
      <w:t>157</w:t>
    </w:r>
    <w:r w:rsidRPr="00D865EB">
      <w:rPr>
        <w:rStyle w:val="PageNumber"/>
        <w:rFonts w:ascii="Arial" w:hAnsi="Arial" w:cs="Arial"/>
        <w:sz w:val="20"/>
        <w:szCs w:val="20"/>
      </w:rPr>
      <w:fldChar w:fldCharType="end"/>
    </w:r>
  </w:p>
  <w:p w:rsidR="00366909" w:rsidRPr="00BB22DA" w:rsidRDefault="00366909">
    <w:pPr>
      <w:pStyle w:val="Footer"/>
      <w:rPr>
        <w:rFonts w:ascii="Arial" w:hAnsi="Arial" w:cs="Arial"/>
        <w:i/>
      </w:rPr>
    </w:pPr>
    <w:r w:rsidRPr="00BB22DA">
      <w:rPr>
        <w:rFonts w:ascii="Arial" w:hAnsi="Arial" w:cs="Arial"/>
        <w:i/>
      </w:rPr>
      <w:t>Florida Department of Environmental Protection</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rsidP="000231E3">
    <w:pPr>
      <w:pStyle w:val="Footer"/>
      <w:framePr w:wrap="around" w:vAnchor="text" w:hAnchor="margin" w:xAlign="center" w:y="1"/>
      <w:rPr>
        <w:rStyle w:val="PageNumber"/>
      </w:rPr>
    </w:pPr>
    <w:r>
      <w:rPr>
        <w:rStyle w:val="PageNumber"/>
      </w:rPr>
      <w:fldChar w:fldCharType="begin"/>
    </w:r>
    <w:r w:rsidR="00366909">
      <w:rPr>
        <w:rStyle w:val="PageNumber"/>
      </w:rPr>
      <w:instrText xml:space="preserve">PAGE  </w:instrText>
    </w:r>
    <w:r>
      <w:rPr>
        <w:rStyle w:val="PageNumber"/>
      </w:rPr>
      <w:fldChar w:fldCharType="end"/>
    </w:r>
  </w:p>
  <w:p w:rsidR="00366909" w:rsidRDefault="00366909">
    <w:pPr>
      <w:pStyle w:val="Footer"/>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pPr>
      <w:pStyle w:val="Footer"/>
      <w:jc w:val="center"/>
    </w:pPr>
    <w:r w:rsidRPr="00396066">
      <w:rPr>
        <w:rFonts w:ascii="Arial" w:hAnsi="Arial" w:cs="Arial"/>
        <w:sz w:val="20"/>
        <w:szCs w:val="20"/>
      </w:rPr>
      <w:fldChar w:fldCharType="begin"/>
    </w:r>
    <w:r w:rsidR="00366909" w:rsidRPr="00396066">
      <w:rPr>
        <w:rFonts w:ascii="Arial" w:hAnsi="Arial" w:cs="Arial"/>
        <w:sz w:val="20"/>
        <w:szCs w:val="20"/>
      </w:rPr>
      <w:instrText xml:space="preserve"> PAGE   \* MERGEFORMAT </w:instrText>
    </w:r>
    <w:r w:rsidRPr="00396066">
      <w:rPr>
        <w:rFonts w:ascii="Arial" w:hAnsi="Arial" w:cs="Arial"/>
        <w:sz w:val="20"/>
        <w:szCs w:val="20"/>
      </w:rPr>
      <w:fldChar w:fldCharType="separate"/>
    </w:r>
    <w:r w:rsidR="005546A0">
      <w:rPr>
        <w:rFonts w:ascii="Arial" w:hAnsi="Arial" w:cs="Arial"/>
        <w:noProof/>
        <w:sz w:val="20"/>
        <w:szCs w:val="20"/>
      </w:rPr>
      <w:t>160</w:t>
    </w:r>
    <w:r w:rsidRPr="00396066">
      <w:rPr>
        <w:rFonts w:ascii="Arial" w:hAnsi="Arial" w:cs="Arial"/>
        <w:sz w:val="20"/>
        <w:szCs w:val="20"/>
      </w:rPr>
      <w:fldChar w:fldCharType="end"/>
    </w:r>
  </w:p>
  <w:p w:rsidR="00366909" w:rsidRPr="00396066" w:rsidRDefault="00366909">
    <w:pPr>
      <w:pStyle w:val="Footer"/>
      <w:rPr>
        <w:rFonts w:ascii="Arial" w:hAnsi="Arial" w:cs="Arial"/>
        <w:i/>
        <w:sz w:val="22"/>
        <w:szCs w:val="22"/>
      </w:rPr>
    </w:pPr>
    <w:r w:rsidRPr="00396066">
      <w:rPr>
        <w:rFonts w:ascii="Arial" w:hAnsi="Arial" w:cs="Arial"/>
        <w:i/>
        <w:sz w:val="22"/>
        <w:szCs w:val="22"/>
      </w:rPr>
      <w:t>Florida Department of Environmental Protection</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6909" w:rsidRDefault="00366909" w:rsidP="00D87176">
      <w:r>
        <w:separator/>
      </w:r>
    </w:p>
  </w:footnote>
  <w:footnote w:type="continuationSeparator" w:id="0">
    <w:p w:rsidR="00366909" w:rsidRDefault="00366909" w:rsidP="00D87176">
      <w:r>
        <w:continuationSeparator/>
      </w:r>
    </w:p>
  </w:footnote>
  <w:footnote w:id="1">
    <w:p w:rsidR="00366909" w:rsidRDefault="00366909" w:rsidP="00E10C9E">
      <w:pPr>
        <w:pStyle w:val="FootnoteText"/>
      </w:pPr>
      <w:r w:rsidRPr="00C51968">
        <w:rPr>
          <w:rStyle w:val="FootnoteReference"/>
          <w:szCs w:val="16"/>
        </w:rPr>
        <w:footnoteRef/>
      </w:r>
      <w:r w:rsidRPr="00C51968">
        <w:rPr>
          <w:szCs w:val="16"/>
        </w:rPr>
        <w:t xml:space="preserve"> </w:t>
      </w:r>
      <w:r w:rsidRPr="00C51968">
        <w:rPr>
          <w:rFonts w:ascii="Tahoma" w:hAnsi="Tahoma" w:cs="Tahoma"/>
          <w:color w:val="000000"/>
          <w:szCs w:val="16"/>
        </w:rPr>
        <w:t>Much of the information in this section was abstracted from Abbott et al., 2009.</w:t>
      </w:r>
      <w:r>
        <w:rPr>
          <w:rFonts w:ascii="Tahoma" w:hAnsi="Tahoma" w:cs="Tahoma"/>
          <w:color w:val="000000"/>
          <w:szCs w:val="16"/>
        </w:rPr>
        <w:t xml:space="preserve"> </w:t>
      </w:r>
      <w:r w:rsidRPr="00C51968">
        <w:rPr>
          <w:rFonts w:ascii="Tahoma" w:hAnsi="Tahoma" w:cs="Tahoma"/>
          <w:color w:val="000000"/>
          <w:szCs w:val="16"/>
        </w:rPr>
        <w:t xml:space="preserve"> Other sources are listed in the </w:t>
      </w:r>
      <w:r w:rsidRPr="002A4619">
        <w:rPr>
          <w:rFonts w:ascii="Tahoma" w:hAnsi="Tahoma" w:cs="Tahoma"/>
          <w:b/>
          <w:color w:val="000000"/>
          <w:szCs w:val="16"/>
        </w:rPr>
        <w:t>References</w:t>
      </w:r>
      <w:r w:rsidRPr="00C51968">
        <w:rPr>
          <w:rFonts w:ascii="Tahoma" w:hAnsi="Tahoma" w:cs="Tahoma"/>
          <w:color w:val="000000"/>
          <w:szCs w:val="16"/>
        </w:rPr>
        <w:t xml:space="preserve"> section at the end of this report.</w:t>
      </w:r>
    </w:p>
  </w:footnote>
  <w:footnote w:id="2">
    <w:p w:rsidR="00366909" w:rsidRPr="00EF702D" w:rsidRDefault="00366909" w:rsidP="00EA3D58">
      <w:pPr>
        <w:pStyle w:val="Bodytext"/>
        <w:rPr>
          <w:rFonts w:cs="Arial"/>
          <w:sz w:val="16"/>
          <w:szCs w:val="16"/>
        </w:rPr>
      </w:pPr>
      <w:r w:rsidRPr="00EF702D">
        <w:rPr>
          <w:rStyle w:val="FootnoteReference"/>
          <w:sz w:val="16"/>
          <w:szCs w:val="16"/>
        </w:rPr>
        <w:footnoteRef/>
      </w:r>
      <w:r w:rsidRPr="00EF702D">
        <w:rPr>
          <w:sz w:val="16"/>
          <w:szCs w:val="16"/>
        </w:rPr>
        <w:t xml:space="preserve"> </w:t>
      </w:r>
      <w:r w:rsidRPr="00EF702D">
        <w:rPr>
          <w:rFonts w:cs="Arial"/>
          <w:sz w:val="16"/>
          <w:szCs w:val="16"/>
        </w:rPr>
        <w:t>At the federal level, Section 305(b) of the 1972 CWA (Federal Wat</w:t>
      </w:r>
      <w:r>
        <w:rPr>
          <w:rFonts w:cs="Arial"/>
          <w:sz w:val="16"/>
          <w:szCs w:val="16"/>
        </w:rPr>
        <w:t>er Pollution Control Act, 33 U.</w:t>
      </w:r>
      <w:r w:rsidRPr="00EF702D">
        <w:rPr>
          <w:rFonts w:cs="Arial"/>
          <w:sz w:val="16"/>
          <w:szCs w:val="16"/>
        </w:rPr>
        <w:t xml:space="preserve">S. Code 1251–1375, as amended) directs each state to (1) prepare and submit a report every two years that includes a description of water quality of all of its navigable surface waters to the EPA, and (2) </w:t>
      </w:r>
      <w:r>
        <w:rPr>
          <w:rFonts w:cs="Arial"/>
          <w:sz w:val="16"/>
          <w:szCs w:val="16"/>
        </w:rPr>
        <w:t xml:space="preserve">analyze </w:t>
      </w:r>
      <w:r w:rsidRPr="00BC2D02">
        <w:rPr>
          <w:rFonts w:cs="Arial"/>
          <w:sz w:val="16"/>
          <w:szCs w:val="16"/>
        </w:rPr>
        <w:t>the extent to which navigable waters</w:t>
      </w:r>
      <w:r>
        <w:rPr>
          <w:rFonts w:cs="Arial"/>
          <w:sz w:val="16"/>
          <w:szCs w:val="16"/>
        </w:rPr>
        <w:t xml:space="preserve"> </w:t>
      </w:r>
      <w:r w:rsidRPr="00BC2D02">
        <w:rPr>
          <w:rFonts w:cs="Arial"/>
          <w:sz w:val="16"/>
          <w:szCs w:val="16"/>
        </w:rPr>
        <w:t>provide for the protection and propagation of a</w:t>
      </w:r>
      <w:r>
        <w:rPr>
          <w:rFonts w:cs="Arial"/>
          <w:sz w:val="16"/>
          <w:szCs w:val="16"/>
        </w:rPr>
        <w:t xml:space="preserve"> </w:t>
      </w:r>
      <w:r w:rsidRPr="00BC2D02">
        <w:rPr>
          <w:rFonts w:cs="Arial"/>
          <w:sz w:val="16"/>
          <w:szCs w:val="16"/>
        </w:rPr>
        <w:t>balanced population of shellfish, fish, and</w:t>
      </w:r>
      <w:r>
        <w:rPr>
          <w:rFonts w:cs="Arial"/>
          <w:sz w:val="16"/>
          <w:szCs w:val="16"/>
        </w:rPr>
        <w:t xml:space="preserve"> wildlife</w:t>
      </w:r>
      <w:r w:rsidRPr="00EF702D">
        <w:rPr>
          <w:rFonts w:cs="Arial"/>
          <w:sz w:val="16"/>
          <w:szCs w:val="16"/>
        </w:rPr>
        <w:t>.  Section 303(d) of the CWA requires states to submit to the EPA lists of surface waters that are impaired (i.e., that do not meet their designated uses, such as drinking water, recreation, and shellfish harvesting, as defined by applicable water quality standards).  TMDLs must be developed for each of these impaired waters on a schedule.  Also, Section 106 (e)(1) of the CWA directs the EPA to determine whether states meet the prerequisites for monitoring their aquatic resources.</w:t>
      </w:r>
    </w:p>
    <w:p w:rsidR="00366909" w:rsidRPr="00EF702D" w:rsidRDefault="00366909" w:rsidP="00EA3D58">
      <w:pPr>
        <w:pStyle w:val="Bodytext"/>
        <w:rPr>
          <w:rFonts w:cs="Arial"/>
          <w:sz w:val="16"/>
          <w:szCs w:val="16"/>
        </w:rPr>
      </w:pPr>
    </w:p>
    <w:p w:rsidR="00366909" w:rsidRDefault="00366909" w:rsidP="00EA3D58">
      <w:pPr>
        <w:pStyle w:val="FootnoteText"/>
      </w:pPr>
      <w:r w:rsidRPr="00EF702D">
        <w:rPr>
          <w:rFonts w:cs="Arial"/>
          <w:szCs w:val="16"/>
        </w:rPr>
        <w:t>Monitoring is required under Florida law through a series of rules that govern FDEP’s regulatory activities.</w:t>
      </w:r>
      <w:r>
        <w:rPr>
          <w:rFonts w:cs="Arial"/>
          <w:szCs w:val="16"/>
        </w:rPr>
        <w:t xml:space="preserve"> </w:t>
      </w:r>
      <w:r w:rsidRPr="00EF702D">
        <w:rPr>
          <w:rFonts w:cs="Arial"/>
          <w:szCs w:val="16"/>
        </w:rPr>
        <w:t xml:space="preserve"> The 1997 Water Quality Assurance Act (Section 403.063, F.S.) directs FDEP to establish and maintain a ground water quality monitoring network designed to detect or predict contamination of the state’s ground water resources.</w:t>
      </w:r>
      <w:r>
        <w:rPr>
          <w:rFonts w:cs="Arial"/>
          <w:szCs w:val="16"/>
        </w:rPr>
        <w:t xml:space="preserve"> </w:t>
      </w:r>
      <w:r w:rsidRPr="00EF702D">
        <w:rPr>
          <w:rFonts w:cs="Arial"/>
          <w:szCs w:val="16"/>
        </w:rPr>
        <w:t xml:space="preserve"> In addition, Section 62-40.540, F.A.C., </w:t>
      </w:r>
      <w:smartTag w:uri="urn:schemas-microsoft-com:office:smarttags" w:element="place">
        <w:smartTag w:uri="urn:schemas-microsoft-com:office:smarttags" w:element="State">
          <w:r w:rsidRPr="00EF702D">
            <w:rPr>
              <w:rFonts w:cs="Arial"/>
              <w:szCs w:val="16"/>
            </w:rPr>
            <w:t>Florida</w:t>
          </w:r>
        </w:smartTag>
      </w:smartTag>
      <w:r w:rsidRPr="00EF702D">
        <w:rPr>
          <w:rFonts w:cs="Arial"/>
          <w:szCs w:val="16"/>
        </w:rPr>
        <w:t>’s Water Policy, states that FDEP “. . . shall coordinate district, state agency, and local government water quality monitoring activities in order to improve data quality and reduce costs.”</w:t>
      </w:r>
    </w:p>
  </w:footnote>
  <w:footnote w:id="3">
    <w:p w:rsidR="00366909" w:rsidRDefault="00366909" w:rsidP="00EA3D58">
      <w:pPr>
        <w:pStyle w:val="FootnoteText"/>
      </w:pPr>
      <w:r w:rsidRPr="00EF702D">
        <w:rPr>
          <w:rStyle w:val="FootnoteReference"/>
          <w:rFonts w:cs="Arial"/>
          <w:szCs w:val="16"/>
        </w:rPr>
        <w:footnoteRef/>
      </w:r>
      <w:r w:rsidRPr="00EF702D">
        <w:rPr>
          <w:rFonts w:cs="Arial"/>
          <w:szCs w:val="16"/>
        </w:rPr>
        <w:t xml:space="preserve"> Metadata </w:t>
      </w:r>
      <w:r>
        <w:rPr>
          <w:rFonts w:cs="Arial"/>
          <w:szCs w:val="16"/>
        </w:rPr>
        <w:t>consist of</w:t>
      </w:r>
      <w:r w:rsidRPr="00EF702D">
        <w:rPr>
          <w:rFonts w:cs="Arial"/>
          <w:szCs w:val="16"/>
        </w:rPr>
        <w:t xml:space="preserve"> information about other data, including when and how the data were collected, by whom, and how they were formatted.</w:t>
      </w:r>
    </w:p>
  </w:footnote>
  <w:footnote w:id="4">
    <w:p w:rsidR="00366909" w:rsidRPr="00E67613" w:rsidRDefault="00366909" w:rsidP="00EA3D58">
      <w:pPr>
        <w:pStyle w:val="FootnoteText"/>
      </w:pPr>
      <w:r>
        <w:rPr>
          <w:rStyle w:val="FootnoteReference"/>
        </w:rPr>
        <w:footnoteRef/>
      </w:r>
      <w:r>
        <w:t xml:space="preserve"> </w:t>
      </w:r>
      <w:r w:rsidRPr="00E67613">
        <w:t>The qualifiers are as follows:</w:t>
      </w:r>
    </w:p>
    <w:p w:rsidR="00366909" w:rsidRPr="00E67613" w:rsidRDefault="00366909" w:rsidP="00EA3D58">
      <w:pPr>
        <w:pStyle w:val="FootnoteText"/>
      </w:pPr>
    </w:p>
    <w:p w:rsidR="00366909" w:rsidRPr="00944B6E" w:rsidRDefault="00366909" w:rsidP="00EA3D58">
      <w:pPr>
        <w:pStyle w:val="Footnotetextbulleted"/>
      </w:pPr>
      <w:r w:rsidRPr="00944B6E">
        <w:t xml:space="preserve">The F value qualifier indicates </w:t>
      </w:r>
      <w:r>
        <w:t xml:space="preserve">that </w:t>
      </w:r>
      <w:r w:rsidRPr="00944B6E">
        <w:t>the reported value failed to meet the established field quality control criteria for either precision or accuracy, or the sample matrix interfered with the ability to make an accurate field determination, or the value is questionable because of improper field sampling protocols.</w:t>
      </w:r>
    </w:p>
    <w:p w:rsidR="00366909" w:rsidRPr="00944B6E" w:rsidRDefault="00366909" w:rsidP="00EA3D58">
      <w:pPr>
        <w:pStyle w:val="Footnotetextbulleted"/>
      </w:pPr>
      <w:r w:rsidRPr="00944B6E">
        <w:t>Data qualified with an O indicate that the site was sampled but a chemical analy</w:t>
      </w:r>
      <w:r>
        <w:t>sis was lost or not performed.</w:t>
      </w:r>
    </w:p>
    <w:p w:rsidR="00366909" w:rsidRPr="00944B6E" w:rsidRDefault="00366909" w:rsidP="00EA3D58">
      <w:pPr>
        <w:pStyle w:val="Footnotetextbulleted"/>
      </w:pPr>
      <w:r w:rsidRPr="001635B4">
        <w:rPr>
          <w:snapToGrid w:val="0"/>
          <w:color w:val="000000"/>
        </w:rPr>
        <w:t xml:space="preserve">The V value qualifier </w:t>
      </w:r>
      <w:r w:rsidRPr="00944B6E">
        <w:t xml:space="preserve">indicates that the analyte was detected in both the sample and any of the associated blanks at similar concentrations. </w:t>
      </w:r>
    </w:p>
    <w:p w:rsidR="00366909" w:rsidRDefault="00366909" w:rsidP="00EA3D58">
      <w:pPr>
        <w:pStyle w:val="Footnotetextbulleted"/>
      </w:pPr>
      <w:r w:rsidRPr="00944B6E">
        <w:t xml:space="preserve">Data </w:t>
      </w:r>
      <w:r>
        <w:t>with</w:t>
      </w:r>
      <w:r w:rsidRPr="00944B6E">
        <w:t xml:space="preserve"> the Y value qualifier indicate </w:t>
      </w:r>
      <w:r>
        <w:t xml:space="preserve">the </w:t>
      </w:r>
      <w:r w:rsidRPr="00944B6E">
        <w:rPr>
          <w:snapToGrid w:val="0"/>
          <w:color w:val="000000"/>
        </w:rPr>
        <w:t xml:space="preserve">laboratory analysis </w:t>
      </w:r>
      <w:r>
        <w:rPr>
          <w:snapToGrid w:val="0"/>
          <w:color w:val="000000"/>
        </w:rPr>
        <w:t>is</w:t>
      </w:r>
      <w:r w:rsidRPr="00944B6E">
        <w:rPr>
          <w:snapToGrid w:val="0"/>
          <w:color w:val="000000"/>
        </w:rPr>
        <w:t xml:space="preserve"> from an unpreserved or improperly preserved sample</w:t>
      </w:r>
      <w:r>
        <w:rPr>
          <w:snapToGrid w:val="0"/>
          <w:color w:val="000000"/>
        </w:rPr>
        <w:t>,</w:t>
      </w:r>
      <w:r w:rsidRPr="00944B6E">
        <w:rPr>
          <w:snapToGrid w:val="0"/>
          <w:color w:val="000000"/>
        </w:rPr>
        <w:t xml:space="preserve"> and therefore the data may not be accurate.  </w:t>
      </w:r>
    </w:p>
  </w:footnote>
  <w:footnote w:id="5">
    <w:p w:rsidR="00366909" w:rsidRPr="003D799D" w:rsidRDefault="00366909">
      <w:pPr>
        <w:pStyle w:val="FootnoteText"/>
        <w:rPr>
          <w:snapToGrid w:val="0"/>
          <w:color w:val="000000"/>
        </w:rPr>
      </w:pPr>
      <w:r>
        <w:rPr>
          <w:rStyle w:val="FootnoteReference"/>
        </w:rPr>
        <w:footnoteRef/>
      </w:r>
      <w:r>
        <w:t xml:space="preserve"> Category 4c consists of waters that do not</w:t>
      </w:r>
      <w:r w:rsidRPr="000309E2">
        <w:rPr>
          <w:snapToGrid w:val="0"/>
          <w:color w:val="000000"/>
        </w:rPr>
        <w:t xml:space="preserve"> attain use because of natural causes, and thus a TMDL is not required.</w:t>
      </w:r>
    </w:p>
  </w:footnote>
  <w:footnote w:id="6">
    <w:p w:rsidR="00366909" w:rsidRDefault="00366909">
      <w:pPr>
        <w:pStyle w:val="FootnoteText"/>
      </w:pPr>
      <w:r w:rsidRPr="000309E2">
        <w:rPr>
          <w:rStyle w:val="FootnoteReference"/>
          <w:snapToGrid w:val="0"/>
          <w:color w:val="000000"/>
        </w:rPr>
        <w:footnoteRef/>
      </w:r>
      <w:r w:rsidRPr="000309E2">
        <w:rPr>
          <w:snapToGrid w:val="0"/>
          <w:color w:val="000000"/>
        </w:rPr>
        <w:t xml:space="preserve"> The numbers in </w:t>
      </w:r>
      <w:r w:rsidRPr="000309E2">
        <w:rPr>
          <w:b/>
          <w:i/>
          <w:snapToGrid w:val="0"/>
          <w:color w:val="000000"/>
        </w:rPr>
        <w:t>Table 8.1</w:t>
      </w:r>
      <w:r w:rsidRPr="000309E2">
        <w:rPr>
          <w:snapToGrid w:val="0"/>
          <w:color w:val="000000"/>
        </w:rPr>
        <w:t xml:space="preserve"> are different from th</w:t>
      </w:r>
      <w:r w:rsidRPr="00A60DC3">
        <w:t xml:space="preserve">ose in </w:t>
      </w:r>
      <w:r w:rsidRPr="00A60DC3">
        <w:rPr>
          <w:b/>
          <w:i/>
        </w:rPr>
        <w:t>Table 6.1</w:t>
      </w:r>
      <w:r w:rsidRPr="00A60DC3">
        <w:t xml:space="preserve"> because the WBID system is used to generate results for </w:t>
      </w:r>
      <w:r w:rsidRPr="00A60DC3">
        <w:rPr>
          <w:b/>
          <w:i/>
        </w:rPr>
        <w:t>Table 8.1</w:t>
      </w:r>
      <w:r>
        <w:t>,</w:t>
      </w:r>
      <w:r w:rsidRPr="00A60DC3">
        <w:t xml:space="preserve"> and only specific waters that are deemed to be the mainstream waters in the state are used in the WBID system.  Very small, </w:t>
      </w:r>
      <w:proofErr w:type="spellStart"/>
      <w:r w:rsidRPr="00A60DC3">
        <w:t>unsampled</w:t>
      </w:r>
      <w:proofErr w:type="spellEnd"/>
      <w:r w:rsidRPr="00A60DC3">
        <w:t xml:space="preserve"> waters are generally not included</w:t>
      </w:r>
      <w:r>
        <w:t xml:space="preserve">.  </w:t>
      </w:r>
      <w:r w:rsidRPr="005C33A6">
        <w:t xml:space="preserve">Although both mileage estimates come from the most recent NHD coverages, </w:t>
      </w:r>
      <w:r w:rsidRPr="005C33A6">
        <w:rPr>
          <w:b/>
          <w:i/>
        </w:rPr>
        <w:t>Table 6.1</w:t>
      </w:r>
      <w:r w:rsidRPr="005C33A6">
        <w:t xml:space="preserve"> uses all the available NHD mileages.</w:t>
      </w:r>
    </w:p>
  </w:footnote>
  <w:footnote w:id="7">
    <w:p w:rsidR="00366909" w:rsidRDefault="00366909" w:rsidP="00525390">
      <w:pPr>
        <w:pStyle w:val="FootnoteText"/>
      </w:pPr>
      <w:r w:rsidRPr="00473985">
        <w:rPr>
          <w:rStyle w:val="FootnoteReference"/>
          <w:rFonts w:cs="Arial"/>
          <w:szCs w:val="16"/>
        </w:rPr>
        <w:footnoteRef/>
      </w:r>
      <w:r w:rsidRPr="00DC54B0">
        <w:rPr>
          <w:rStyle w:val="FootnoteReference"/>
          <w:rFonts w:cs="Arial"/>
          <w:szCs w:val="16"/>
        </w:rPr>
        <w:t xml:space="preserve"> </w:t>
      </w:r>
      <w:r w:rsidRPr="00D145F4">
        <w:rPr>
          <w:rStyle w:val="FootnoteReference"/>
          <w:rFonts w:cs="Arial"/>
          <w:szCs w:val="16"/>
          <w:vertAlign w:val="baseline"/>
        </w:rPr>
        <w:t>The expanded database is summarized in</w:t>
      </w:r>
      <w:r>
        <w:rPr>
          <w:rFonts w:cs="Arial"/>
          <w:szCs w:val="16"/>
        </w:rPr>
        <w:t xml:space="preserve"> the</w:t>
      </w:r>
      <w:r w:rsidRPr="00DC54B0">
        <w:rPr>
          <w:rStyle w:val="FootnoteReference"/>
          <w:rFonts w:cs="Arial"/>
          <w:szCs w:val="16"/>
        </w:rPr>
        <w:t xml:space="preserve"> </w:t>
      </w:r>
      <w:hyperlink r:id="rId1" w:history="1">
        <w:r w:rsidRPr="00D145F4">
          <w:rPr>
            <w:rStyle w:val="Hyperlink"/>
            <w:rFonts w:cs="Arial"/>
            <w:i/>
            <w:szCs w:val="16"/>
          </w:rPr>
          <w:t>Florida Coastal Sediment Contaminants Atlas</w:t>
        </w:r>
      </w:hyperlink>
      <w:r w:rsidRPr="00DC54B0">
        <w:rPr>
          <w:rStyle w:val="FootnoteReference"/>
          <w:rFonts w:cs="Arial"/>
          <w:szCs w:val="16"/>
        </w:rPr>
        <w:t xml:space="preserve"> </w:t>
      </w:r>
      <w:r w:rsidRPr="00DC54B0">
        <w:rPr>
          <w:rFonts w:cs="Arial"/>
          <w:szCs w:val="16"/>
        </w:rPr>
        <w:t>(</w:t>
      </w:r>
      <w:r w:rsidRPr="00D145F4">
        <w:rPr>
          <w:rStyle w:val="FootnoteReference"/>
          <w:rFonts w:cs="Arial"/>
          <w:szCs w:val="16"/>
          <w:vertAlign w:val="baseline"/>
        </w:rPr>
        <w:t>F</w:t>
      </w:r>
      <w:r w:rsidRPr="00DC54B0">
        <w:rPr>
          <w:rFonts w:cs="Arial"/>
          <w:szCs w:val="16"/>
        </w:rPr>
        <w:t>DEP</w:t>
      </w:r>
      <w:r w:rsidRPr="00D145F4">
        <w:rPr>
          <w:rStyle w:val="FootnoteReference"/>
          <w:rFonts w:cs="Arial"/>
          <w:szCs w:val="16"/>
          <w:vertAlign w:val="baseline"/>
        </w:rPr>
        <w:t>, 1994</w:t>
      </w:r>
      <w:r w:rsidRPr="00DC54B0">
        <w:rPr>
          <w:rFonts w:cs="Arial"/>
          <w:szCs w:val="16"/>
        </w:rPr>
        <w:t>)</w:t>
      </w:r>
      <w:r>
        <w:rPr>
          <w:rStyle w:val="FootnoteReference"/>
          <w:rFonts w:cs="Arial"/>
          <w:szCs w:val="16"/>
        </w:rPr>
        <w:t>.</w:t>
      </w:r>
    </w:p>
  </w:footnote>
  <w:footnote w:id="8">
    <w:p w:rsidR="00366909" w:rsidRDefault="00366909" w:rsidP="00B215C8">
      <w:pPr>
        <w:pStyle w:val="FootnoteText"/>
      </w:pPr>
      <w:r w:rsidRPr="00621ED0">
        <w:rPr>
          <w:rStyle w:val="FootnoteReference"/>
          <w:rFonts w:cs="Arial"/>
          <w:szCs w:val="16"/>
        </w:rPr>
        <w:footnoteRef/>
      </w:r>
      <w:r w:rsidRPr="00621ED0">
        <w:rPr>
          <w:rFonts w:cs="Arial"/>
          <w:szCs w:val="16"/>
        </w:rPr>
        <w:t xml:space="preserve"> </w:t>
      </w:r>
      <w:r>
        <w:rPr>
          <w:rFonts w:cs="Arial"/>
          <w:szCs w:val="16"/>
        </w:rPr>
        <w:t>W</w:t>
      </w:r>
      <w:r w:rsidRPr="00621ED0">
        <w:rPr>
          <w:rFonts w:cs="Arial"/>
          <w:szCs w:val="16"/>
        </w:rPr>
        <w:t>etlands owned entirely by one person other than the state are not considered waters of the state; this would include isolated wetlands owned entirely by one permit (Section 403.031[13], F.S.).</w:t>
      </w:r>
    </w:p>
  </w:footnote>
  <w:footnote w:id="9">
    <w:p w:rsidR="00366909" w:rsidRDefault="00366909" w:rsidP="00B215C8">
      <w:pPr>
        <w:pStyle w:val="FootnoteText"/>
      </w:pPr>
      <w:r>
        <w:rPr>
          <w:rStyle w:val="FootnoteReference"/>
        </w:rPr>
        <w:footnoteRef/>
      </w:r>
      <w:r>
        <w:t xml:space="preserve"> Section 373.461(3)(a), F.S., and Section 11.7 of the St. Johns River Water Management District </w:t>
      </w:r>
      <w:r w:rsidRPr="00CA461C">
        <w:rPr>
          <w:i/>
        </w:rPr>
        <w:t>Applicant’s Handbook: Management and Storage of Surface Waters</w:t>
      </w:r>
      <w:r>
        <w:rPr>
          <w:i/>
        </w:rPr>
        <w:t>.</w:t>
      </w:r>
    </w:p>
  </w:footnote>
  <w:footnote w:id="10">
    <w:p w:rsidR="00366909" w:rsidRDefault="00366909" w:rsidP="00B215C8">
      <w:pPr>
        <w:pStyle w:val="FootnoteText"/>
      </w:pPr>
      <w:r w:rsidRPr="00EF702D">
        <w:rPr>
          <w:rStyle w:val="FootnoteReference"/>
          <w:rFonts w:cs="Arial"/>
          <w:szCs w:val="16"/>
        </w:rPr>
        <w:footnoteRef/>
      </w:r>
      <w:r>
        <w:rPr>
          <w:rFonts w:cs="Arial"/>
          <w:snapToGrid w:val="0"/>
          <w:szCs w:val="16"/>
        </w:rPr>
        <w:t xml:space="preserve"> </w:t>
      </w:r>
      <w:r w:rsidRPr="00EF702D">
        <w:rPr>
          <w:rFonts w:cs="Arial"/>
          <w:snapToGrid w:val="0"/>
          <w:szCs w:val="16"/>
        </w:rPr>
        <w:t>Although this last designation, created in 1989, applies to Everglades and Biscayne National Parks, it has not been confirmed by the Florida</w:t>
      </w:r>
      <w:r>
        <w:rPr>
          <w:rFonts w:cs="Arial"/>
          <w:snapToGrid w:val="0"/>
          <w:szCs w:val="16"/>
        </w:rPr>
        <w:t xml:space="preserve"> L</w:t>
      </w:r>
      <w:r w:rsidRPr="00EF702D">
        <w:rPr>
          <w:rFonts w:cs="Arial"/>
          <w:snapToGrid w:val="0"/>
          <w:szCs w:val="16"/>
        </w:rPr>
        <w:t>egislature.</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Pr="00C605B2" w:rsidRDefault="00366909" w:rsidP="004637F9">
    <w:pPr>
      <w:pStyle w:val="Header"/>
      <w:pBdr>
        <w:bottom w:val="single" w:sz="4" w:space="1" w:color="auto"/>
      </w:pBdr>
      <w:jc w:val="center"/>
      <w:rPr>
        <w:rFonts w:ascii="Arial" w:hAnsi="Arial" w:cs="Arial"/>
        <w:b/>
        <w:sz w:val="20"/>
        <w:szCs w:val="20"/>
      </w:rPr>
    </w:pPr>
    <w:r w:rsidRPr="00C605B2">
      <w:rPr>
        <w:rFonts w:ascii="Arial" w:hAnsi="Arial" w:cs="Arial"/>
        <w:b/>
        <w:sz w:val="20"/>
        <w:szCs w:val="20"/>
      </w:rPr>
      <w:t>20</w:t>
    </w:r>
    <w:r>
      <w:rPr>
        <w:rFonts w:ascii="Arial" w:hAnsi="Arial" w:cs="Arial"/>
        <w:b/>
        <w:sz w:val="20"/>
        <w:szCs w:val="20"/>
      </w:rPr>
      <w:t>10</w:t>
    </w:r>
    <w:r w:rsidRPr="00C605B2">
      <w:rPr>
        <w:rFonts w:ascii="Arial" w:hAnsi="Arial" w:cs="Arial"/>
        <w:b/>
        <w:sz w:val="20"/>
        <w:szCs w:val="20"/>
      </w:rPr>
      <w:t xml:space="preserve"> Integrated </w:t>
    </w:r>
    <w:r>
      <w:rPr>
        <w:rFonts w:ascii="Arial" w:hAnsi="Arial" w:cs="Arial"/>
        <w:b/>
        <w:sz w:val="20"/>
        <w:szCs w:val="20"/>
      </w:rPr>
      <w:t>Water Quality Assessment for Florida, June 2010</w:t>
    </w:r>
  </w:p>
  <w:p w:rsidR="00366909" w:rsidRDefault="00366909">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366909">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Pr="00C605B2" w:rsidRDefault="00366909" w:rsidP="00E31650">
    <w:pPr>
      <w:pStyle w:val="Header"/>
      <w:pBdr>
        <w:bottom w:val="single" w:sz="4" w:space="1" w:color="auto"/>
      </w:pBdr>
      <w:jc w:val="center"/>
      <w:rPr>
        <w:rFonts w:ascii="Arial" w:hAnsi="Arial" w:cs="Arial"/>
        <w:b/>
        <w:sz w:val="20"/>
        <w:szCs w:val="20"/>
      </w:rPr>
    </w:pPr>
    <w:r w:rsidRPr="00C605B2">
      <w:rPr>
        <w:rFonts w:ascii="Arial" w:hAnsi="Arial" w:cs="Arial"/>
        <w:b/>
        <w:sz w:val="20"/>
        <w:szCs w:val="20"/>
      </w:rPr>
      <w:t>20</w:t>
    </w:r>
    <w:r>
      <w:rPr>
        <w:rFonts w:ascii="Arial" w:hAnsi="Arial" w:cs="Arial"/>
        <w:b/>
        <w:sz w:val="20"/>
        <w:szCs w:val="20"/>
      </w:rPr>
      <w:t>10</w:t>
    </w:r>
    <w:r w:rsidRPr="00C605B2">
      <w:rPr>
        <w:rFonts w:ascii="Arial" w:hAnsi="Arial" w:cs="Arial"/>
        <w:b/>
        <w:sz w:val="20"/>
        <w:szCs w:val="20"/>
      </w:rPr>
      <w:t xml:space="preserve"> Integrated </w:t>
    </w:r>
    <w:r>
      <w:rPr>
        <w:rFonts w:ascii="Arial" w:hAnsi="Arial" w:cs="Arial"/>
        <w:b/>
        <w:sz w:val="20"/>
        <w:szCs w:val="20"/>
      </w:rPr>
      <w:t>Water Quality Assessment for Florida, September 2010</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position:absolute;margin-left:0;margin-top:0;width:221.25pt;height:74.25pt;z-index:-251658240;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0" type="#_x0000_t136" style="position:absolute;margin-left:0;margin-top:0;width:221.25pt;height:74.25pt;z-index:-251657216;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style="position:absolute;margin-left:0;margin-top:0;width:221.25pt;height:74.25pt;z-index:-251660288;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B2471C">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0;margin-top:0;width:221.25pt;height:74.25pt;z-index:-251659264;mso-position-horizontal:center;mso-position-horizontal-relative:margin;mso-position-vertical:center;mso-position-vertical-relative:margin" o:allowincell="f" fillcolor="silver" stroked="f">
          <v:fill opacity=".5"/>
          <v:textpath style="font-family:&quot;Arial&quot;;font-size:66pt" string="DRAFT"/>
          <w10:wrap anchorx="margin" anchory="margin"/>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366909">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366909">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66909" w:rsidRDefault="00366909">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EC6BE24"/>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661E22C2"/>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068ECF88"/>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22B281BA"/>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F3A006A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B7217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5AA62EC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C28744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2A29718"/>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120A91C6"/>
    <w:lvl w:ilvl="0">
      <w:start w:val="1"/>
      <w:numFmt w:val="bullet"/>
      <w:lvlText w:val=""/>
      <w:lvlJc w:val="left"/>
      <w:pPr>
        <w:tabs>
          <w:tab w:val="num" w:pos="360"/>
        </w:tabs>
        <w:ind w:left="360" w:hanging="360"/>
      </w:pPr>
      <w:rPr>
        <w:rFonts w:ascii="Symbol" w:hAnsi="Symbol" w:hint="default"/>
      </w:rPr>
    </w:lvl>
  </w:abstractNum>
  <w:abstractNum w:abstractNumId="10">
    <w:nsid w:val="00BB406E"/>
    <w:multiLevelType w:val="hybridMultilevel"/>
    <w:tmpl w:val="542EBD4C"/>
    <w:lvl w:ilvl="0" w:tplc="14A210E4">
      <w:start w:val="1"/>
      <w:numFmt w:val="bullet"/>
      <w:lvlText w:val=""/>
      <w:lvlJc w:val="left"/>
      <w:pPr>
        <w:ind w:left="720" w:hanging="360"/>
      </w:pPr>
      <w:rPr>
        <w:rFonts w:ascii="Symbol" w:hAnsi="Symbol" w:hint="default"/>
      </w:rPr>
    </w:lvl>
    <w:lvl w:ilvl="1" w:tplc="4498F116" w:tentative="1">
      <w:start w:val="1"/>
      <w:numFmt w:val="bullet"/>
      <w:lvlText w:val="o"/>
      <w:lvlJc w:val="left"/>
      <w:pPr>
        <w:ind w:left="1440" w:hanging="360"/>
      </w:pPr>
      <w:rPr>
        <w:rFonts w:ascii="Courier New" w:hAnsi="Courier New" w:hint="default"/>
      </w:rPr>
    </w:lvl>
    <w:lvl w:ilvl="2" w:tplc="9814A870" w:tentative="1">
      <w:start w:val="1"/>
      <w:numFmt w:val="bullet"/>
      <w:lvlText w:val=""/>
      <w:lvlJc w:val="left"/>
      <w:pPr>
        <w:ind w:left="2160" w:hanging="360"/>
      </w:pPr>
      <w:rPr>
        <w:rFonts w:ascii="Wingdings" w:hAnsi="Wingdings" w:hint="default"/>
      </w:rPr>
    </w:lvl>
    <w:lvl w:ilvl="3" w:tplc="49849EC2" w:tentative="1">
      <w:start w:val="1"/>
      <w:numFmt w:val="bullet"/>
      <w:lvlText w:val=""/>
      <w:lvlJc w:val="left"/>
      <w:pPr>
        <w:ind w:left="2880" w:hanging="360"/>
      </w:pPr>
      <w:rPr>
        <w:rFonts w:ascii="Symbol" w:hAnsi="Symbol" w:hint="default"/>
      </w:rPr>
    </w:lvl>
    <w:lvl w:ilvl="4" w:tplc="191A83F2" w:tentative="1">
      <w:start w:val="1"/>
      <w:numFmt w:val="bullet"/>
      <w:lvlText w:val="o"/>
      <w:lvlJc w:val="left"/>
      <w:pPr>
        <w:ind w:left="3600" w:hanging="360"/>
      </w:pPr>
      <w:rPr>
        <w:rFonts w:ascii="Courier New" w:hAnsi="Courier New" w:hint="default"/>
      </w:rPr>
    </w:lvl>
    <w:lvl w:ilvl="5" w:tplc="44140CFA" w:tentative="1">
      <w:start w:val="1"/>
      <w:numFmt w:val="bullet"/>
      <w:lvlText w:val=""/>
      <w:lvlJc w:val="left"/>
      <w:pPr>
        <w:ind w:left="4320" w:hanging="360"/>
      </w:pPr>
      <w:rPr>
        <w:rFonts w:ascii="Wingdings" w:hAnsi="Wingdings" w:hint="default"/>
      </w:rPr>
    </w:lvl>
    <w:lvl w:ilvl="6" w:tplc="2258F618" w:tentative="1">
      <w:start w:val="1"/>
      <w:numFmt w:val="bullet"/>
      <w:lvlText w:val=""/>
      <w:lvlJc w:val="left"/>
      <w:pPr>
        <w:ind w:left="5040" w:hanging="360"/>
      </w:pPr>
      <w:rPr>
        <w:rFonts w:ascii="Symbol" w:hAnsi="Symbol" w:hint="default"/>
      </w:rPr>
    </w:lvl>
    <w:lvl w:ilvl="7" w:tplc="96F84EC2" w:tentative="1">
      <w:start w:val="1"/>
      <w:numFmt w:val="bullet"/>
      <w:lvlText w:val="o"/>
      <w:lvlJc w:val="left"/>
      <w:pPr>
        <w:ind w:left="5760" w:hanging="360"/>
      </w:pPr>
      <w:rPr>
        <w:rFonts w:ascii="Courier New" w:hAnsi="Courier New" w:hint="default"/>
      </w:rPr>
    </w:lvl>
    <w:lvl w:ilvl="8" w:tplc="F3908920" w:tentative="1">
      <w:start w:val="1"/>
      <w:numFmt w:val="bullet"/>
      <w:lvlText w:val=""/>
      <w:lvlJc w:val="left"/>
      <w:pPr>
        <w:ind w:left="6480" w:hanging="360"/>
      </w:pPr>
      <w:rPr>
        <w:rFonts w:ascii="Wingdings" w:hAnsi="Wingdings" w:hint="default"/>
      </w:rPr>
    </w:lvl>
  </w:abstractNum>
  <w:abstractNum w:abstractNumId="11">
    <w:nsid w:val="08386D1E"/>
    <w:multiLevelType w:val="hybridMultilevel"/>
    <w:tmpl w:val="88AE0D86"/>
    <w:lvl w:ilvl="0" w:tplc="04090001">
      <w:start w:val="1"/>
      <w:numFmt w:val="bullet"/>
      <w:pStyle w:val="Listbulletsubhead"/>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0BEB7A32"/>
    <w:multiLevelType w:val="hybridMultilevel"/>
    <w:tmpl w:val="0B3447DE"/>
    <w:lvl w:ilvl="0" w:tplc="068A229E">
      <w:start w:val="1"/>
      <w:numFmt w:val="bullet"/>
      <w:lvlText w:val=""/>
      <w:lvlJc w:val="left"/>
      <w:pPr>
        <w:tabs>
          <w:tab w:val="num" w:pos="720"/>
        </w:tabs>
        <w:ind w:left="720" w:hanging="360"/>
      </w:pPr>
      <w:rPr>
        <w:rFonts w:ascii="Symbol" w:hAnsi="Symbol" w:hint="default"/>
      </w:rPr>
    </w:lvl>
    <w:lvl w:ilvl="1" w:tplc="04090003">
      <w:start w:val="1"/>
      <w:numFmt w:val="bullet"/>
      <w:pStyle w:val="Sub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27A945EA"/>
    <w:multiLevelType w:val="singleLevel"/>
    <w:tmpl w:val="F08E23F8"/>
    <w:lvl w:ilvl="0">
      <w:start w:val="1"/>
      <w:numFmt w:val="bullet"/>
      <w:pStyle w:val="Bullet"/>
      <w:lvlText w:val=""/>
      <w:lvlJc w:val="left"/>
      <w:pPr>
        <w:tabs>
          <w:tab w:val="num" w:pos="720"/>
        </w:tabs>
        <w:ind w:left="720" w:hanging="360"/>
      </w:pPr>
      <w:rPr>
        <w:rFonts w:ascii="Symbol" w:hAnsi="Symbol" w:hint="default"/>
      </w:rPr>
    </w:lvl>
  </w:abstractNum>
  <w:abstractNum w:abstractNumId="14">
    <w:nsid w:val="2B4B2031"/>
    <w:multiLevelType w:val="hybridMultilevel"/>
    <w:tmpl w:val="9794A682"/>
    <w:lvl w:ilvl="0" w:tplc="E62849D6">
      <w:start w:val="1"/>
      <w:numFmt w:val="bullet"/>
      <w:pStyle w:val="ListBullet2"/>
      <w:lvlText w:val="−"/>
      <w:lvlJc w:val="left"/>
      <w:pPr>
        <w:tabs>
          <w:tab w:val="num" w:pos="720"/>
        </w:tabs>
        <w:ind w:left="720" w:hanging="360"/>
      </w:pPr>
      <w:rPr>
        <w:rFonts w:ascii="Arial" w:hAnsi="Arial" w:hint="default"/>
      </w:rPr>
    </w:lvl>
    <w:lvl w:ilvl="1" w:tplc="F558ED80">
      <w:start w:val="1"/>
      <w:numFmt w:val="bullet"/>
      <w:lvlText w:val=""/>
      <w:lvlJc w:val="left"/>
      <w:pPr>
        <w:tabs>
          <w:tab w:val="num" w:pos="1440"/>
        </w:tabs>
        <w:ind w:left="1440" w:hanging="360"/>
      </w:pPr>
      <w:rPr>
        <w:rFonts w:ascii="Symbol" w:hAnsi="Symbol" w:hint="default"/>
      </w:rPr>
    </w:lvl>
    <w:lvl w:ilvl="2" w:tplc="CC8A60FE" w:tentative="1">
      <w:start w:val="1"/>
      <w:numFmt w:val="lowerRoman"/>
      <w:lvlText w:val="%3."/>
      <w:lvlJc w:val="right"/>
      <w:pPr>
        <w:tabs>
          <w:tab w:val="num" w:pos="2160"/>
        </w:tabs>
        <w:ind w:left="2160" w:hanging="180"/>
      </w:pPr>
      <w:rPr>
        <w:rFonts w:cs="Times New Roman"/>
      </w:rPr>
    </w:lvl>
    <w:lvl w:ilvl="3" w:tplc="4B30C010" w:tentative="1">
      <w:start w:val="1"/>
      <w:numFmt w:val="decimal"/>
      <w:lvlText w:val="%4."/>
      <w:lvlJc w:val="left"/>
      <w:pPr>
        <w:tabs>
          <w:tab w:val="num" w:pos="2880"/>
        </w:tabs>
        <w:ind w:left="2880" w:hanging="360"/>
      </w:pPr>
      <w:rPr>
        <w:rFonts w:cs="Times New Roman"/>
      </w:rPr>
    </w:lvl>
    <w:lvl w:ilvl="4" w:tplc="97449DEE" w:tentative="1">
      <w:start w:val="1"/>
      <w:numFmt w:val="lowerLetter"/>
      <w:lvlText w:val="%5."/>
      <w:lvlJc w:val="left"/>
      <w:pPr>
        <w:tabs>
          <w:tab w:val="num" w:pos="3600"/>
        </w:tabs>
        <w:ind w:left="3600" w:hanging="360"/>
      </w:pPr>
      <w:rPr>
        <w:rFonts w:cs="Times New Roman"/>
      </w:rPr>
    </w:lvl>
    <w:lvl w:ilvl="5" w:tplc="5EDC7D40" w:tentative="1">
      <w:start w:val="1"/>
      <w:numFmt w:val="lowerRoman"/>
      <w:lvlText w:val="%6."/>
      <w:lvlJc w:val="right"/>
      <w:pPr>
        <w:tabs>
          <w:tab w:val="num" w:pos="4320"/>
        </w:tabs>
        <w:ind w:left="4320" w:hanging="180"/>
      </w:pPr>
      <w:rPr>
        <w:rFonts w:cs="Times New Roman"/>
      </w:rPr>
    </w:lvl>
    <w:lvl w:ilvl="6" w:tplc="6D56DC6E" w:tentative="1">
      <w:start w:val="1"/>
      <w:numFmt w:val="decimal"/>
      <w:lvlText w:val="%7."/>
      <w:lvlJc w:val="left"/>
      <w:pPr>
        <w:tabs>
          <w:tab w:val="num" w:pos="5040"/>
        </w:tabs>
        <w:ind w:left="5040" w:hanging="360"/>
      </w:pPr>
      <w:rPr>
        <w:rFonts w:cs="Times New Roman"/>
      </w:rPr>
    </w:lvl>
    <w:lvl w:ilvl="7" w:tplc="E9B41F40" w:tentative="1">
      <w:start w:val="1"/>
      <w:numFmt w:val="lowerLetter"/>
      <w:lvlText w:val="%8."/>
      <w:lvlJc w:val="left"/>
      <w:pPr>
        <w:tabs>
          <w:tab w:val="num" w:pos="5760"/>
        </w:tabs>
        <w:ind w:left="5760" w:hanging="360"/>
      </w:pPr>
      <w:rPr>
        <w:rFonts w:cs="Times New Roman"/>
      </w:rPr>
    </w:lvl>
    <w:lvl w:ilvl="8" w:tplc="346A0FFE" w:tentative="1">
      <w:start w:val="1"/>
      <w:numFmt w:val="lowerRoman"/>
      <w:lvlText w:val="%9."/>
      <w:lvlJc w:val="right"/>
      <w:pPr>
        <w:tabs>
          <w:tab w:val="num" w:pos="6480"/>
        </w:tabs>
        <w:ind w:left="6480" w:hanging="180"/>
      </w:pPr>
      <w:rPr>
        <w:rFonts w:cs="Times New Roman"/>
      </w:rPr>
    </w:lvl>
  </w:abstractNum>
  <w:abstractNum w:abstractNumId="15">
    <w:nsid w:val="3052004C"/>
    <w:multiLevelType w:val="multilevel"/>
    <w:tmpl w:val="FFFFFFF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34013F7D"/>
    <w:multiLevelType w:val="hybridMultilevel"/>
    <w:tmpl w:val="5B564742"/>
    <w:lvl w:ilvl="0" w:tplc="FFFFFFFF">
      <w:start w:val="1"/>
      <w:numFmt w:val="bullet"/>
      <w:pStyle w:val="ListBullet"/>
      <w:lvlText w:val=""/>
      <w:lvlJc w:val="left"/>
      <w:pPr>
        <w:tabs>
          <w:tab w:val="num" w:pos="630"/>
        </w:tabs>
        <w:ind w:left="63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39874100"/>
    <w:multiLevelType w:val="multilevel"/>
    <w:tmpl w:val="ACF269C2"/>
    <w:lvl w:ilvl="0">
      <w:start w:val="1"/>
      <w:numFmt w:val="decimal"/>
      <w:lvlText w:val="%1."/>
      <w:lvlJc w:val="left"/>
      <w:pPr>
        <w:tabs>
          <w:tab w:val="num" w:pos="720"/>
        </w:tabs>
        <w:ind w:left="720" w:hanging="720"/>
      </w:pPr>
      <w:rPr>
        <w:rFonts w:cs="Times New Roman"/>
      </w:rPr>
    </w:lvl>
    <w:lvl w:ilvl="1">
      <w:start w:val="1"/>
      <w:numFmt w:val="decimal"/>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18">
    <w:nsid w:val="3A0E6A7E"/>
    <w:multiLevelType w:val="hybridMultilevel"/>
    <w:tmpl w:val="A414458C"/>
    <w:lvl w:ilvl="0" w:tplc="B02867CA">
      <w:start w:val="1"/>
      <w:numFmt w:val="decimal"/>
      <w:lvlText w:val="%1."/>
      <w:lvlJc w:val="left"/>
      <w:pPr>
        <w:tabs>
          <w:tab w:val="num" w:pos="720"/>
        </w:tabs>
        <w:ind w:left="720" w:hanging="360"/>
      </w:pPr>
      <w:rPr>
        <w:rFonts w:cs="Times New Roman" w:hint="default"/>
      </w:rPr>
    </w:lvl>
    <w:lvl w:ilvl="1" w:tplc="44D88894" w:tentative="1">
      <w:start w:val="1"/>
      <w:numFmt w:val="lowerLetter"/>
      <w:lvlText w:val="%2."/>
      <w:lvlJc w:val="left"/>
      <w:pPr>
        <w:tabs>
          <w:tab w:val="num" w:pos="1800"/>
        </w:tabs>
        <w:ind w:left="1800" w:hanging="360"/>
      </w:pPr>
      <w:rPr>
        <w:rFonts w:cs="Times New Roman"/>
      </w:rPr>
    </w:lvl>
    <w:lvl w:ilvl="2" w:tplc="29F6053E" w:tentative="1">
      <w:start w:val="1"/>
      <w:numFmt w:val="lowerRoman"/>
      <w:lvlText w:val="%3."/>
      <w:lvlJc w:val="right"/>
      <w:pPr>
        <w:tabs>
          <w:tab w:val="num" w:pos="2520"/>
        </w:tabs>
        <w:ind w:left="2520" w:hanging="180"/>
      </w:pPr>
      <w:rPr>
        <w:rFonts w:cs="Times New Roman"/>
      </w:rPr>
    </w:lvl>
    <w:lvl w:ilvl="3" w:tplc="8FFC22F0" w:tentative="1">
      <w:start w:val="1"/>
      <w:numFmt w:val="decimal"/>
      <w:lvlText w:val="%4."/>
      <w:lvlJc w:val="left"/>
      <w:pPr>
        <w:tabs>
          <w:tab w:val="num" w:pos="3240"/>
        </w:tabs>
        <w:ind w:left="3240" w:hanging="360"/>
      </w:pPr>
      <w:rPr>
        <w:rFonts w:cs="Times New Roman"/>
      </w:rPr>
    </w:lvl>
    <w:lvl w:ilvl="4" w:tplc="B700F90C" w:tentative="1">
      <w:start w:val="1"/>
      <w:numFmt w:val="lowerLetter"/>
      <w:lvlText w:val="%5."/>
      <w:lvlJc w:val="left"/>
      <w:pPr>
        <w:tabs>
          <w:tab w:val="num" w:pos="3960"/>
        </w:tabs>
        <w:ind w:left="3960" w:hanging="360"/>
      </w:pPr>
      <w:rPr>
        <w:rFonts w:cs="Times New Roman"/>
      </w:rPr>
    </w:lvl>
    <w:lvl w:ilvl="5" w:tplc="04B04CC8" w:tentative="1">
      <w:start w:val="1"/>
      <w:numFmt w:val="lowerRoman"/>
      <w:lvlText w:val="%6."/>
      <w:lvlJc w:val="right"/>
      <w:pPr>
        <w:tabs>
          <w:tab w:val="num" w:pos="4680"/>
        </w:tabs>
        <w:ind w:left="4680" w:hanging="180"/>
      </w:pPr>
      <w:rPr>
        <w:rFonts w:cs="Times New Roman"/>
      </w:rPr>
    </w:lvl>
    <w:lvl w:ilvl="6" w:tplc="F484019A" w:tentative="1">
      <w:start w:val="1"/>
      <w:numFmt w:val="decimal"/>
      <w:lvlText w:val="%7."/>
      <w:lvlJc w:val="left"/>
      <w:pPr>
        <w:tabs>
          <w:tab w:val="num" w:pos="5400"/>
        </w:tabs>
        <w:ind w:left="5400" w:hanging="360"/>
      </w:pPr>
      <w:rPr>
        <w:rFonts w:cs="Times New Roman"/>
      </w:rPr>
    </w:lvl>
    <w:lvl w:ilvl="7" w:tplc="CC206906" w:tentative="1">
      <w:start w:val="1"/>
      <w:numFmt w:val="lowerLetter"/>
      <w:lvlText w:val="%8."/>
      <w:lvlJc w:val="left"/>
      <w:pPr>
        <w:tabs>
          <w:tab w:val="num" w:pos="6120"/>
        </w:tabs>
        <w:ind w:left="6120" w:hanging="360"/>
      </w:pPr>
      <w:rPr>
        <w:rFonts w:cs="Times New Roman"/>
      </w:rPr>
    </w:lvl>
    <w:lvl w:ilvl="8" w:tplc="A87AC532" w:tentative="1">
      <w:start w:val="1"/>
      <w:numFmt w:val="lowerRoman"/>
      <w:lvlText w:val="%9."/>
      <w:lvlJc w:val="right"/>
      <w:pPr>
        <w:tabs>
          <w:tab w:val="num" w:pos="6840"/>
        </w:tabs>
        <w:ind w:left="6840" w:hanging="180"/>
      </w:pPr>
      <w:rPr>
        <w:rFonts w:cs="Times New Roman"/>
      </w:rPr>
    </w:lvl>
  </w:abstractNum>
  <w:abstractNum w:abstractNumId="19">
    <w:nsid w:val="4C3722E0"/>
    <w:multiLevelType w:val="hybridMultilevel"/>
    <w:tmpl w:val="610A1456"/>
    <w:lvl w:ilvl="0" w:tplc="5F9E8844">
      <w:start w:val="1"/>
      <w:numFmt w:val="bullet"/>
      <w:pStyle w:val="Footnotetextbulleted"/>
      <w:lvlText w:val=""/>
      <w:lvlJc w:val="left"/>
      <w:pPr>
        <w:ind w:left="720" w:hanging="360"/>
      </w:pPr>
      <w:rPr>
        <w:rFonts w:ascii="Symbol" w:hAnsi="Symbol" w:hint="default"/>
      </w:rPr>
    </w:lvl>
    <w:lvl w:ilvl="1" w:tplc="2138AB2A" w:tentative="1">
      <w:start w:val="1"/>
      <w:numFmt w:val="bullet"/>
      <w:lvlText w:val="o"/>
      <w:lvlJc w:val="left"/>
      <w:pPr>
        <w:ind w:left="1440" w:hanging="360"/>
      </w:pPr>
      <w:rPr>
        <w:rFonts w:ascii="Courier New" w:hAnsi="Courier New" w:hint="default"/>
      </w:rPr>
    </w:lvl>
    <w:lvl w:ilvl="2" w:tplc="14F09DA4" w:tentative="1">
      <w:start w:val="1"/>
      <w:numFmt w:val="bullet"/>
      <w:lvlText w:val=""/>
      <w:lvlJc w:val="left"/>
      <w:pPr>
        <w:ind w:left="2160" w:hanging="360"/>
      </w:pPr>
      <w:rPr>
        <w:rFonts w:ascii="Wingdings" w:hAnsi="Wingdings" w:hint="default"/>
      </w:rPr>
    </w:lvl>
    <w:lvl w:ilvl="3" w:tplc="1AA4504A" w:tentative="1">
      <w:start w:val="1"/>
      <w:numFmt w:val="bullet"/>
      <w:lvlText w:val=""/>
      <w:lvlJc w:val="left"/>
      <w:pPr>
        <w:ind w:left="2880" w:hanging="360"/>
      </w:pPr>
      <w:rPr>
        <w:rFonts w:ascii="Symbol" w:hAnsi="Symbol" w:hint="default"/>
      </w:rPr>
    </w:lvl>
    <w:lvl w:ilvl="4" w:tplc="7A3CE806" w:tentative="1">
      <w:start w:val="1"/>
      <w:numFmt w:val="bullet"/>
      <w:lvlText w:val="o"/>
      <w:lvlJc w:val="left"/>
      <w:pPr>
        <w:ind w:left="3600" w:hanging="360"/>
      </w:pPr>
      <w:rPr>
        <w:rFonts w:ascii="Courier New" w:hAnsi="Courier New" w:hint="default"/>
      </w:rPr>
    </w:lvl>
    <w:lvl w:ilvl="5" w:tplc="CFFC74AA" w:tentative="1">
      <w:start w:val="1"/>
      <w:numFmt w:val="bullet"/>
      <w:lvlText w:val=""/>
      <w:lvlJc w:val="left"/>
      <w:pPr>
        <w:ind w:left="4320" w:hanging="360"/>
      </w:pPr>
      <w:rPr>
        <w:rFonts w:ascii="Wingdings" w:hAnsi="Wingdings" w:hint="default"/>
      </w:rPr>
    </w:lvl>
    <w:lvl w:ilvl="6" w:tplc="374E39BA" w:tentative="1">
      <w:start w:val="1"/>
      <w:numFmt w:val="bullet"/>
      <w:lvlText w:val=""/>
      <w:lvlJc w:val="left"/>
      <w:pPr>
        <w:ind w:left="5040" w:hanging="360"/>
      </w:pPr>
      <w:rPr>
        <w:rFonts w:ascii="Symbol" w:hAnsi="Symbol" w:hint="default"/>
      </w:rPr>
    </w:lvl>
    <w:lvl w:ilvl="7" w:tplc="1BC84F78" w:tentative="1">
      <w:start w:val="1"/>
      <w:numFmt w:val="bullet"/>
      <w:lvlText w:val="o"/>
      <w:lvlJc w:val="left"/>
      <w:pPr>
        <w:ind w:left="5760" w:hanging="360"/>
      </w:pPr>
      <w:rPr>
        <w:rFonts w:ascii="Courier New" w:hAnsi="Courier New" w:hint="default"/>
      </w:rPr>
    </w:lvl>
    <w:lvl w:ilvl="8" w:tplc="272880D4" w:tentative="1">
      <w:start w:val="1"/>
      <w:numFmt w:val="bullet"/>
      <w:lvlText w:val=""/>
      <w:lvlJc w:val="left"/>
      <w:pPr>
        <w:ind w:left="6480" w:hanging="360"/>
      </w:pPr>
      <w:rPr>
        <w:rFonts w:ascii="Wingdings" w:hAnsi="Wingdings" w:hint="default"/>
      </w:rPr>
    </w:lvl>
  </w:abstractNum>
  <w:abstractNum w:abstractNumId="20">
    <w:nsid w:val="50FF0B14"/>
    <w:multiLevelType w:val="hybridMultilevel"/>
    <w:tmpl w:val="8C981228"/>
    <w:lvl w:ilvl="0" w:tplc="08981A52">
      <w:start w:val="1"/>
      <w:numFmt w:val="bullet"/>
      <w:pStyle w:val="CommentSubject"/>
      <w:lvlText w:val=""/>
      <w:lvlJc w:val="left"/>
      <w:pPr>
        <w:tabs>
          <w:tab w:val="num" w:pos="720"/>
        </w:tabs>
        <w:ind w:left="720" w:hanging="360"/>
      </w:pPr>
      <w:rPr>
        <w:rFonts w:ascii="Symbol" w:hAnsi="Symbol" w:hint="default"/>
      </w:rPr>
    </w:lvl>
    <w:lvl w:ilvl="1" w:tplc="05BC6E06" w:tentative="1">
      <w:start w:val="1"/>
      <w:numFmt w:val="bullet"/>
      <w:lvlText w:val="o"/>
      <w:lvlJc w:val="left"/>
      <w:pPr>
        <w:tabs>
          <w:tab w:val="num" w:pos="1440"/>
        </w:tabs>
        <w:ind w:left="1440" w:hanging="360"/>
      </w:pPr>
      <w:rPr>
        <w:rFonts w:ascii="Courier New" w:hAnsi="Courier New" w:hint="default"/>
      </w:rPr>
    </w:lvl>
    <w:lvl w:ilvl="2" w:tplc="4372F9D0" w:tentative="1">
      <w:start w:val="1"/>
      <w:numFmt w:val="bullet"/>
      <w:lvlText w:val=""/>
      <w:lvlJc w:val="left"/>
      <w:pPr>
        <w:tabs>
          <w:tab w:val="num" w:pos="2160"/>
        </w:tabs>
        <w:ind w:left="2160" w:hanging="360"/>
      </w:pPr>
      <w:rPr>
        <w:rFonts w:ascii="Wingdings" w:hAnsi="Wingdings" w:hint="default"/>
      </w:rPr>
    </w:lvl>
    <w:lvl w:ilvl="3" w:tplc="30D4C63E" w:tentative="1">
      <w:start w:val="1"/>
      <w:numFmt w:val="bullet"/>
      <w:lvlText w:val=""/>
      <w:lvlJc w:val="left"/>
      <w:pPr>
        <w:tabs>
          <w:tab w:val="num" w:pos="2880"/>
        </w:tabs>
        <w:ind w:left="2880" w:hanging="360"/>
      </w:pPr>
      <w:rPr>
        <w:rFonts w:ascii="Symbol" w:hAnsi="Symbol" w:hint="default"/>
      </w:rPr>
    </w:lvl>
    <w:lvl w:ilvl="4" w:tplc="AFECA43A" w:tentative="1">
      <w:start w:val="1"/>
      <w:numFmt w:val="bullet"/>
      <w:lvlText w:val="o"/>
      <w:lvlJc w:val="left"/>
      <w:pPr>
        <w:tabs>
          <w:tab w:val="num" w:pos="3600"/>
        </w:tabs>
        <w:ind w:left="3600" w:hanging="360"/>
      </w:pPr>
      <w:rPr>
        <w:rFonts w:ascii="Courier New" w:hAnsi="Courier New" w:hint="default"/>
      </w:rPr>
    </w:lvl>
    <w:lvl w:ilvl="5" w:tplc="CB96AF30" w:tentative="1">
      <w:start w:val="1"/>
      <w:numFmt w:val="bullet"/>
      <w:lvlText w:val=""/>
      <w:lvlJc w:val="left"/>
      <w:pPr>
        <w:tabs>
          <w:tab w:val="num" w:pos="4320"/>
        </w:tabs>
        <w:ind w:left="4320" w:hanging="360"/>
      </w:pPr>
      <w:rPr>
        <w:rFonts w:ascii="Wingdings" w:hAnsi="Wingdings" w:hint="default"/>
      </w:rPr>
    </w:lvl>
    <w:lvl w:ilvl="6" w:tplc="64FA303A" w:tentative="1">
      <w:start w:val="1"/>
      <w:numFmt w:val="bullet"/>
      <w:lvlText w:val=""/>
      <w:lvlJc w:val="left"/>
      <w:pPr>
        <w:tabs>
          <w:tab w:val="num" w:pos="5040"/>
        </w:tabs>
        <w:ind w:left="5040" w:hanging="360"/>
      </w:pPr>
      <w:rPr>
        <w:rFonts w:ascii="Symbol" w:hAnsi="Symbol" w:hint="default"/>
      </w:rPr>
    </w:lvl>
    <w:lvl w:ilvl="7" w:tplc="678CEFCA" w:tentative="1">
      <w:start w:val="1"/>
      <w:numFmt w:val="bullet"/>
      <w:lvlText w:val="o"/>
      <w:lvlJc w:val="left"/>
      <w:pPr>
        <w:tabs>
          <w:tab w:val="num" w:pos="5760"/>
        </w:tabs>
        <w:ind w:left="5760" w:hanging="360"/>
      </w:pPr>
      <w:rPr>
        <w:rFonts w:ascii="Courier New" w:hAnsi="Courier New" w:hint="default"/>
      </w:rPr>
    </w:lvl>
    <w:lvl w:ilvl="8" w:tplc="BB1A434A" w:tentative="1">
      <w:start w:val="1"/>
      <w:numFmt w:val="bullet"/>
      <w:lvlText w:val=""/>
      <w:lvlJc w:val="left"/>
      <w:pPr>
        <w:tabs>
          <w:tab w:val="num" w:pos="6480"/>
        </w:tabs>
        <w:ind w:left="6480" w:hanging="360"/>
      </w:pPr>
      <w:rPr>
        <w:rFonts w:ascii="Wingdings" w:hAnsi="Wingdings" w:hint="default"/>
      </w:rPr>
    </w:lvl>
  </w:abstractNum>
  <w:abstractNum w:abstractNumId="21">
    <w:nsid w:val="570E7387"/>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88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4680"/>
        </w:tabs>
        <w:ind w:left="3744" w:hanging="1224"/>
      </w:pPr>
      <w:rPr>
        <w:rFonts w:cs="Times New Roman"/>
      </w:rPr>
    </w:lvl>
    <w:lvl w:ilvl="8">
      <w:start w:val="1"/>
      <w:numFmt w:val="decimal"/>
      <w:lvlText w:val="%1.%2.%3.%4.%5.%6.%7.%8.%9."/>
      <w:lvlJc w:val="left"/>
      <w:pPr>
        <w:tabs>
          <w:tab w:val="num" w:pos="5400"/>
        </w:tabs>
        <w:ind w:left="4320" w:hanging="1440"/>
      </w:pPr>
      <w:rPr>
        <w:rFonts w:cs="Times New Roman"/>
      </w:rPr>
    </w:lvl>
  </w:abstractNum>
  <w:abstractNum w:abstractNumId="22">
    <w:nsid w:val="5C4F1F20"/>
    <w:multiLevelType w:val="hybridMultilevel"/>
    <w:tmpl w:val="77FA370A"/>
    <w:lvl w:ilvl="0" w:tplc="1BC82D7E">
      <w:start w:val="1"/>
      <w:numFmt w:val="bullet"/>
      <w:pStyle w:val="Listbulletsub"/>
      <w:lvlText w:val="o"/>
      <w:lvlJc w:val="left"/>
      <w:pPr>
        <w:ind w:left="720" w:hanging="360"/>
      </w:pPr>
      <w:rPr>
        <w:rFonts w:ascii="Courier New" w:hAnsi="Courier New" w:hint="default"/>
      </w:rPr>
    </w:lvl>
    <w:lvl w:ilvl="1" w:tplc="9DF40106" w:tentative="1">
      <w:start w:val="1"/>
      <w:numFmt w:val="bullet"/>
      <w:lvlText w:val="o"/>
      <w:lvlJc w:val="left"/>
      <w:pPr>
        <w:ind w:left="1440" w:hanging="360"/>
      </w:pPr>
      <w:rPr>
        <w:rFonts w:ascii="Courier New" w:hAnsi="Courier New" w:hint="default"/>
      </w:rPr>
    </w:lvl>
    <w:lvl w:ilvl="2" w:tplc="A080C036" w:tentative="1">
      <w:start w:val="1"/>
      <w:numFmt w:val="bullet"/>
      <w:lvlText w:val=""/>
      <w:lvlJc w:val="left"/>
      <w:pPr>
        <w:ind w:left="2160" w:hanging="360"/>
      </w:pPr>
      <w:rPr>
        <w:rFonts w:ascii="Wingdings" w:hAnsi="Wingdings" w:hint="default"/>
      </w:rPr>
    </w:lvl>
    <w:lvl w:ilvl="3" w:tplc="82BCED68" w:tentative="1">
      <w:start w:val="1"/>
      <w:numFmt w:val="bullet"/>
      <w:lvlText w:val=""/>
      <w:lvlJc w:val="left"/>
      <w:pPr>
        <w:ind w:left="2880" w:hanging="360"/>
      </w:pPr>
      <w:rPr>
        <w:rFonts w:ascii="Symbol" w:hAnsi="Symbol" w:hint="default"/>
      </w:rPr>
    </w:lvl>
    <w:lvl w:ilvl="4" w:tplc="41864290" w:tentative="1">
      <w:start w:val="1"/>
      <w:numFmt w:val="bullet"/>
      <w:lvlText w:val="o"/>
      <w:lvlJc w:val="left"/>
      <w:pPr>
        <w:ind w:left="3600" w:hanging="360"/>
      </w:pPr>
      <w:rPr>
        <w:rFonts w:ascii="Courier New" w:hAnsi="Courier New" w:hint="default"/>
      </w:rPr>
    </w:lvl>
    <w:lvl w:ilvl="5" w:tplc="0526BFE2" w:tentative="1">
      <w:start w:val="1"/>
      <w:numFmt w:val="bullet"/>
      <w:lvlText w:val=""/>
      <w:lvlJc w:val="left"/>
      <w:pPr>
        <w:ind w:left="4320" w:hanging="360"/>
      </w:pPr>
      <w:rPr>
        <w:rFonts w:ascii="Wingdings" w:hAnsi="Wingdings" w:hint="default"/>
      </w:rPr>
    </w:lvl>
    <w:lvl w:ilvl="6" w:tplc="E904E6C2" w:tentative="1">
      <w:start w:val="1"/>
      <w:numFmt w:val="bullet"/>
      <w:lvlText w:val=""/>
      <w:lvlJc w:val="left"/>
      <w:pPr>
        <w:ind w:left="5040" w:hanging="360"/>
      </w:pPr>
      <w:rPr>
        <w:rFonts w:ascii="Symbol" w:hAnsi="Symbol" w:hint="default"/>
      </w:rPr>
    </w:lvl>
    <w:lvl w:ilvl="7" w:tplc="33500AEE" w:tentative="1">
      <w:start w:val="1"/>
      <w:numFmt w:val="bullet"/>
      <w:lvlText w:val="o"/>
      <w:lvlJc w:val="left"/>
      <w:pPr>
        <w:ind w:left="5760" w:hanging="360"/>
      </w:pPr>
      <w:rPr>
        <w:rFonts w:ascii="Courier New" w:hAnsi="Courier New" w:hint="default"/>
      </w:rPr>
    </w:lvl>
    <w:lvl w:ilvl="8" w:tplc="9458936A" w:tentative="1">
      <w:start w:val="1"/>
      <w:numFmt w:val="bullet"/>
      <w:lvlText w:val=""/>
      <w:lvlJc w:val="left"/>
      <w:pPr>
        <w:ind w:left="6480" w:hanging="360"/>
      </w:pPr>
      <w:rPr>
        <w:rFonts w:ascii="Wingdings" w:hAnsi="Wingdings" w:hint="default"/>
      </w:rPr>
    </w:lvl>
  </w:abstractNum>
  <w:abstractNum w:abstractNumId="23">
    <w:nsid w:val="620B017C"/>
    <w:multiLevelType w:val="singleLevel"/>
    <w:tmpl w:val="FDD09E46"/>
    <w:lvl w:ilvl="0">
      <w:start w:val="1"/>
      <w:numFmt w:val="decimal"/>
      <w:pStyle w:val="Numberedlist"/>
      <w:lvlText w:val="%1."/>
      <w:lvlJc w:val="left"/>
      <w:pPr>
        <w:tabs>
          <w:tab w:val="num" w:pos="360"/>
        </w:tabs>
        <w:ind w:left="360" w:hanging="360"/>
      </w:pPr>
      <w:rPr>
        <w:rFonts w:cs="Times New Roman" w:hint="default"/>
      </w:rPr>
    </w:lvl>
  </w:abstractNum>
  <w:abstractNum w:abstractNumId="24">
    <w:nsid w:val="68875DAA"/>
    <w:multiLevelType w:val="hybridMultilevel"/>
    <w:tmpl w:val="2BD2863C"/>
    <w:lvl w:ilvl="0" w:tplc="BC48C990">
      <w:start w:val="1"/>
      <w:numFmt w:val="bullet"/>
      <w:pStyle w:val="BodyText3"/>
      <w:lvlText w:val=""/>
      <w:lvlJc w:val="left"/>
      <w:pPr>
        <w:tabs>
          <w:tab w:val="num" w:pos="360"/>
        </w:tabs>
        <w:ind w:left="360" w:hanging="360"/>
      </w:pPr>
      <w:rPr>
        <w:rFonts w:ascii="Symbol" w:hAnsi="Symbol" w:hint="default"/>
      </w:rPr>
    </w:lvl>
    <w:lvl w:ilvl="1" w:tplc="40BE24CA" w:tentative="1">
      <w:start w:val="1"/>
      <w:numFmt w:val="bullet"/>
      <w:lvlText w:val="o"/>
      <w:lvlJc w:val="left"/>
      <w:pPr>
        <w:tabs>
          <w:tab w:val="num" w:pos="1080"/>
        </w:tabs>
        <w:ind w:left="1080" w:hanging="360"/>
      </w:pPr>
      <w:rPr>
        <w:rFonts w:ascii="Courier New" w:hAnsi="Courier New" w:hint="default"/>
      </w:rPr>
    </w:lvl>
    <w:lvl w:ilvl="2" w:tplc="E536EDC2" w:tentative="1">
      <w:start w:val="1"/>
      <w:numFmt w:val="bullet"/>
      <w:lvlText w:val=""/>
      <w:lvlJc w:val="left"/>
      <w:pPr>
        <w:tabs>
          <w:tab w:val="num" w:pos="1800"/>
        </w:tabs>
        <w:ind w:left="1800" w:hanging="360"/>
      </w:pPr>
      <w:rPr>
        <w:rFonts w:ascii="Wingdings" w:hAnsi="Wingdings" w:hint="default"/>
      </w:rPr>
    </w:lvl>
    <w:lvl w:ilvl="3" w:tplc="D60C4A44" w:tentative="1">
      <w:start w:val="1"/>
      <w:numFmt w:val="bullet"/>
      <w:lvlText w:val=""/>
      <w:lvlJc w:val="left"/>
      <w:pPr>
        <w:tabs>
          <w:tab w:val="num" w:pos="2520"/>
        </w:tabs>
        <w:ind w:left="2520" w:hanging="360"/>
      </w:pPr>
      <w:rPr>
        <w:rFonts w:ascii="Symbol" w:hAnsi="Symbol" w:hint="default"/>
      </w:rPr>
    </w:lvl>
    <w:lvl w:ilvl="4" w:tplc="8BEC7468" w:tentative="1">
      <w:start w:val="1"/>
      <w:numFmt w:val="bullet"/>
      <w:lvlText w:val="o"/>
      <w:lvlJc w:val="left"/>
      <w:pPr>
        <w:tabs>
          <w:tab w:val="num" w:pos="3240"/>
        </w:tabs>
        <w:ind w:left="3240" w:hanging="360"/>
      </w:pPr>
      <w:rPr>
        <w:rFonts w:ascii="Courier New" w:hAnsi="Courier New" w:hint="default"/>
      </w:rPr>
    </w:lvl>
    <w:lvl w:ilvl="5" w:tplc="3454C33A" w:tentative="1">
      <w:start w:val="1"/>
      <w:numFmt w:val="bullet"/>
      <w:lvlText w:val=""/>
      <w:lvlJc w:val="left"/>
      <w:pPr>
        <w:tabs>
          <w:tab w:val="num" w:pos="3960"/>
        </w:tabs>
        <w:ind w:left="3960" w:hanging="360"/>
      </w:pPr>
      <w:rPr>
        <w:rFonts w:ascii="Wingdings" w:hAnsi="Wingdings" w:hint="default"/>
      </w:rPr>
    </w:lvl>
    <w:lvl w:ilvl="6" w:tplc="0AD4BF10" w:tentative="1">
      <w:start w:val="1"/>
      <w:numFmt w:val="bullet"/>
      <w:lvlText w:val=""/>
      <w:lvlJc w:val="left"/>
      <w:pPr>
        <w:tabs>
          <w:tab w:val="num" w:pos="4680"/>
        </w:tabs>
        <w:ind w:left="4680" w:hanging="360"/>
      </w:pPr>
      <w:rPr>
        <w:rFonts w:ascii="Symbol" w:hAnsi="Symbol" w:hint="default"/>
      </w:rPr>
    </w:lvl>
    <w:lvl w:ilvl="7" w:tplc="6904600E" w:tentative="1">
      <w:start w:val="1"/>
      <w:numFmt w:val="bullet"/>
      <w:lvlText w:val="o"/>
      <w:lvlJc w:val="left"/>
      <w:pPr>
        <w:tabs>
          <w:tab w:val="num" w:pos="5400"/>
        </w:tabs>
        <w:ind w:left="5400" w:hanging="360"/>
      </w:pPr>
      <w:rPr>
        <w:rFonts w:ascii="Courier New" w:hAnsi="Courier New" w:hint="default"/>
      </w:rPr>
    </w:lvl>
    <w:lvl w:ilvl="8" w:tplc="8B68A84C" w:tentative="1">
      <w:start w:val="1"/>
      <w:numFmt w:val="bullet"/>
      <w:lvlText w:val=""/>
      <w:lvlJc w:val="left"/>
      <w:pPr>
        <w:tabs>
          <w:tab w:val="num" w:pos="6120"/>
        </w:tabs>
        <w:ind w:left="6120" w:hanging="360"/>
      </w:pPr>
      <w:rPr>
        <w:rFonts w:ascii="Wingdings" w:hAnsi="Wingdings" w:hint="default"/>
      </w:rPr>
    </w:lvl>
  </w:abstractNum>
  <w:abstractNum w:abstractNumId="25">
    <w:nsid w:val="758A761C"/>
    <w:multiLevelType w:val="multilevel"/>
    <w:tmpl w:val="0CB4DA86"/>
    <w:lvl w:ilvl="0">
      <w:start w:val="1"/>
      <w:numFmt w:val="decimal"/>
      <w:pStyle w:val="StylenumberedbodytextBold"/>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hint="default"/>
        <w:b/>
      </w:rPr>
    </w:lvl>
    <w:lvl w:ilvl="2" w:tentative="1">
      <w:start w:val="1"/>
      <w:numFmt w:val="lowerRoman"/>
      <w:lvlText w:val="%3."/>
      <w:lvlJc w:val="right"/>
      <w:pPr>
        <w:tabs>
          <w:tab w:val="num" w:pos="2160"/>
        </w:tabs>
        <w:ind w:left="2160" w:hanging="18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lowerLetter"/>
      <w:lvlText w:val="%5."/>
      <w:lvlJc w:val="left"/>
      <w:pPr>
        <w:tabs>
          <w:tab w:val="num" w:pos="3600"/>
        </w:tabs>
        <w:ind w:left="3600" w:hanging="360"/>
      </w:pPr>
      <w:rPr>
        <w:rFonts w:cs="Times New Roman"/>
      </w:rPr>
    </w:lvl>
    <w:lvl w:ilvl="5" w:tentative="1">
      <w:start w:val="1"/>
      <w:numFmt w:val="lowerRoman"/>
      <w:lvlText w:val="%6."/>
      <w:lvlJc w:val="right"/>
      <w:pPr>
        <w:tabs>
          <w:tab w:val="num" w:pos="4320"/>
        </w:tabs>
        <w:ind w:left="4320" w:hanging="18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lowerLetter"/>
      <w:lvlText w:val="%8."/>
      <w:lvlJc w:val="left"/>
      <w:pPr>
        <w:tabs>
          <w:tab w:val="num" w:pos="5760"/>
        </w:tabs>
        <w:ind w:left="5760" w:hanging="360"/>
      </w:pPr>
      <w:rPr>
        <w:rFonts w:cs="Times New Roman"/>
      </w:rPr>
    </w:lvl>
    <w:lvl w:ilvl="8" w:tentative="1">
      <w:start w:val="1"/>
      <w:numFmt w:val="lowerRoman"/>
      <w:lvlText w:val="%9."/>
      <w:lvlJc w:val="right"/>
      <w:pPr>
        <w:tabs>
          <w:tab w:val="num" w:pos="6480"/>
        </w:tabs>
        <w:ind w:left="6480" w:hanging="180"/>
      </w:pPr>
      <w:rPr>
        <w:rFonts w:cs="Times New Roman"/>
      </w:rPr>
    </w:lvl>
  </w:abstractNum>
  <w:abstractNum w:abstractNumId="26">
    <w:nsid w:val="7D2E18E3"/>
    <w:multiLevelType w:val="hybridMultilevel"/>
    <w:tmpl w:val="DD1CF47A"/>
    <w:lvl w:ilvl="0" w:tplc="42564E46">
      <w:start w:val="1"/>
      <w:numFmt w:val="bullet"/>
      <w:lvlText w:val=""/>
      <w:lvlJc w:val="left"/>
      <w:pPr>
        <w:ind w:left="1368" w:hanging="360"/>
      </w:pPr>
      <w:rPr>
        <w:rFonts w:ascii="Symbol" w:hAnsi="Symbol" w:hint="default"/>
      </w:rPr>
    </w:lvl>
    <w:lvl w:ilvl="1" w:tplc="04090003" w:tentative="1">
      <w:start w:val="1"/>
      <w:numFmt w:val="bullet"/>
      <w:lvlText w:val="o"/>
      <w:lvlJc w:val="left"/>
      <w:pPr>
        <w:ind w:left="2088" w:hanging="360"/>
      </w:pPr>
      <w:rPr>
        <w:rFonts w:ascii="Courier New" w:hAnsi="Courier New" w:hint="default"/>
      </w:rPr>
    </w:lvl>
    <w:lvl w:ilvl="2" w:tplc="04090005" w:tentative="1">
      <w:start w:val="1"/>
      <w:numFmt w:val="bullet"/>
      <w:lvlText w:val=""/>
      <w:lvlJc w:val="left"/>
      <w:pPr>
        <w:ind w:left="2808" w:hanging="360"/>
      </w:pPr>
      <w:rPr>
        <w:rFonts w:ascii="Wingdings" w:hAnsi="Wingdings" w:hint="default"/>
      </w:rPr>
    </w:lvl>
    <w:lvl w:ilvl="3" w:tplc="04090001" w:tentative="1">
      <w:start w:val="1"/>
      <w:numFmt w:val="bullet"/>
      <w:lvlText w:val=""/>
      <w:lvlJc w:val="left"/>
      <w:pPr>
        <w:ind w:left="3528" w:hanging="360"/>
      </w:pPr>
      <w:rPr>
        <w:rFonts w:ascii="Symbol" w:hAnsi="Symbol" w:hint="default"/>
      </w:rPr>
    </w:lvl>
    <w:lvl w:ilvl="4" w:tplc="04090003" w:tentative="1">
      <w:start w:val="1"/>
      <w:numFmt w:val="bullet"/>
      <w:lvlText w:val="o"/>
      <w:lvlJc w:val="left"/>
      <w:pPr>
        <w:ind w:left="4248" w:hanging="360"/>
      </w:pPr>
      <w:rPr>
        <w:rFonts w:ascii="Courier New" w:hAnsi="Courier New" w:hint="default"/>
      </w:rPr>
    </w:lvl>
    <w:lvl w:ilvl="5" w:tplc="04090005" w:tentative="1">
      <w:start w:val="1"/>
      <w:numFmt w:val="bullet"/>
      <w:lvlText w:val=""/>
      <w:lvlJc w:val="left"/>
      <w:pPr>
        <w:ind w:left="4968" w:hanging="360"/>
      </w:pPr>
      <w:rPr>
        <w:rFonts w:ascii="Wingdings" w:hAnsi="Wingdings" w:hint="default"/>
      </w:rPr>
    </w:lvl>
    <w:lvl w:ilvl="6" w:tplc="04090001" w:tentative="1">
      <w:start w:val="1"/>
      <w:numFmt w:val="bullet"/>
      <w:lvlText w:val=""/>
      <w:lvlJc w:val="left"/>
      <w:pPr>
        <w:ind w:left="5688" w:hanging="360"/>
      </w:pPr>
      <w:rPr>
        <w:rFonts w:ascii="Symbol" w:hAnsi="Symbol" w:hint="default"/>
      </w:rPr>
    </w:lvl>
    <w:lvl w:ilvl="7" w:tplc="04090003" w:tentative="1">
      <w:start w:val="1"/>
      <w:numFmt w:val="bullet"/>
      <w:lvlText w:val="o"/>
      <w:lvlJc w:val="left"/>
      <w:pPr>
        <w:ind w:left="6408" w:hanging="360"/>
      </w:pPr>
      <w:rPr>
        <w:rFonts w:ascii="Courier New" w:hAnsi="Courier New" w:hint="default"/>
      </w:rPr>
    </w:lvl>
    <w:lvl w:ilvl="8" w:tplc="04090005" w:tentative="1">
      <w:start w:val="1"/>
      <w:numFmt w:val="bullet"/>
      <w:lvlText w:val=""/>
      <w:lvlJc w:val="left"/>
      <w:pPr>
        <w:ind w:left="7128" w:hanging="360"/>
      </w:pPr>
      <w:rPr>
        <w:rFonts w:ascii="Wingdings" w:hAnsi="Wingdings" w:hint="default"/>
      </w:rPr>
    </w:lvl>
  </w:abstractNum>
  <w:num w:numId="1">
    <w:abstractNumId w:val="9"/>
  </w:num>
  <w:num w:numId="2">
    <w:abstractNumId w:val="7"/>
  </w:num>
  <w:num w:numId="3">
    <w:abstractNumId w:val="14"/>
  </w:num>
  <w:num w:numId="4">
    <w:abstractNumId w:val="11"/>
  </w:num>
  <w:num w:numId="5">
    <w:abstractNumId w:val="13"/>
  </w:num>
  <w:num w:numId="6">
    <w:abstractNumId w:val="25"/>
  </w:num>
  <w:num w:numId="7">
    <w:abstractNumId w:val="24"/>
  </w:num>
  <w:num w:numId="8">
    <w:abstractNumId w:val="18"/>
  </w:num>
  <w:num w:numId="9">
    <w:abstractNumId w:val="18"/>
    <w:lvlOverride w:ilvl="0">
      <w:startOverride w:val="1"/>
    </w:lvlOverride>
  </w:num>
  <w:num w:numId="10">
    <w:abstractNumId w:val="16"/>
  </w:num>
  <w:num w:numId="11">
    <w:abstractNumId w:val="20"/>
  </w:num>
  <w:num w:numId="12">
    <w:abstractNumId w:val="21"/>
  </w:num>
  <w:num w:numId="13">
    <w:abstractNumId w:val="23"/>
  </w:num>
  <w:num w:numId="14">
    <w:abstractNumId w:val="12"/>
  </w:num>
  <w:num w:numId="15">
    <w:abstractNumId w:val="26"/>
  </w:num>
  <w:num w:numId="16">
    <w:abstractNumId w:val="10"/>
  </w:num>
  <w:num w:numId="17">
    <w:abstractNumId w:val="19"/>
  </w:num>
  <w:num w:numId="18">
    <w:abstractNumId w:val="22"/>
  </w:num>
  <w:num w:numId="19">
    <w:abstractNumId w:val="17"/>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5"/>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stylePaneFormatFilter w:val="3E04"/>
  <w:defaultTabStop w:val="720"/>
  <w:drawingGridHorizontalSpacing w:val="120"/>
  <w:drawingGridVerticalSpacing w:val="187"/>
  <w:displayHorizontalDrawingGridEvery w:val="2"/>
  <w:noPunctuationKerning/>
  <w:characterSpacingControl w:val="doNotCompress"/>
  <w:hdrShapeDefaults>
    <o:shapedefaults v:ext="edit" spidmax="2053">
      <o:colormenu v:ext="edit" strokecolor="none"/>
    </o:shapedefaults>
    <o:shapelayout v:ext="edit">
      <o:idmap v:ext="edit" data="2"/>
    </o:shapelayout>
  </w:hdrShapeDefaults>
  <w:footnotePr>
    <w:numFmt w:val="lowerLetter"/>
    <w:footnote w:id="-1"/>
    <w:footnote w:id="0"/>
  </w:footnotePr>
  <w:endnotePr>
    <w:endnote w:id="-1"/>
    <w:endnote w:id="0"/>
  </w:endnotePr>
  <w:compat/>
  <w:rsids>
    <w:rsidRoot w:val="00617E31"/>
    <w:rsid w:val="00000364"/>
    <w:rsid w:val="000007F3"/>
    <w:rsid w:val="00000949"/>
    <w:rsid w:val="00000A8F"/>
    <w:rsid w:val="00000F20"/>
    <w:rsid w:val="00000F42"/>
    <w:rsid w:val="00001050"/>
    <w:rsid w:val="00001542"/>
    <w:rsid w:val="00001D8C"/>
    <w:rsid w:val="000025CA"/>
    <w:rsid w:val="000036CC"/>
    <w:rsid w:val="00003FEC"/>
    <w:rsid w:val="00004B28"/>
    <w:rsid w:val="0000585E"/>
    <w:rsid w:val="00005CF2"/>
    <w:rsid w:val="00005F6C"/>
    <w:rsid w:val="00006092"/>
    <w:rsid w:val="0000624D"/>
    <w:rsid w:val="00006580"/>
    <w:rsid w:val="00006B5A"/>
    <w:rsid w:val="0001048A"/>
    <w:rsid w:val="0001060D"/>
    <w:rsid w:val="000107DD"/>
    <w:rsid w:val="00010A12"/>
    <w:rsid w:val="00010A5A"/>
    <w:rsid w:val="00010AC6"/>
    <w:rsid w:val="00010E67"/>
    <w:rsid w:val="00010FF3"/>
    <w:rsid w:val="0001156C"/>
    <w:rsid w:val="000125C6"/>
    <w:rsid w:val="00012923"/>
    <w:rsid w:val="00012D7B"/>
    <w:rsid w:val="00013194"/>
    <w:rsid w:val="00013350"/>
    <w:rsid w:val="000137B3"/>
    <w:rsid w:val="00013C7B"/>
    <w:rsid w:val="00013EE9"/>
    <w:rsid w:val="000140CF"/>
    <w:rsid w:val="00014809"/>
    <w:rsid w:val="00015D24"/>
    <w:rsid w:val="00016A28"/>
    <w:rsid w:val="00016C5F"/>
    <w:rsid w:val="00016CDD"/>
    <w:rsid w:val="00016D11"/>
    <w:rsid w:val="00017752"/>
    <w:rsid w:val="00020138"/>
    <w:rsid w:val="0002039F"/>
    <w:rsid w:val="00020917"/>
    <w:rsid w:val="000210C5"/>
    <w:rsid w:val="000215AB"/>
    <w:rsid w:val="00021B2F"/>
    <w:rsid w:val="000220C3"/>
    <w:rsid w:val="000224D4"/>
    <w:rsid w:val="000225B6"/>
    <w:rsid w:val="0002274D"/>
    <w:rsid w:val="00022AB1"/>
    <w:rsid w:val="000231E3"/>
    <w:rsid w:val="000233A1"/>
    <w:rsid w:val="00023663"/>
    <w:rsid w:val="0002372B"/>
    <w:rsid w:val="00023FA0"/>
    <w:rsid w:val="00024BBD"/>
    <w:rsid w:val="00024F4A"/>
    <w:rsid w:val="000254C0"/>
    <w:rsid w:val="000258D3"/>
    <w:rsid w:val="00025BF8"/>
    <w:rsid w:val="00026328"/>
    <w:rsid w:val="000268AC"/>
    <w:rsid w:val="000268B0"/>
    <w:rsid w:val="00026CF0"/>
    <w:rsid w:val="000270E6"/>
    <w:rsid w:val="000271F4"/>
    <w:rsid w:val="00027277"/>
    <w:rsid w:val="00027609"/>
    <w:rsid w:val="000276AF"/>
    <w:rsid w:val="00027B0E"/>
    <w:rsid w:val="00030356"/>
    <w:rsid w:val="000303BC"/>
    <w:rsid w:val="000309E2"/>
    <w:rsid w:val="000317B9"/>
    <w:rsid w:val="00031817"/>
    <w:rsid w:val="0003275E"/>
    <w:rsid w:val="00033D98"/>
    <w:rsid w:val="00034F11"/>
    <w:rsid w:val="00035B69"/>
    <w:rsid w:val="00035D93"/>
    <w:rsid w:val="00035DD2"/>
    <w:rsid w:val="00036290"/>
    <w:rsid w:val="000364DC"/>
    <w:rsid w:val="0003669E"/>
    <w:rsid w:val="00036C69"/>
    <w:rsid w:val="00037148"/>
    <w:rsid w:val="00037173"/>
    <w:rsid w:val="000379DA"/>
    <w:rsid w:val="00037C68"/>
    <w:rsid w:val="00037E0F"/>
    <w:rsid w:val="00037F51"/>
    <w:rsid w:val="000400D8"/>
    <w:rsid w:val="000401CA"/>
    <w:rsid w:val="0004087C"/>
    <w:rsid w:val="00041160"/>
    <w:rsid w:val="00041B72"/>
    <w:rsid w:val="0004233C"/>
    <w:rsid w:val="00042B91"/>
    <w:rsid w:val="00043061"/>
    <w:rsid w:val="00043110"/>
    <w:rsid w:val="00043762"/>
    <w:rsid w:val="00043A71"/>
    <w:rsid w:val="00043C51"/>
    <w:rsid w:val="00043E50"/>
    <w:rsid w:val="0004470A"/>
    <w:rsid w:val="00044ABF"/>
    <w:rsid w:val="00044CA5"/>
    <w:rsid w:val="0004519B"/>
    <w:rsid w:val="000451D8"/>
    <w:rsid w:val="000458DC"/>
    <w:rsid w:val="00045E05"/>
    <w:rsid w:val="00046826"/>
    <w:rsid w:val="0004797A"/>
    <w:rsid w:val="0005023C"/>
    <w:rsid w:val="00050569"/>
    <w:rsid w:val="00050863"/>
    <w:rsid w:val="000509A2"/>
    <w:rsid w:val="00050C6A"/>
    <w:rsid w:val="00050DEB"/>
    <w:rsid w:val="000511AC"/>
    <w:rsid w:val="000513E2"/>
    <w:rsid w:val="00051B37"/>
    <w:rsid w:val="0005212E"/>
    <w:rsid w:val="000524CB"/>
    <w:rsid w:val="00052872"/>
    <w:rsid w:val="00053164"/>
    <w:rsid w:val="00053766"/>
    <w:rsid w:val="000538FA"/>
    <w:rsid w:val="00053E33"/>
    <w:rsid w:val="00053F7A"/>
    <w:rsid w:val="000542E5"/>
    <w:rsid w:val="0005447D"/>
    <w:rsid w:val="00054657"/>
    <w:rsid w:val="0005481D"/>
    <w:rsid w:val="00054A44"/>
    <w:rsid w:val="00054F9A"/>
    <w:rsid w:val="000552BE"/>
    <w:rsid w:val="00055A60"/>
    <w:rsid w:val="00055DFC"/>
    <w:rsid w:val="000564EA"/>
    <w:rsid w:val="00056E75"/>
    <w:rsid w:val="00057073"/>
    <w:rsid w:val="00057213"/>
    <w:rsid w:val="00057328"/>
    <w:rsid w:val="00057676"/>
    <w:rsid w:val="000576B4"/>
    <w:rsid w:val="00057760"/>
    <w:rsid w:val="0005791C"/>
    <w:rsid w:val="00057A40"/>
    <w:rsid w:val="00057DBC"/>
    <w:rsid w:val="0006010F"/>
    <w:rsid w:val="000608B7"/>
    <w:rsid w:val="000609E3"/>
    <w:rsid w:val="00060AA0"/>
    <w:rsid w:val="00060FFD"/>
    <w:rsid w:val="000615B5"/>
    <w:rsid w:val="00061741"/>
    <w:rsid w:val="00062DD6"/>
    <w:rsid w:val="00063599"/>
    <w:rsid w:val="00063635"/>
    <w:rsid w:val="00063DD9"/>
    <w:rsid w:val="00065680"/>
    <w:rsid w:val="00065A57"/>
    <w:rsid w:val="00065A87"/>
    <w:rsid w:val="00065BE4"/>
    <w:rsid w:val="00065DA9"/>
    <w:rsid w:val="0006666E"/>
    <w:rsid w:val="00066ECC"/>
    <w:rsid w:val="00067071"/>
    <w:rsid w:val="00067E89"/>
    <w:rsid w:val="00071338"/>
    <w:rsid w:val="00072556"/>
    <w:rsid w:val="00072A59"/>
    <w:rsid w:val="00072C64"/>
    <w:rsid w:val="00072D59"/>
    <w:rsid w:val="0007335C"/>
    <w:rsid w:val="000740D5"/>
    <w:rsid w:val="000750BA"/>
    <w:rsid w:val="00075119"/>
    <w:rsid w:val="00075600"/>
    <w:rsid w:val="00075887"/>
    <w:rsid w:val="00075E02"/>
    <w:rsid w:val="00076746"/>
    <w:rsid w:val="00076ABE"/>
    <w:rsid w:val="00076AE5"/>
    <w:rsid w:val="00077278"/>
    <w:rsid w:val="00077430"/>
    <w:rsid w:val="00077678"/>
    <w:rsid w:val="00077A89"/>
    <w:rsid w:val="00077D19"/>
    <w:rsid w:val="00080B72"/>
    <w:rsid w:val="00080D93"/>
    <w:rsid w:val="00080ECF"/>
    <w:rsid w:val="000816DE"/>
    <w:rsid w:val="00081A61"/>
    <w:rsid w:val="00081C84"/>
    <w:rsid w:val="000820CB"/>
    <w:rsid w:val="0008214F"/>
    <w:rsid w:val="0008240B"/>
    <w:rsid w:val="00082790"/>
    <w:rsid w:val="0008315F"/>
    <w:rsid w:val="00084130"/>
    <w:rsid w:val="000841E3"/>
    <w:rsid w:val="0008467F"/>
    <w:rsid w:val="00084A3D"/>
    <w:rsid w:val="00084DB2"/>
    <w:rsid w:val="00085382"/>
    <w:rsid w:val="00085C73"/>
    <w:rsid w:val="00085F95"/>
    <w:rsid w:val="00086008"/>
    <w:rsid w:val="00086386"/>
    <w:rsid w:val="000867A1"/>
    <w:rsid w:val="00086868"/>
    <w:rsid w:val="0008690E"/>
    <w:rsid w:val="00086EED"/>
    <w:rsid w:val="000877C3"/>
    <w:rsid w:val="00090089"/>
    <w:rsid w:val="000901AA"/>
    <w:rsid w:val="000901E5"/>
    <w:rsid w:val="000907C5"/>
    <w:rsid w:val="0009121C"/>
    <w:rsid w:val="000913A2"/>
    <w:rsid w:val="00091737"/>
    <w:rsid w:val="00091774"/>
    <w:rsid w:val="00091A9A"/>
    <w:rsid w:val="00091FFA"/>
    <w:rsid w:val="000932BE"/>
    <w:rsid w:val="0009429B"/>
    <w:rsid w:val="000943AF"/>
    <w:rsid w:val="000945E1"/>
    <w:rsid w:val="00094947"/>
    <w:rsid w:val="0009515F"/>
    <w:rsid w:val="000956CA"/>
    <w:rsid w:val="00096D26"/>
    <w:rsid w:val="0009722C"/>
    <w:rsid w:val="00097ED9"/>
    <w:rsid w:val="000A0002"/>
    <w:rsid w:val="000A0B3D"/>
    <w:rsid w:val="000A0CD6"/>
    <w:rsid w:val="000A0DAC"/>
    <w:rsid w:val="000A133B"/>
    <w:rsid w:val="000A1C60"/>
    <w:rsid w:val="000A1DD2"/>
    <w:rsid w:val="000A1EAC"/>
    <w:rsid w:val="000A27B8"/>
    <w:rsid w:val="000A2FED"/>
    <w:rsid w:val="000A36F9"/>
    <w:rsid w:val="000A3FF0"/>
    <w:rsid w:val="000A40C8"/>
    <w:rsid w:val="000A4132"/>
    <w:rsid w:val="000A42AD"/>
    <w:rsid w:val="000A43FF"/>
    <w:rsid w:val="000A45F4"/>
    <w:rsid w:val="000A478D"/>
    <w:rsid w:val="000A48A8"/>
    <w:rsid w:val="000A4B32"/>
    <w:rsid w:val="000A4D55"/>
    <w:rsid w:val="000A56E4"/>
    <w:rsid w:val="000A5739"/>
    <w:rsid w:val="000A6359"/>
    <w:rsid w:val="000A636F"/>
    <w:rsid w:val="000A6419"/>
    <w:rsid w:val="000A6A55"/>
    <w:rsid w:val="000A752E"/>
    <w:rsid w:val="000A7924"/>
    <w:rsid w:val="000A79F3"/>
    <w:rsid w:val="000A7BA2"/>
    <w:rsid w:val="000B031F"/>
    <w:rsid w:val="000B0F26"/>
    <w:rsid w:val="000B1647"/>
    <w:rsid w:val="000B1ABF"/>
    <w:rsid w:val="000B1D8D"/>
    <w:rsid w:val="000B1EC6"/>
    <w:rsid w:val="000B2A6B"/>
    <w:rsid w:val="000B2C2B"/>
    <w:rsid w:val="000B3331"/>
    <w:rsid w:val="000B3CCC"/>
    <w:rsid w:val="000B3DE6"/>
    <w:rsid w:val="000B41E6"/>
    <w:rsid w:val="000B464B"/>
    <w:rsid w:val="000B4B58"/>
    <w:rsid w:val="000B5C92"/>
    <w:rsid w:val="000B61DD"/>
    <w:rsid w:val="000B6343"/>
    <w:rsid w:val="000B6948"/>
    <w:rsid w:val="000B6D87"/>
    <w:rsid w:val="000B7711"/>
    <w:rsid w:val="000C0456"/>
    <w:rsid w:val="000C12D0"/>
    <w:rsid w:val="000C1588"/>
    <w:rsid w:val="000C1980"/>
    <w:rsid w:val="000C28CE"/>
    <w:rsid w:val="000C2D25"/>
    <w:rsid w:val="000C3216"/>
    <w:rsid w:val="000C3C73"/>
    <w:rsid w:val="000C3F88"/>
    <w:rsid w:val="000C3FC8"/>
    <w:rsid w:val="000C3FD2"/>
    <w:rsid w:val="000C41D6"/>
    <w:rsid w:val="000C429C"/>
    <w:rsid w:val="000C4527"/>
    <w:rsid w:val="000C459B"/>
    <w:rsid w:val="000C4683"/>
    <w:rsid w:val="000C4AA7"/>
    <w:rsid w:val="000C5380"/>
    <w:rsid w:val="000C597A"/>
    <w:rsid w:val="000C5B93"/>
    <w:rsid w:val="000C5FE9"/>
    <w:rsid w:val="000C61D8"/>
    <w:rsid w:val="000C62E9"/>
    <w:rsid w:val="000C661D"/>
    <w:rsid w:val="000C664A"/>
    <w:rsid w:val="000C7359"/>
    <w:rsid w:val="000C7982"/>
    <w:rsid w:val="000D0401"/>
    <w:rsid w:val="000D0587"/>
    <w:rsid w:val="000D0ACA"/>
    <w:rsid w:val="000D1363"/>
    <w:rsid w:val="000D13CF"/>
    <w:rsid w:val="000D14BE"/>
    <w:rsid w:val="000D19B9"/>
    <w:rsid w:val="000D1C65"/>
    <w:rsid w:val="000D1D31"/>
    <w:rsid w:val="000D2D80"/>
    <w:rsid w:val="000D2D8F"/>
    <w:rsid w:val="000D2F61"/>
    <w:rsid w:val="000D304A"/>
    <w:rsid w:val="000D32C0"/>
    <w:rsid w:val="000D343F"/>
    <w:rsid w:val="000D3A82"/>
    <w:rsid w:val="000D3ED7"/>
    <w:rsid w:val="000D46EC"/>
    <w:rsid w:val="000D4B05"/>
    <w:rsid w:val="000D5062"/>
    <w:rsid w:val="000D7170"/>
    <w:rsid w:val="000D7DC5"/>
    <w:rsid w:val="000E00C6"/>
    <w:rsid w:val="000E04AC"/>
    <w:rsid w:val="000E1039"/>
    <w:rsid w:val="000E1CAA"/>
    <w:rsid w:val="000E1E95"/>
    <w:rsid w:val="000E2492"/>
    <w:rsid w:val="000E26A8"/>
    <w:rsid w:val="000E301F"/>
    <w:rsid w:val="000E32E8"/>
    <w:rsid w:val="000E33FC"/>
    <w:rsid w:val="000E352E"/>
    <w:rsid w:val="000E3EF7"/>
    <w:rsid w:val="000E4A54"/>
    <w:rsid w:val="000E4A93"/>
    <w:rsid w:val="000E4B91"/>
    <w:rsid w:val="000E654F"/>
    <w:rsid w:val="000E78D1"/>
    <w:rsid w:val="000E7D84"/>
    <w:rsid w:val="000F02EF"/>
    <w:rsid w:val="000F0531"/>
    <w:rsid w:val="000F12A3"/>
    <w:rsid w:val="000F162D"/>
    <w:rsid w:val="000F1BD8"/>
    <w:rsid w:val="000F200C"/>
    <w:rsid w:val="000F2267"/>
    <w:rsid w:val="000F25D3"/>
    <w:rsid w:val="000F268F"/>
    <w:rsid w:val="000F2735"/>
    <w:rsid w:val="000F2909"/>
    <w:rsid w:val="000F2E01"/>
    <w:rsid w:val="000F3010"/>
    <w:rsid w:val="000F305F"/>
    <w:rsid w:val="000F332D"/>
    <w:rsid w:val="000F352A"/>
    <w:rsid w:val="000F3BBB"/>
    <w:rsid w:val="000F4D67"/>
    <w:rsid w:val="000F5D94"/>
    <w:rsid w:val="000F6101"/>
    <w:rsid w:val="000F742A"/>
    <w:rsid w:val="000F756E"/>
    <w:rsid w:val="00100349"/>
    <w:rsid w:val="00100A69"/>
    <w:rsid w:val="00100BDC"/>
    <w:rsid w:val="0010178F"/>
    <w:rsid w:val="001017CF"/>
    <w:rsid w:val="00101AF9"/>
    <w:rsid w:val="00101C99"/>
    <w:rsid w:val="00102AEC"/>
    <w:rsid w:val="00102E6D"/>
    <w:rsid w:val="0010349E"/>
    <w:rsid w:val="0010357F"/>
    <w:rsid w:val="0010452C"/>
    <w:rsid w:val="0010506B"/>
    <w:rsid w:val="00105497"/>
    <w:rsid w:val="00105925"/>
    <w:rsid w:val="00105E70"/>
    <w:rsid w:val="0010628C"/>
    <w:rsid w:val="00106881"/>
    <w:rsid w:val="001068E2"/>
    <w:rsid w:val="00106950"/>
    <w:rsid w:val="00106BA5"/>
    <w:rsid w:val="00106CDE"/>
    <w:rsid w:val="00106F0B"/>
    <w:rsid w:val="00106F96"/>
    <w:rsid w:val="001074A3"/>
    <w:rsid w:val="0010776A"/>
    <w:rsid w:val="00107E65"/>
    <w:rsid w:val="00107F0B"/>
    <w:rsid w:val="0011009D"/>
    <w:rsid w:val="00110B42"/>
    <w:rsid w:val="00110D89"/>
    <w:rsid w:val="00110EB8"/>
    <w:rsid w:val="00111008"/>
    <w:rsid w:val="001114DC"/>
    <w:rsid w:val="001116E4"/>
    <w:rsid w:val="00111A18"/>
    <w:rsid w:val="00111BF2"/>
    <w:rsid w:val="00111C11"/>
    <w:rsid w:val="001120BA"/>
    <w:rsid w:val="00112545"/>
    <w:rsid w:val="00112598"/>
    <w:rsid w:val="00112620"/>
    <w:rsid w:val="00112982"/>
    <w:rsid w:val="00112F66"/>
    <w:rsid w:val="00113CED"/>
    <w:rsid w:val="00113E28"/>
    <w:rsid w:val="0011425C"/>
    <w:rsid w:val="001144FE"/>
    <w:rsid w:val="001146A9"/>
    <w:rsid w:val="001148BD"/>
    <w:rsid w:val="001148FC"/>
    <w:rsid w:val="00114C1B"/>
    <w:rsid w:val="00115132"/>
    <w:rsid w:val="00115403"/>
    <w:rsid w:val="001154FC"/>
    <w:rsid w:val="00115516"/>
    <w:rsid w:val="00116219"/>
    <w:rsid w:val="00116B21"/>
    <w:rsid w:val="00116DAF"/>
    <w:rsid w:val="00116E25"/>
    <w:rsid w:val="0011748B"/>
    <w:rsid w:val="00120457"/>
    <w:rsid w:val="001207F2"/>
    <w:rsid w:val="00121440"/>
    <w:rsid w:val="001215CE"/>
    <w:rsid w:val="0012256E"/>
    <w:rsid w:val="00122889"/>
    <w:rsid w:val="001228B2"/>
    <w:rsid w:val="00123584"/>
    <w:rsid w:val="00123620"/>
    <w:rsid w:val="00124177"/>
    <w:rsid w:val="00124CDA"/>
    <w:rsid w:val="00125134"/>
    <w:rsid w:val="00125711"/>
    <w:rsid w:val="00125720"/>
    <w:rsid w:val="00125D31"/>
    <w:rsid w:val="00125DF1"/>
    <w:rsid w:val="00126449"/>
    <w:rsid w:val="00126ABC"/>
    <w:rsid w:val="00126EFF"/>
    <w:rsid w:val="00127110"/>
    <w:rsid w:val="001272A3"/>
    <w:rsid w:val="0012746B"/>
    <w:rsid w:val="001302A3"/>
    <w:rsid w:val="001303C9"/>
    <w:rsid w:val="001306CC"/>
    <w:rsid w:val="001319C1"/>
    <w:rsid w:val="00131E19"/>
    <w:rsid w:val="00132C33"/>
    <w:rsid w:val="00132F04"/>
    <w:rsid w:val="001330D8"/>
    <w:rsid w:val="00133BE6"/>
    <w:rsid w:val="00133E1C"/>
    <w:rsid w:val="0013428D"/>
    <w:rsid w:val="00134577"/>
    <w:rsid w:val="00134930"/>
    <w:rsid w:val="00134A26"/>
    <w:rsid w:val="00134AAF"/>
    <w:rsid w:val="00134EF8"/>
    <w:rsid w:val="001357FD"/>
    <w:rsid w:val="0013597E"/>
    <w:rsid w:val="001359DD"/>
    <w:rsid w:val="00135A5C"/>
    <w:rsid w:val="00135C60"/>
    <w:rsid w:val="001360AB"/>
    <w:rsid w:val="0013697E"/>
    <w:rsid w:val="00136AF5"/>
    <w:rsid w:val="00136CBF"/>
    <w:rsid w:val="00136F87"/>
    <w:rsid w:val="001373EB"/>
    <w:rsid w:val="00137ABB"/>
    <w:rsid w:val="00137D4C"/>
    <w:rsid w:val="00137F76"/>
    <w:rsid w:val="00140F06"/>
    <w:rsid w:val="0014101D"/>
    <w:rsid w:val="0014122D"/>
    <w:rsid w:val="0014204A"/>
    <w:rsid w:val="001420F0"/>
    <w:rsid w:val="00142F11"/>
    <w:rsid w:val="0014309D"/>
    <w:rsid w:val="00143C1A"/>
    <w:rsid w:val="00143E01"/>
    <w:rsid w:val="00144288"/>
    <w:rsid w:val="00144290"/>
    <w:rsid w:val="00144308"/>
    <w:rsid w:val="00144331"/>
    <w:rsid w:val="00144D1F"/>
    <w:rsid w:val="001452E8"/>
    <w:rsid w:val="0014571E"/>
    <w:rsid w:val="001467A4"/>
    <w:rsid w:val="00146EF5"/>
    <w:rsid w:val="00147383"/>
    <w:rsid w:val="00147542"/>
    <w:rsid w:val="001475BD"/>
    <w:rsid w:val="00147861"/>
    <w:rsid w:val="00147E39"/>
    <w:rsid w:val="00147F4C"/>
    <w:rsid w:val="00150494"/>
    <w:rsid w:val="001508E0"/>
    <w:rsid w:val="00151A0C"/>
    <w:rsid w:val="00151C1E"/>
    <w:rsid w:val="00151C78"/>
    <w:rsid w:val="00152227"/>
    <w:rsid w:val="001523AB"/>
    <w:rsid w:val="001527A2"/>
    <w:rsid w:val="00153418"/>
    <w:rsid w:val="001542DD"/>
    <w:rsid w:val="001546BD"/>
    <w:rsid w:val="00155429"/>
    <w:rsid w:val="00155799"/>
    <w:rsid w:val="00156276"/>
    <w:rsid w:val="001562D5"/>
    <w:rsid w:val="0015646F"/>
    <w:rsid w:val="00156645"/>
    <w:rsid w:val="001568C8"/>
    <w:rsid w:val="00156914"/>
    <w:rsid w:val="00156993"/>
    <w:rsid w:val="00156E85"/>
    <w:rsid w:val="00156F9E"/>
    <w:rsid w:val="0016005B"/>
    <w:rsid w:val="00160068"/>
    <w:rsid w:val="001601D8"/>
    <w:rsid w:val="00160F33"/>
    <w:rsid w:val="00161242"/>
    <w:rsid w:val="00161289"/>
    <w:rsid w:val="001612AF"/>
    <w:rsid w:val="00161381"/>
    <w:rsid w:val="00161439"/>
    <w:rsid w:val="00161688"/>
    <w:rsid w:val="00161AC5"/>
    <w:rsid w:val="00161DA9"/>
    <w:rsid w:val="00161E00"/>
    <w:rsid w:val="001621A4"/>
    <w:rsid w:val="001626D3"/>
    <w:rsid w:val="001635B4"/>
    <w:rsid w:val="00163ED2"/>
    <w:rsid w:val="0016448A"/>
    <w:rsid w:val="00165468"/>
    <w:rsid w:val="00165D3D"/>
    <w:rsid w:val="00166762"/>
    <w:rsid w:val="00166797"/>
    <w:rsid w:val="0016694C"/>
    <w:rsid w:val="00167F7E"/>
    <w:rsid w:val="001700E3"/>
    <w:rsid w:val="001704BE"/>
    <w:rsid w:val="0017056A"/>
    <w:rsid w:val="00170C65"/>
    <w:rsid w:val="00170E55"/>
    <w:rsid w:val="001717CD"/>
    <w:rsid w:val="001725EE"/>
    <w:rsid w:val="00172A13"/>
    <w:rsid w:val="001731E4"/>
    <w:rsid w:val="001734A9"/>
    <w:rsid w:val="00173666"/>
    <w:rsid w:val="001736B9"/>
    <w:rsid w:val="00173D87"/>
    <w:rsid w:val="0017457C"/>
    <w:rsid w:val="0017485C"/>
    <w:rsid w:val="00174C25"/>
    <w:rsid w:val="00174C90"/>
    <w:rsid w:val="00174E4C"/>
    <w:rsid w:val="00174ED1"/>
    <w:rsid w:val="001754C0"/>
    <w:rsid w:val="00175786"/>
    <w:rsid w:val="001757EF"/>
    <w:rsid w:val="0017581E"/>
    <w:rsid w:val="00175CD8"/>
    <w:rsid w:val="00175E5A"/>
    <w:rsid w:val="001761D9"/>
    <w:rsid w:val="0017624D"/>
    <w:rsid w:val="001763DC"/>
    <w:rsid w:val="001764CC"/>
    <w:rsid w:val="001768EC"/>
    <w:rsid w:val="00176C00"/>
    <w:rsid w:val="00177062"/>
    <w:rsid w:val="0017783C"/>
    <w:rsid w:val="001807AF"/>
    <w:rsid w:val="0018094B"/>
    <w:rsid w:val="00180A06"/>
    <w:rsid w:val="00180ED3"/>
    <w:rsid w:val="001810A8"/>
    <w:rsid w:val="00181111"/>
    <w:rsid w:val="00181DFE"/>
    <w:rsid w:val="001820A7"/>
    <w:rsid w:val="00182B66"/>
    <w:rsid w:val="0018348A"/>
    <w:rsid w:val="00184168"/>
    <w:rsid w:val="001844F4"/>
    <w:rsid w:val="00184F00"/>
    <w:rsid w:val="00185AED"/>
    <w:rsid w:val="0018616F"/>
    <w:rsid w:val="001864B0"/>
    <w:rsid w:val="00186811"/>
    <w:rsid w:val="00186F26"/>
    <w:rsid w:val="00187468"/>
    <w:rsid w:val="00187BFE"/>
    <w:rsid w:val="00190B38"/>
    <w:rsid w:val="00190B9A"/>
    <w:rsid w:val="00190C07"/>
    <w:rsid w:val="00190D4F"/>
    <w:rsid w:val="0019139D"/>
    <w:rsid w:val="001922D8"/>
    <w:rsid w:val="00192CE0"/>
    <w:rsid w:val="001931BA"/>
    <w:rsid w:val="001936BF"/>
    <w:rsid w:val="00193718"/>
    <w:rsid w:val="00193E51"/>
    <w:rsid w:val="00194011"/>
    <w:rsid w:val="00195237"/>
    <w:rsid w:val="00195B65"/>
    <w:rsid w:val="001964AA"/>
    <w:rsid w:val="00196C12"/>
    <w:rsid w:val="00196D26"/>
    <w:rsid w:val="0019776B"/>
    <w:rsid w:val="001A020B"/>
    <w:rsid w:val="001A0327"/>
    <w:rsid w:val="001A08D1"/>
    <w:rsid w:val="001A0AC6"/>
    <w:rsid w:val="001A0DC9"/>
    <w:rsid w:val="001A1337"/>
    <w:rsid w:val="001A288B"/>
    <w:rsid w:val="001A28F8"/>
    <w:rsid w:val="001A2996"/>
    <w:rsid w:val="001A3D6D"/>
    <w:rsid w:val="001A4338"/>
    <w:rsid w:val="001A4617"/>
    <w:rsid w:val="001A4D04"/>
    <w:rsid w:val="001A5824"/>
    <w:rsid w:val="001A5896"/>
    <w:rsid w:val="001A6A23"/>
    <w:rsid w:val="001A7340"/>
    <w:rsid w:val="001A74C0"/>
    <w:rsid w:val="001A7795"/>
    <w:rsid w:val="001A77D7"/>
    <w:rsid w:val="001A77DB"/>
    <w:rsid w:val="001A7BB6"/>
    <w:rsid w:val="001A7CB3"/>
    <w:rsid w:val="001A7FF4"/>
    <w:rsid w:val="001B009E"/>
    <w:rsid w:val="001B0146"/>
    <w:rsid w:val="001B032F"/>
    <w:rsid w:val="001B084A"/>
    <w:rsid w:val="001B0F18"/>
    <w:rsid w:val="001B12B2"/>
    <w:rsid w:val="001B166E"/>
    <w:rsid w:val="001B1815"/>
    <w:rsid w:val="001B1F9E"/>
    <w:rsid w:val="001B27EA"/>
    <w:rsid w:val="001B2D77"/>
    <w:rsid w:val="001B3214"/>
    <w:rsid w:val="001B3355"/>
    <w:rsid w:val="001B3731"/>
    <w:rsid w:val="001B40B3"/>
    <w:rsid w:val="001B458D"/>
    <w:rsid w:val="001B478F"/>
    <w:rsid w:val="001B4844"/>
    <w:rsid w:val="001B4B3B"/>
    <w:rsid w:val="001B5059"/>
    <w:rsid w:val="001B574A"/>
    <w:rsid w:val="001B6051"/>
    <w:rsid w:val="001C0441"/>
    <w:rsid w:val="001C044D"/>
    <w:rsid w:val="001C054F"/>
    <w:rsid w:val="001C0E38"/>
    <w:rsid w:val="001C1837"/>
    <w:rsid w:val="001C1CCD"/>
    <w:rsid w:val="001C2211"/>
    <w:rsid w:val="001C3DBA"/>
    <w:rsid w:val="001C4010"/>
    <w:rsid w:val="001C50EA"/>
    <w:rsid w:val="001C5217"/>
    <w:rsid w:val="001C5550"/>
    <w:rsid w:val="001C582C"/>
    <w:rsid w:val="001C70C3"/>
    <w:rsid w:val="001C760A"/>
    <w:rsid w:val="001C777F"/>
    <w:rsid w:val="001C7A5A"/>
    <w:rsid w:val="001C7F0E"/>
    <w:rsid w:val="001D0081"/>
    <w:rsid w:val="001D0528"/>
    <w:rsid w:val="001D071D"/>
    <w:rsid w:val="001D0759"/>
    <w:rsid w:val="001D0860"/>
    <w:rsid w:val="001D0DD4"/>
    <w:rsid w:val="001D11C3"/>
    <w:rsid w:val="001D12B7"/>
    <w:rsid w:val="001D15C9"/>
    <w:rsid w:val="001D300E"/>
    <w:rsid w:val="001D38C4"/>
    <w:rsid w:val="001D3925"/>
    <w:rsid w:val="001D504B"/>
    <w:rsid w:val="001D5289"/>
    <w:rsid w:val="001D52D7"/>
    <w:rsid w:val="001D53F3"/>
    <w:rsid w:val="001D5553"/>
    <w:rsid w:val="001D5760"/>
    <w:rsid w:val="001D58FD"/>
    <w:rsid w:val="001D5A2A"/>
    <w:rsid w:val="001D62E0"/>
    <w:rsid w:val="001D6407"/>
    <w:rsid w:val="001D647C"/>
    <w:rsid w:val="001D64DF"/>
    <w:rsid w:val="001D694E"/>
    <w:rsid w:val="001D699C"/>
    <w:rsid w:val="001D6AE7"/>
    <w:rsid w:val="001D7631"/>
    <w:rsid w:val="001D7DDB"/>
    <w:rsid w:val="001E0740"/>
    <w:rsid w:val="001E0CFB"/>
    <w:rsid w:val="001E0E14"/>
    <w:rsid w:val="001E1061"/>
    <w:rsid w:val="001E159E"/>
    <w:rsid w:val="001E1958"/>
    <w:rsid w:val="001E2593"/>
    <w:rsid w:val="001E2EEF"/>
    <w:rsid w:val="001E2FCD"/>
    <w:rsid w:val="001E335C"/>
    <w:rsid w:val="001E34D6"/>
    <w:rsid w:val="001E364B"/>
    <w:rsid w:val="001E38FD"/>
    <w:rsid w:val="001E3BCE"/>
    <w:rsid w:val="001E4306"/>
    <w:rsid w:val="001E4754"/>
    <w:rsid w:val="001E50AA"/>
    <w:rsid w:val="001E542B"/>
    <w:rsid w:val="001E5E8C"/>
    <w:rsid w:val="001E6C04"/>
    <w:rsid w:val="001E7237"/>
    <w:rsid w:val="001F00C8"/>
    <w:rsid w:val="001F00C9"/>
    <w:rsid w:val="001F0185"/>
    <w:rsid w:val="001F0496"/>
    <w:rsid w:val="001F0605"/>
    <w:rsid w:val="001F11CC"/>
    <w:rsid w:val="001F1334"/>
    <w:rsid w:val="001F136F"/>
    <w:rsid w:val="001F158B"/>
    <w:rsid w:val="001F1B0E"/>
    <w:rsid w:val="001F318F"/>
    <w:rsid w:val="001F3220"/>
    <w:rsid w:val="001F34AB"/>
    <w:rsid w:val="001F3C83"/>
    <w:rsid w:val="001F4DB5"/>
    <w:rsid w:val="001F53E1"/>
    <w:rsid w:val="001F686A"/>
    <w:rsid w:val="001F6D3D"/>
    <w:rsid w:val="001F7C63"/>
    <w:rsid w:val="002007C8"/>
    <w:rsid w:val="00200ACD"/>
    <w:rsid w:val="00200B84"/>
    <w:rsid w:val="00200C0E"/>
    <w:rsid w:val="00200C76"/>
    <w:rsid w:val="002013CB"/>
    <w:rsid w:val="00201696"/>
    <w:rsid w:val="002018EE"/>
    <w:rsid w:val="002019BE"/>
    <w:rsid w:val="0020254D"/>
    <w:rsid w:val="00202A70"/>
    <w:rsid w:val="00202B9C"/>
    <w:rsid w:val="0020337B"/>
    <w:rsid w:val="0020348D"/>
    <w:rsid w:val="002039C3"/>
    <w:rsid w:val="00203C4C"/>
    <w:rsid w:val="00204262"/>
    <w:rsid w:val="00205817"/>
    <w:rsid w:val="00206981"/>
    <w:rsid w:val="0020776F"/>
    <w:rsid w:val="002103C2"/>
    <w:rsid w:val="00210AFC"/>
    <w:rsid w:val="00210B19"/>
    <w:rsid w:val="00210B78"/>
    <w:rsid w:val="00211135"/>
    <w:rsid w:val="00211241"/>
    <w:rsid w:val="0021186B"/>
    <w:rsid w:val="00211DEA"/>
    <w:rsid w:val="00211F16"/>
    <w:rsid w:val="00212BE7"/>
    <w:rsid w:val="00212E11"/>
    <w:rsid w:val="0021372F"/>
    <w:rsid w:val="00213953"/>
    <w:rsid w:val="00213A2D"/>
    <w:rsid w:val="00213B6C"/>
    <w:rsid w:val="00213E18"/>
    <w:rsid w:val="0021451C"/>
    <w:rsid w:val="00214CD5"/>
    <w:rsid w:val="0021538A"/>
    <w:rsid w:val="002154E8"/>
    <w:rsid w:val="00216282"/>
    <w:rsid w:val="00216D51"/>
    <w:rsid w:val="0021726A"/>
    <w:rsid w:val="002172E1"/>
    <w:rsid w:val="002173CC"/>
    <w:rsid w:val="00217EEB"/>
    <w:rsid w:val="0022000B"/>
    <w:rsid w:val="0022004C"/>
    <w:rsid w:val="00220360"/>
    <w:rsid w:val="00220E98"/>
    <w:rsid w:val="00221110"/>
    <w:rsid w:val="00221242"/>
    <w:rsid w:val="00221251"/>
    <w:rsid w:val="00221504"/>
    <w:rsid w:val="00221D32"/>
    <w:rsid w:val="00222782"/>
    <w:rsid w:val="00222C13"/>
    <w:rsid w:val="0022335E"/>
    <w:rsid w:val="00223688"/>
    <w:rsid w:val="00223863"/>
    <w:rsid w:val="00224140"/>
    <w:rsid w:val="00224D97"/>
    <w:rsid w:val="00225001"/>
    <w:rsid w:val="00225196"/>
    <w:rsid w:val="00225579"/>
    <w:rsid w:val="00225788"/>
    <w:rsid w:val="00225AAC"/>
    <w:rsid w:val="00225B09"/>
    <w:rsid w:val="002260AE"/>
    <w:rsid w:val="002264F6"/>
    <w:rsid w:val="00227380"/>
    <w:rsid w:val="0022785D"/>
    <w:rsid w:val="00227965"/>
    <w:rsid w:val="00227A6B"/>
    <w:rsid w:val="00227B51"/>
    <w:rsid w:val="00227D1F"/>
    <w:rsid w:val="00230398"/>
    <w:rsid w:val="00230CEA"/>
    <w:rsid w:val="0023103E"/>
    <w:rsid w:val="00231B6F"/>
    <w:rsid w:val="002329E0"/>
    <w:rsid w:val="00232FBE"/>
    <w:rsid w:val="0023363B"/>
    <w:rsid w:val="00233B00"/>
    <w:rsid w:val="002345A8"/>
    <w:rsid w:val="0023460E"/>
    <w:rsid w:val="002346CA"/>
    <w:rsid w:val="002352CE"/>
    <w:rsid w:val="00235881"/>
    <w:rsid w:val="002358E9"/>
    <w:rsid w:val="002359F7"/>
    <w:rsid w:val="00235C5A"/>
    <w:rsid w:val="00235E3F"/>
    <w:rsid w:val="00235EC5"/>
    <w:rsid w:val="00236274"/>
    <w:rsid w:val="002366EB"/>
    <w:rsid w:val="00236AE0"/>
    <w:rsid w:val="00236D04"/>
    <w:rsid w:val="00236D82"/>
    <w:rsid w:val="00236F42"/>
    <w:rsid w:val="00236F57"/>
    <w:rsid w:val="00236F8C"/>
    <w:rsid w:val="00236FFB"/>
    <w:rsid w:val="002370A4"/>
    <w:rsid w:val="00237550"/>
    <w:rsid w:val="00237902"/>
    <w:rsid w:val="00237E5B"/>
    <w:rsid w:val="002407B7"/>
    <w:rsid w:val="00240DEF"/>
    <w:rsid w:val="00241807"/>
    <w:rsid w:val="00241C7C"/>
    <w:rsid w:val="00242F8B"/>
    <w:rsid w:val="002431A0"/>
    <w:rsid w:val="00243CA0"/>
    <w:rsid w:val="00243EE2"/>
    <w:rsid w:val="002440D6"/>
    <w:rsid w:val="002444B0"/>
    <w:rsid w:val="0024457F"/>
    <w:rsid w:val="0024553B"/>
    <w:rsid w:val="00245F73"/>
    <w:rsid w:val="002463CE"/>
    <w:rsid w:val="0024664D"/>
    <w:rsid w:val="002467EB"/>
    <w:rsid w:val="00246900"/>
    <w:rsid w:val="00246926"/>
    <w:rsid w:val="00246DC7"/>
    <w:rsid w:val="00247605"/>
    <w:rsid w:val="00247BA8"/>
    <w:rsid w:val="00250492"/>
    <w:rsid w:val="002504B8"/>
    <w:rsid w:val="002506A3"/>
    <w:rsid w:val="002507A8"/>
    <w:rsid w:val="00250FBE"/>
    <w:rsid w:val="00250FE6"/>
    <w:rsid w:val="002510AD"/>
    <w:rsid w:val="0025196F"/>
    <w:rsid w:val="00251A97"/>
    <w:rsid w:val="00251BDF"/>
    <w:rsid w:val="002520E8"/>
    <w:rsid w:val="00252101"/>
    <w:rsid w:val="00252189"/>
    <w:rsid w:val="002522EC"/>
    <w:rsid w:val="0025255D"/>
    <w:rsid w:val="00252669"/>
    <w:rsid w:val="00252745"/>
    <w:rsid w:val="00252BF6"/>
    <w:rsid w:val="00252C5A"/>
    <w:rsid w:val="0025341C"/>
    <w:rsid w:val="00253ABC"/>
    <w:rsid w:val="002548D9"/>
    <w:rsid w:val="002554CC"/>
    <w:rsid w:val="00255715"/>
    <w:rsid w:val="00255B6A"/>
    <w:rsid w:val="00255D4C"/>
    <w:rsid w:val="00256634"/>
    <w:rsid w:val="00256851"/>
    <w:rsid w:val="0025695A"/>
    <w:rsid w:val="00257AC7"/>
    <w:rsid w:val="002601FF"/>
    <w:rsid w:val="00261301"/>
    <w:rsid w:val="002614D2"/>
    <w:rsid w:val="00261503"/>
    <w:rsid w:val="00261890"/>
    <w:rsid w:val="00261A24"/>
    <w:rsid w:val="0026206B"/>
    <w:rsid w:val="002623DE"/>
    <w:rsid w:val="0026375E"/>
    <w:rsid w:val="00264155"/>
    <w:rsid w:val="002643AD"/>
    <w:rsid w:val="00264881"/>
    <w:rsid w:val="0026547C"/>
    <w:rsid w:val="00265549"/>
    <w:rsid w:val="002659BE"/>
    <w:rsid w:val="00265CED"/>
    <w:rsid w:val="00265DC1"/>
    <w:rsid w:val="00265FB3"/>
    <w:rsid w:val="00265FDA"/>
    <w:rsid w:val="0026615A"/>
    <w:rsid w:val="00266373"/>
    <w:rsid w:val="0026647D"/>
    <w:rsid w:val="0026689A"/>
    <w:rsid w:val="00266B35"/>
    <w:rsid w:val="00267D9E"/>
    <w:rsid w:val="002706AE"/>
    <w:rsid w:val="0027153D"/>
    <w:rsid w:val="002717AC"/>
    <w:rsid w:val="00271CB6"/>
    <w:rsid w:val="00271DCA"/>
    <w:rsid w:val="00271E81"/>
    <w:rsid w:val="00272390"/>
    <w:rsid w:val="002723B1"/>
    <w:rsid w:val="002723E6"/>
    <w:rsid w:val="00272C5E"/>
    <w:rsid w:val="00272D8B"/>
    <w:rsid w:val="0027339D"/>
    <w:rsid w:val="0027351F"/>
    <w:rsid w:val="002737FB"/>
    <w:rsid w:val="00274021"/>
    <w:rsid w:val="00275338"/>
    <w:rsid w:val="002756E5"/>
    <w:rsid w:val="002756EB"/>
    <w:rsid w:val="00275B07"/>
    <w:rsid w:val="002765A1"/>
    <w:rsid w:val="00276D0E"/>
    <w:rsid w:val="00276F68"/>
    <w:rsid w:val="00277178"/>
    <w:rsid w:val="00277388"/>
    <w:rsid w:val="002776E8"/>
    <w:rsid w:val="00277C2B"/>
    <w:rsid w:val="00277DC5"/>
    <w:rsid w:val="00280698"/>
    <w:rsid w:val="002807DD"/>
    <w:rsid w:val="002808F8"/>
    <w:rsid w:val="00280A52"/>
    <w:rsid w:val="002812CB"/>
    <w:rsid w:val="00281663"/>
    <w:rsid w:val="00282AFA"/>
    <w:rsid w:val="002830C2"/>
    <w:rsid w:val="002830E9"/>
    <w:rsid w:val="002839F7"/>
    <w:rsid w:val="00283A2C"/>
    <w:rsid w:val="002841AE"/>
    <w:rsid w:val="00284535"/>
    <w:rsid w:val="00284723"/>
    <w:rsid w:val="00284E53"/>
    <w:rsid w:val="002851AC"/>
    <w:rsid w:val="00285783"/>
    <w:rsid w:val="00285A18"/>
    <w:rsid w:val="00285A41"/>
    <w:rsid w:val="00285B00"/>
    <w:rsid w:val="00286954"/>
    <w:rsid w:val="002875A5"/>
    <w:rsid w:val="00287975"/>
    <w:rsid w:val="00287ADD"/>
    <w:rsid w:val="00287D08"/>
    <w:rsid w:val="00287E87"/>
    <w:rsid w:val="0029047F"/>
    <w:rsid w:val="002913A2"/>
    <w:rsid w:val="00291681"/>
    <w:rsid w:val="00291ABF"/>
    <w:rsid w:val="0029211C"/>
    <w:rsid w:val="00293064"/>
    <w:rsid w:val="002933FF"/>
    <w:rsid w:val="002937F1"/>
    <w:rsid w:val="00293A9E"/>
    <w:rsid w:val="00293CEC"/>
    <w:rsid w:val="00294056"/>
    <w:rsid w:val="00294643"/>
    <w:rsid w:val="00294670"/>
    <w:rsid w:val="0029495F"/>
    <w:rsid w:val="00294A14"/>
    <w:rsid w:val="002957EE"/>
    <w:rsid w:val="00295CB2"/>
    <w:rsid w:val="00296614"/>
    <w:rsid w:val="00296D3F"/>
    <w:rsid w:val="002A0C19"/>
    <w:rsid w:val="002A0F2C"/>
    <w:rsid w:val="002A1537"/>
    <w:rsid w:val="002A1593"/>
    <w:rsid w:val="002A2075"/>
    <w:rsid w:val="002A2449"/>
    <w:rsid w:val="002A28DE"/>
    <w:rsid w:val="002A2CB7"/>
    <w:rsid w:val="002A3492"/>
    <w:rsid w:val="002A35D4"/>
    <w:rsid w:val="002A3E1E"/>
    <w:rsid w:val="002A42FC"/>
    <w:rsid w:val="002A4505"/>
    <w:rsid w:val="002A4619"/>
    <w:rsid w:val="002A5902"/>
    <w:rsid w:val="002A60B6"/>
    <w:rsid w:val="002A6140"/>
    <w:rsid w:val="002A633F"/>
    <w:rsid w:val="002A6CB5"/>
    <w:rsid w:val="002A6D5B"/>
    <w:rsid w:val="002A6E79"/>
    <w:rsid w:val="002A7835"/>
    <w:rsid w:val="002A79CF"/>
    <w:rsid w:val="002A7DDE"/>
    <w:rsid w:val="002B062E"/>
    <w:rsid w:val="002B0C3D"/>
    <w:rsid w:val="002B0EB8"/>
    <w:rsid w:val="002B15F2"/>
    <w:rsid w:val="002B1769"/>
    <w:rsid w:val="002B34F4"/>
    <w:rsid w:val="002B4327"/>
    <w:rsid w:val="002B437A"/>
    <w:rsid w:val="002B4820"/>
    <w:rsid w:val="002B4D2B"/>
    <w:rsid w:val="002B5A03"/>
    <w:rsid w:val="002B605A"/>
    <w:rsid w:val="002B64A1"/>
    <w:rsid w:val="002B6698"/>
    <w:rsid w:val="002B68FA"/>
    <w:rsid w:val="002B6926"/>
    <w:rsid w:val="002B6AEA"/>
    <w:rsid w:val="002B7AD6"/>
    <w:rsid w:val="002B7C1E"/>
    <w:rsid w:val="002C031D"/>
    <w:rsid w:val="002C06DE"/>
    <w:rsid w:val="002C06E9"/>
    <w:rsid w:val="002C07F9"/>
    <w:rsid w:val="002C0860"/>
    <w:rsid w:val="002C0C10"/>
    <w:rsid w:val="002C1FB6"/>
    <w:rsid w:val="002C2695"/>
    <w:rsid w:val="002C31AF"/>
    <w:rsid w:val="002C37E7"/>
    <w:rsid w:val="002C38B3"/>
    <w:rsid w:val="002C3BD8"/>
    <w:rsid w:val="002C47E4"/>
    <w:rsid w:val="002C4C55"/>
    <w:rsid w:val="002C4D61"/>
    <w:rsid w:val="002C5120"/>
    <w:rsid w:val="002C5AD3"/>
    <w:rsid w:val="002C61D9"/>
    <w:rsid w:val="002C6327"/>
    <w:rsid w:val="002C63BB"/>
    <w:rsid w:val="002C6A99"/>
    <w:rsid w:val="002C6F3A"/>
    <w:rsid w:val="002C70A1"/>
    <w:rsid w:val="002C74D4"/>
    <w:rsid w:val="002C7757"/>
    <w:rsid w:val="002D0445"/>
    <w:rsid w:val="002D0769"/>
    <w:rsid w:val="002D0CE8"/>
    <w:rsid w:val="002D15E1"/>
    <w:rsid w:val="002D16DE"/>
    <w:rsid w:val="002D19A5"/>
    <w:rsid w:val="002D1F62"/>
    <w:rsid w:val="002D220C"/>
    <w:rsid w:val="002D244D"/>
    <w:rsid w:val="002D2B32"/>
    <w:rsid w:val="002D31FF"/>
    <w:rsid w:val="002D3455"/>
    <w:rsid w:val="002D4929"/>
    <w:rsid w:val="002D53CA"/>
    <w:rsid w:val="002D55AF"/>
    <w:rsid w:val="002D6294"/>
    <w:rsid w:val="002D6B4A"/>
    <w:rsid w:val="002D6FC5"/>
    <w:rsid w:val="002D731B"/>
    <w:rsid w:val="002D78B7"/>
    <w:rsid w:val="002D7BE7"/>
    <w:rsid w:val="002D7EFF"/>
    <w:rsid w:val="002E038B"/>
    <w:rsid w:val="002E04D8"/>
    <w:rsid w:val="002E074D"/>
    <w:rsid w:val="002E0ADD"/>
    <w:rsid w:val="002E11B3"/>
    <w:rsid w:val="002E1C53"/>
    <w:rsid w:val="002E391B"/>
    <w:rsid w:val="002E4701"/>
    <w:rsid w:val="002E506F"/>
    <w:rsid w:val="002E52DF"/>
    <w:rsid w:val="002E5C99"/>
    <w:rsid w:val="002E6191"/>
    <w:rsid w:val="002E69FD"/>
    <w:rsid w:val="002E6A7B"/>
    <w:rsid w:val="002E705F"/>
    <w:rsid w:val="002E7248"/>
    <w:rsid w:val="002E725D"/>
    <w:rsid w:val="002E79D1"/>
    <w:rsid w:val="002E79DB"/>
    <w:rsid w:val="002F016E"/>
    <w:rsid w:val="002F02DC"/>
    <w:rsid w:val="002F038D"/>
    <w:rsid w:val="002F0C49"/>
    <w:rsid w:val="002F0FC4"/>
    <w:rsid w:val="002F12E4"/>
    <w:rsid w:val="002F1384"/>
    <w:rsid w:val="002F1417"/>
    <w:rsid w:val="002F1497"/>
    <w:rsid w:val="002F14C3"/>
    <w:rsid w:val="002F1FB4"/>
    <w:rsid w:val="002F284F"/>
    <w:rsid w:val="002F2C4B"/>
    <w:rsid w:val="002F320F"/>
    <w:rsid w:val="002F35BA"/>
    <w:rsid w:val="002F371E"/>
    <w:rsid w:val="002F3C73"/>
    <w:rsid w:val="002F41FA"/>
    <w:rsid w:val="002F434A"/>
    <w:rsid w:val="002F45B6"/>
    <w:rsid w:val="002F4B89"/>
    <w:rsid w:val="002F4D7D"/>
    <w:rsid w:val="002F5A80"/>
    <w:rsid w:val="002F5BD1"/>
    <w:rsid w:val="002F6899"/>
    <w:rsid w:val="002F690D"/>
    <w:rsid w:val="002F6931"/>
    <w:rsid w:val="002F6B7E"/>
    <w:rsid w:val="002F6CA4"/>
    <w:rsid w:val="002F764A"/>
    <w:rsid w:val="002F7CA5"/>
    <w:rsid w:val="003000C6"/>
    <w:rsid w:val="003008BE"/>
    <w:rsid w:val="00300DFD"/>
    <w:rsid w:val="00301263"/>
    <w:rsid w:val="00301C07"/>
    <w:rsid w:val="00301CDF"/>
    <w:rsid w:val="00302335"/>
    <w:rsid w:val="00303030"/>
    <w:rsid w:val="00303417"/>
    <w:rsid w:val="0030366B"/>
    <w:rsid w:val="00303A1A"/>
    <w:rsid w:val="0030414E"/>
    <w:rsid w:val="003048C0"/>
    <w:rsid w:val="00304A9A"/>
    <w:rsid w:val="00304D2B"/>
    <w:rsid w:val="00304E6F"/>
    <w:rsid w:val="0030524F"/>
    <w:rsid w:val="0030536C"/>
    <w:rsid w:val="003053B8"/>
    <w:rsid w:val="00305725"/>
    <w:rsid w:val="00305A4A"/>
    <w:rsid w:val="00306329"/>
    <w:rsid w:val="00307199"/>
    <w:rsid w:val="0030757F"/>
    <w:rsid w:val="00307853"/>
    <w:rsid w:val="00307A30"/>
    <w:rsid w:val="00307A5C"/>
    <w:rsid w:val="00307C67"/>
    <w:rsid w:val="00307F6E"/>
    <w:rsid w:val="00310E09"/>
    <w:rsid w:val="00310F4B"/>
    <w:rsid w:val="00311A02"/>
    <w:rsid w:val="00311B2A"/>
    <w:rsid w:val="00312502"/>
    <w:rsid w:val="00312EC4"/>
    <w:rsid w:val="00312FC8"/>
    <w:rsid w:val="00313544"/>
    <w:rsid w:val="0031370E"/>
    <w:rsid w:val="003138BB"/>
    <w:rsid w:val="00313FDB"/>
    <w:rsid w:val="0031519E"/>
    <w:rsid w:val="00315386"/>
    <w:rsid w:val="003153CD"/>
    <w:rsid w:val="00315A4F"/>
    <w:rsid w:val="00315BB4"/>
    <w:rsid w:val="00316D0A"/>
    <w:rsid w:val="00316ED7"/>
    <w:rsid w:val="00316EDC"/>
    <w:rsid w:val="00317694"/>
    <w:rsid w:val="0031798D"/>
    <w:rsid w:val="00317BB4"/>
    <w:rsid w:val="003205E3"/>
    <w:rsid w:val="00320682"/>
    <w:rsid w:val="00320986"/>
    <w:rsid w:val="003209B8"/>
    <w:rsid w:val="00320AD3"/>
    <w:rsid w:val="00321453"/>
    <w:rsid w:val="0032174A"/>
    <w:rsid w:val="0032281B"/>
    <w:rsid w:val="00322A3A"/>
    <w:rsid w:val="00322D34"/>
    <w:rsid w:val="00322F21"/>
    <w:rsid w:val="00323892"/>
    <w:rsid w:val="00323C9D"/>
    <w:rsid w:val="00323E7D"/>
    <w:rsid w:val="00324043"/>
    <w:rsid w:val="00324D63"/>
    <w:rsid w:val="00325E1D"/>
    <w:rsid w:val="003260BC"/>
    <w:rsid w:val="00326DB0"/>
    <w:rsid w:val="003275F2"/>
    <w:rsid w:val="00327B2A"/>
    <w:rsid w:val="00327BEE"/>
    <w:rsid w:val="00327C0F"/>
    <w:rsid w:val="00327C85"/>
    <w:rsid w:val="00327E64"/>
    <w:rsid w:val="0033015A"/>
    <w:rsid w:val="0033039F"/>
    <w:rsid w:val="00330919"/>
    <w:rsid w:val="00330A2A"/>
    <w:rsid w:val="00330AE9"/>
    <w:rsid w:val="00331B86"/>
    <w:rsid w:val="00331F95"/>
    <w:rsid w:val="00332069"/>
    <w:rsid w:val="00332619"/>
    <w:rsid w:val="003326B3"/>
    <w:rsid w:val="00332E7D"/>
    <w:rsid w:val="00333622"/>
    <w:rsid w:val="00333B74"/>
    <w:rsid w:val="00333C9A"/>
    <w:rsid w:val="00334184"/>
    <w:rsid w:val="003341BA"/>
    <w:rsid w:val="00334C02"/>
    <w:rsid w:val="00334FA5"/>
    <w:rsid w:val="00335EE2"/>
    <w:rsid w:val="003360D3"/>
    <w:rsid w:val="00336384"/>
    <w:rsid w:val="00336540"/>
    <w:rsid w:val="003372B7"/>
    <w:rsid w:val="00340082"/>
    <w:rsid w:val="00340253"/>
    <w:rsid w:val="003402D4"/>
    <w:rsid w:val="00340CC7"/>
    <w:rsid w:val="00341E6A"/>
    <w:rsid w:val="003421EC"/>
    <w:rsid w:val="00342435"/>
    <w:rsid w:val="00342D8A"/>
    <w:rsid w:val="00343415"/>
    <w:rsid w:val="0034356A"/>
    <w:rsid w:val="00343740"/>
    <w:rsid w:val="00343F75"/>
    <w:rsid w:val="00345379"/>
    <w:rsid w:val="0034578D"/>
    <w:rsid w:val="0034588D"/>
    <w:rsid w:val="003461CB"/>
    <w:rsid w:val="003463CD"/>
    <w:rsid w:val="00346514"/>
    <w:rsid w:val="003465A4"/>
    <w:rsid w:val="00346633"/>
    <w:rsid w:val="00346725"/>
    <w:rsid w:val="00346F02"/>
    <w:rsid w:val="0034756B"/>
    <w:rsid w:val="003475EE"/>
    <w:rsid w:val="003477EF"/>
    <w:rsid w:val="00347C63"/>
    <w:rsid w:val="00347D21"/>
    <w:rsid w:val="003501A5"/>
    <w:rsid w:val="00350B43"/>
    <w:rsid w:val="0035109A"/>
    <w:rsid w:val="00351C14"/>
    <w:rsid w:val="00351EA7"/>
    <w:rsid w:val="003526AF"/>
    <w:rsid w:val="003527C7"/>
    <w:rsid w:val="00352F9D"/>
    <w:rsid w:val="00353449"/>
    <w:rsid w:val="003535F0"/>
    <w:rsid w:val="003540A1"/>
    <w:rsid w:val="003542F8"/>
    <w:rsid w:val="003549AC"/>
    <w:rsid w:val="0035586B"/>
    <w:rsid w:val="0035587D"/>
    <w:rsid w:val="003558A8"/>
    <w:rsid w:val="0035593A"/>
    <w:rsid w:val="00355D9D"/>
    <w:rsid w:val="0035726D"/>
    <w:rsid w:val="003572F1"/>
    <w:rsid w:val="0036007C"/>
    <w:rsid w:val="00360A60"/>
    <w:rsid w:val="00360C19"/>
    <w:rsid w:val="003622A2"/>
    <w:rsid w:val="0036244D"/>
    <w:rsid w:val="003629C7"/>
    <w:rsid w:val="003634A4"/>
    <w:rsid w:val="00364290"/>
    <w:rsid w:val="0036430D"/>
    <w:rsid w:val="00364B67"/>
    <w:rsid w:val="00364D48"/>
    <w:rsid w:val="00364F25"/>
    <w:rsid w:val="00365139"/>
    <w:rsid w:val="00365B4C"/>
    <w:rsid w:val="00366909"/>
    <w:rsid w:val="00366C9D"/>
    <w:rsid w:val="00366E0F"/>
    <w:rsid w:val="0036702D"/>
    <w:rsid w:val="003675DD"/>
    <w:rsid w:val="00370866"/>
    <w:rsid w:val="003710CD"/>
    <w:rsid w:val="003714ED"/>
    <w:rsid w:val="00371BFB"/>
    <w:rsid w:val="00371CAE"/>
    <w:rsid w:val="0037287C"/>
    <w:rsid w:val="00373086"/>
    <w:rsid w:val="0037320A"/>
    <w:rsid w:val="003733AA"/>
    <w:rsid w:val="00373622"/>
    <w:rsid w:val="003742F7"/>
    <w:rsid w:val="003750C3"/>
    <w:rsid w:val="003751D3"/>
    <w:rsid w:val="00375554"/>
    <w:rsid w:val="003759AB"/>
    <w:rsid w:val="00376229"/>
    <w:rsid w:val="00377936"/>
    <w:rsid w:val="00377A45"/>
    <w:rsid w:val="00377B12"/>
    <w:rsid w:val="00377DE6"/>
    <w:rsid w:val="00377E2E"/>
    <w:rsid w:val="00380A2E"/>
    <w:rsid w:val="00380BD4"/>
    <w:rsid w:val="00380C64"/>
    <w:rsid w:val="00380DEA"/>
    <w:rsid w:val="00380EAF"/>
    <w:rsid w:val="00380F84"/>
    <w:rsid w:val="003817E6"/>
    <w:rsid w:val="00381CB3"/>
    <w:rsid w:val="00381E7D"/>
    <w:rsid w:val="00382B87"/>
    <w:rsid w:val="00382EB4"/>
    <w:rsid w:val="00382F86"/>
    <w:rsid w:val="003830D4"/>
    <w:rsid w:val="0038374B"/>
    <w:rsid w:val="003839D1"/>
    <w:rsid w:val="00384249"/>
    <w:rsid w:val="003844C8"/>
    <w:rsid w:val="003859BA"/>
    <w:rsid w:val="00385EB0"/>
    <w:rsid w:val="003861E7"/>
    <w:rsid w:val="0038645D"/>
    <w:rsid w:val="003864EF"/>
    <w:rsid w:val="003868B8"/>
    <w:rsid w:val="00386CB7"/>
    <w:rsid w:val="00386E38"/>
    <w:rsid w:val="00387524"/>
    <w:rsid w:val="003876E5"/>
    <w:rsid w:val="00390A9F"/>
    <w:rsid w:val="00390CA7"/>
    <w:rsid w:val="00390F9D"/>
    <w:rsid w:val="00390FC7"/>
    <w:rsid w:val="00391025"/>
    <w:rsid w:val="003913AE"/>
    <w:rsid w:val="003917BD"/>
    <w:rsid w:val="00391958"/>
    <w:rsid w:val="00391FD8"/>
    <w:rsid w:val="003928CA"/>
    <w:rsid w:val="00392AFD"/>
    <w:rsid w:val="0039343D"/>
    <w:rsid w:val="00393E0E"/>
    <w:rsid w:val="00394135"/>
    <w:rsid w:val="0039418F"/>
    <w:rsid w:val="00394245"/>
    <w:rsid w:val="003942F3"/>
    <w:rsid w:val="003946B4"/>
    <w:rsid w:val="00394A93"/>
    <w:rsid w:val="00394B0C"/>
    <w:rsid w:val="00394CAD"/>
    <w:rsid w:val="00394F62"/>
    <w:rsid w:val="0039573D"/>
    <w:rsid w:val="00395F6B"/>
    <w:rsid w:val="00396022"/>
    <w:rsid w:val="00396066"/>
    <w:rsid w:val="00396304"/>
    <w:rsid w:val="00396744"/>
    <w:rsid w:val="00397604"/>
    <w:rsid w:val="003976C8"/>
    <w:rsid w:val="00397DF3"/>
    <w:rsid w:val="003A021B"/>
    <w:rsid w:val="003A02D8"/>
    <w:rsid w:val="003A07A9"/>
    <w:rsid w:val="003A0ECE"/>
    <w:rsid w:val="003A14C6"/>
    <w:rsid w:val="003A1FF7"/>
    <w:rsid w:val="003A2208"/>
    <w:rsid w:val="003A2398"/>
    <w:rsid w:val="003A23F3"/>
    <w:rsid w:val="003A3119"/>
    <w:rsid w:val="003A4461"/>
    <w:rsid w:val="003A503D"/>
    <w:rsid w:val="003A5162"/>
    <w:rsid w:val="003A5B75"/>
    <w:rsid w:val="003A5E2D"/>
    <w:rsid w:val="003A636B"/>
    <w:rsid w:val="003A6B3A"/>
    <w:rsid w:val="003A6C34"/>
    <w:rsid w:val="003A6CE8"/>
    <w:rsid w:val="003A6D43"/>
    <w:rsid w:val="003A720A"/>
    <w:rsid w:val="003A720F"/>
    <w:rsid w:val="003A72C5"/>
    <w:rsid w:val="003A7508"/>
    <w:rsid w:val="003A7A81"/>
    <w:rsid w:val="003A7C1F"/>
    <w:rsid w:val="003A7E2C"/>
    <w:rsid w:val="003B0138"/>
    <w:rsid w:val="003B0750"/>
    <w:rsid w:val="003B0B53"/>
    <w:rsid w:val="003B0FCA"/>
    <w:rsid w:val="003B1E08"/>
    <w:rsid w:val="003B1E71"/>
    <w:rsid w:val="003B284A"/>
    <w:rsid w:val="003B2A1B"/>
    <w:rsid w:val="003B2A87"/>
    <w:rsid w:val="003B37D3"/>
    <w:rsid w:val="003B37F8"/>
    <w:rsid w:val="003B3CC3"/>
    <w:rsid w:val="003B421E"/>
    <w:rsid w:val="003B451B"/>
    <w:rsid w:val="003B4831"/>
    <w:rsid w:val="003B4B5D"/>
    <w:rsid w:val="003B4CC8"/>
    <w:rsid w:val="003B5A2B"/>
    <w:rsid w:val="003B5B53"/>
    <w:rsid w:val="003B6A9F"/>
    <w:rsid w:val="003B6B35"/>
    <w:rsid w:val="003B78AA"/>
    <w:rsid w:val="003B7945"/>
    <w:rsid w:val="003B7D28"/>
    <w:rsid w:val="003C03EC"/>
    <w:rsid w:val="003C0BFC"/>
    <w:rsid w:val="003C0FF6"/>
    <w:rsid w:val="003C1272"/>
    <w:rsid w:val="003C139E"/>
    <w:rsid w:val="003C236A"/>
    <w:rsid w:val="003C23C7"/>
    <w:rsid w:val="003C25D8"/>
    <w:rsid w:val="003C2ADE"/>
    <w:rsid w:val="003C304A"/>
    <w:rsid w:val="003C30B2"/>
    <w:rsid w:val="003C3965"/>
    <w:rsid w:val="003C39EC"/>
    <w:rsid w:val="003C39FF"/>
    <w:rsid w:val="003C4C87"/>
    <w:rsid w:val="003C4E69"/>
    <w:rsid w:val="003C4F77"/>
    <w:rsid w:val="003C4F8F"/>
    <w:rsid w:val="003C6692"/>
    <w:rsid w:val="003C6CCC"/>
    <w:rsid w:val="003C7F73"/>
    <w:rsid w:val="003D1629"/>
    <w:rsid w:val="003D1642"/>
    <w:rsid w:val="003D1808"/>
    <w:rsid w:val="003D19DF"/>
    <w:rsid w:val="003D1A6E"/>
    <w:rsid w:val="003D1B12"/>
    <w:rsid w:val="003D2CD6"/>
    <w:rsid w:val="003D2D31"/>
    <w:rsid w:val="003D372D"/>
    <w:rsid w:val="003D3C99"/>
    <w:rsid w:val="003D3E65"/>
    <w:rsid w:val="003D4916"/>
    <w:rsid w:val="003D4F35"/>
    <w:rsid w:val="003D4F5C"/>
    <w:rsid w:val="003D53A7"/>
    <w:rsid w:val="003D56FC"/>
    <w:rsid w:val="003D5E0D"/>
    <w:rsid w:val="003D6215"/>
    <w:rsid w:val="003D6241"/>
    <w:rsid w:val="003D6B1C"/>
    <w:rsid w:val="003D71A7"/>
    <w:rsid w:val="003D745C"/>
    <w:rsid w:val="003D799D"/>
    <w:rsid w:val="003E0000"/>
    <w:rsid w:val="003E0480"/>
    <w:rsid w:val="003E0901"/>
    <w:rsid w:val="003E1395"/>
    <w:rsid w:val="003E1F32"/>
    <w:rsid w:val="003E1F65"/>
    <w:rsid w:val="003E204A"/>
    <w:rsid w:val="003E243E"/>
    <w:rsid w:val="003E260C"/>
    <w:rsid w:val="003E3BEB"/>
    <w:rsid w:val="003E3E7C"/>
    <w:rsid w:val="003E4010"/>
    <w:rsid w:val="003E4090"/>
    <w:rsid w:val="003E4404"/>
    <w:rsid w:val="003E491A"/>
    <w:rsid w:val="003E4A19"/>
    <w:rsid w:val="003E4DB4"/>
    <w:rsid w:val="003E4DCD"/>
    <w:rsid w:val="003E500D"/>
    <w:rsid w:val="003E5580"/>
    <w:rsid w:val="003E599B"/>
    <w:rsid w:val="003E5A85"/>
    <w:rsid w:val="003E6411"/>
    <w:rsid w:val="003E6851"/>
    <w:rsid w:val="003E6EF2"/>
    <w:rsid w:val="003E7486"/>
    <w:rsid w:val="003E75DB"/>
    <w:rsid w:val="003E75DE"/>
    <w:rsid w:val="003E7773"/>
    <w:rsid w:val="003E7820"/>
    <w:rsid w:val="003E7E92"/>
    <w:rsid w:val="003F02C7"/>
    <w:rsid w:val="003F0CC9"/>
    <w:rsid w:val="003F0EA7"/>
    <w:rsid w:val="003F109C"/>
    <w:rsid w:val="003F182F"/>
    <w:rsid w:val="003F197A"/>
    <w:rsid w:val="003F1C7A"/>
    <w:rsid w:val="003F1CE6"/>
    <w:rsid w:val="003F1FFA"/>
    <w:rsid w:val="003F21F8"/>
    <w:rsid w:val="003F2940"/>
    <w:rsid w:val="003F2D10"/>
    <w:rsid w:val="003F36B7"/>
    <w:rsid w:val="003F371D"/>
    <w:rsid w:val="003F38D9"/>
    <w:rsid w:val="003F496B"/>
    <w:rsid w:val="003F5356"/>
    <w:rsid w:val="003F57DA"/>
    <w:rsid w:val="003F5CBA"/>
    <w:rsid w:val="003F5D2C"/>
    <w:rsid w:val="003F74FA"/>
    <w:rsid w:val="003F7B85"/>
    <w:rsid w:val="004004E1"/>
    <w:rsid w:val="00401880"/>
    <w:rsid w:val="004018F0"/>
    <w:rsid w:val="00402770"/>
    <w:rsid w:val="004029BC"/>
    <w:rsid w:val="00402B76"/>
    <w:rsid w:val="004035E2"/>
    <w:rsid w:val="0040383F"/>
    <w:rsid w:val="004041A6"/>
    <w:rsid w:val="004041B4"/>
    <w:rsid w:val="00404378"/>
    <w:rsid w:val="004047CF"/>
    <w:rsid w:val="00404808"/>
    <w:rsid w:val="004056E9"/>
    <w:rsid w:val="004056F6"/>
    <w:rsid w:val="00405E7F"/>
    <w:rsid w:val="004060D0"/>
    <w:rsid w:val="00406C6B"/>
    <w:rsid w:val="00407C37"/>
    <w:rsid w:val="00407EEC"/>
    <w:rsid w:val="0041097F"/>
    <w:rsid w:val="00411933"/>
    <w:rsid w:val="00411A51"/>
    <w:rsid w:val="00412915"/>
    <w:rsid w:val="00412B8D"/>
    <w:rsid w:val="004131EA"/>
    <w:rsid w:val="00413771"/>
    <w:rsid w:val="00413904"/>
    <w:rsid w:val="0041391B"/>
    <w:rsid w:val="004142C1"/>
    <w:rsid w:val="00414591"/>
    <w:rsid w:val="00415893"/>
    <w:rsid w:val="00415E17"/>
    <w:rsid w:val="00416A48"/>
    <w:rsid w:val="00416AE5"/>
    <w:rsid w:val="00416F96"/>
    <w:rsid w:val="00417303"/>
    <w:rsid w:val="00417711"/>
    <w:rsid w:val="00420098"/>
    <w:rsid w:val="004202BD"/>
    <w:rsid w:val="0042126D"/>
    <w:rsid w:val="00421901"/>
    <w:rsid w:val="00421987"/>
    <w:rsid w:val="00421E48"/>
    <w:rsid w:val="004220D9"/>
    <w:rsid w:val="00422BAD"/>
    <w:rsid w:val="00422F94"/>
    <w:rsid w:val="004239B4"/>
    <w:rsid w:val="00423B6D"/>
    <w:rsid w:val="00423D44"/>
    <w:rsid w:val="00423D7D"/>
    <w:rsid w:val="0042440F"/>
    <w:rsid w:val="004245DF"/>
    <w:rsid w:val="004248BA"/>
    <w:rsid w:val="00424CC2"/>
    <w:rsid w:val="004252BF"/>
    <w:rsid w:val="00425367"/>
    <w:rsid w:val="004256DE"/>
    <w:rsid w:val="004261A3"/>
    <w:rsid w:val="00426588"/>
    <w:rsid w:val="00426936"/>
    <w:rsid w:val="004273C1"/>
    <w:rsid w:val="00427413"/>
    <w:rsid w:val="00427548"/>
    <w:rsid w:val="00430A52"/>
    <w:rsid w:val="004319C9"/>
    <w:rsid w:val="00431B2F"/>
    <w:rsid w:val="00431BC2"/>
    <w:rsid w:val="00431EF1"/>
    <w:rsid w:val="00431F94"/>
    <w:rsid w:val="00432843"/>
    <w:rsid w:val="00432B40"/>
    <w:rsid w:val="0043334E"/>
    <w:rsid w:val="004338C4"/>
    <w:rsid w:val="00433B92"/>
    <w:rsid w:val="00433DBB"/>
    <w:rsid w:val="0043406A"/>
    <w:rsid w:val="00434947"/>
    <w:rsid w:val="00434F74"/>
    <w:rsid w:val="00434FF1"/>
    <w:rsid w:val="0043502F"/>
    <w:rsid w:val="0043595D"/>
    <w:rsid w:val="0043598B"/>
    <w:rsid w:val="00435F85"/>
    <w:rsid w:val="0043602E"/>
    <w:rsid w:val="004360DE"/>
    <w:rsid w:val="004361CD"/>
    <w:rsid w:val="004367B3"/>
    <w:rsid w:val="00436A7D"/>
    <w:rsid w:val="00437D2B"/>
    <w:rsid w:val="00437DEF"/>
    <w:rsid w:val="00437EEA"/>
    <w:rsid w:val="0044047C"/>
    <w:rsid w:val="00440FBD"/>
    <w:rsid w:val="00441092"/>
    <w:rsid w:val="00441907"/>
    <w:rsid w:val="0044193D"/>
    <w:rsid w:val="004419A3"/>
    <w:rsid w:val="00441F48"/>
    <w:rsid w:val="00441F5C"/>
    <w:rsid w:val="0044295A"/>
    <w:rsid w:val="00443D42"/>
    <w:rsid w:val="0044471E"/>
    <w:rsid w:val="004449BF"/>
    <w:rsid w:val="00444B26"/>
    <w:rsid w:val="00444E8F"/>
    <w:rsid w:val="00444FC5"/>
    <w:rsid w:val="004454B8"/>
    <w:rsid w:val="0044576E"/>
    <w:rsid w:val="00445D4C"/>
    <w:rsid w:val="00445D4F"/>
    <w:rsid w:val="00445E81"/>
    <w:rsid w:val="0044669F"/>
    <w:rsid w:val="00446A12"/>
    <w:rsid w:val="00447BEC"/>
    <w:rsid w:val="004511C3"/>
    <w:rsid w:val="004511D7"/>
    <w:rsid w:val="00451378"/>
    <w:rsid w:val="004515CA"/>
    <w:rsid w:val="00451DC1"/>
    <w:rsid w:val="00452787"/>
    <w:rsid w:val="00452B77"/>
    <w:rsid w:val="004530A2"/>
    <w:rsid w:val="00453995"/>
    <w:rsid w:val="00453E80"/>
    <w:rsid w:val="00454061"/>
    <w:rsid w:val="004547EB"/>
    <w:rsid w:val="004548EE"/>
    <w:rsid w:val="00454D4D"/>
    <w:rsid w:val="004559B0"/>
    <w:rsid w:val="00455D72"/>
    <w:rsid w:val="004566D4"/>
    <w:rsid w:val="00456F87"/>
    <w:rsid w:val="004570B5"/>
    <w:rsid w:val="00457B8C"/>
    <w:rsid w:val="00457CD3"/>
    <w:rsid w:val="00457F69"/>
    <w:rsid w:val="00460A0E"/>
    <w:rsid w:val="00460DF7"/>
    <w:rsid w:val="0046104F"/>
    <w:rsid w:val="00461D8E"/>
    <w:rsid w:val="00462132"/>
    <w:rsid w:val="00462963"/>
    <w:rsid w:val="00462AEE"/>
    <w:rsid w:val="00462E96"/>
    <w:rsid w:val="004632B5"/>
    <w:rsid w:val="00463434"/>
    <w:rsid w:val="004637F9"/>
    <w:rsid w:val="00463B5A"/>
    <w:rsid w:val="00463B72"/>
    <w:rsid w:val="00463C1E"/>
    <w:rsid w:val="00464E2B"/>
    <w:rsid w:val="004655BF"/>
    <w:rsid w:val="00465674"/>
    <w:rsid w:val="00465814"/>
    <w:rsid w:val="0046591D"/>
    <w:rsid w:val="00465EE7"/>
    <w:rsid w:val="00466243"/>
    <w:rsid w:val="0046644F"/>
    <w:rsid w:val="00466781"/>
    <w:rsid w:val="004673B4"/>
    <w:rsid w:val="004678A2"/>
    <w:rsid w:val="00467F6D"/>
    <w:rsid w:val="004711FE"/>
    <w:rsid w:val="00471295"/>
    <w:rsid w:val="004713C3"/>
    <w:rsid w:val="00471F58"/>
    <w:rsid w:val="00472671"/>
    <w:rsid w:val="00472D9B"/>
    <w:rsid w:val="00473050"/>
    <w:rsid w:val="00473251"/>
    <w:rsid w:val="00473985"/>
    <w:rsid w:val="00473C70"/>
    <w:rsid w:val="00473DCC"/>
    <w:rsid w:val="00474188"/>
    <w:rsid w:val="00474877"/>
    <w:rsid w:val="00474D75"/>
    <w:rsid w:val="00474E51"/>
    <w:rsid w:val="0047541F"/>
    <w:rsid w:val="004754DF"/>
    <w:rsid w:val="004760A1"/>
    <w:rsid w:val="00476124"/>
    <w:rsid w:val="00476F06"/>
    <w:rsid w:val="00476FBF"/>
    <w:rsid w:val="00477873"/>
    <w:rsid w:val="0047789C"/>
    <w:rsid w:val="00477B09"/>
    <w:rsid w:val="004802C9"/>
    <w:rsid w:val="0048045A"/>
    <w:rsid w:val="00480BBC"/>
    <w:rsid w:val="00481345"/>
    <w:rsid w:val="004814A1"/>
    <w:rsid w:val="00481596"/>
    <w:rsid w:val="004815D2"/>
    <w:rsid w:val="00481C2F"/>
    <w:rsid w:val="00482747"/>
    <w:rsid w:val="00482763"/>
    <w:rsid w:val="00482CD8"/>
    <w:rsid w:val="004840ED"/>
    <w:rsid w:val="00484130"/>
    <w:rsid w:val="00485094"/>
    <w:rsid w:val="00485301"/>
    <w:rsid w:val="004853D4"/>
    <w:rsid w:val="00485654"/>
    <w:rsid w:val="00485DE5"/>
    <w:rsid w:val="004866B5"/>
    <w:rsid w:val="00486B59"/>
    <w:rsid w:val="00486BAE"/>
    <w:rsid w:val="00486FC1"/>
    <w:rsid w:val="00487DF5"/>
    <w:rsid w:val="00487FC6"/>
    <w:rsid w:val="0049027B"/>
    <w:rsid w:val="0049039A"/>
    <w:rsid w:val="00490CCD"/>
    <w:rsid w:val="00491133"/>
    <w:rsid w:val="00491259"/>
    <w:rsid w:val="00491C4F"/>
    <w:rsid w:val="00491D19"/>
    <w:rsid w:val="00491E96"/>
    <w:rsid w:val="00491F07"/>
    <w:rsid w:val="00492065"/>
    <w:rsid w:val="00492236"/>
    <w:rsid w:val="00492396"/>
    <w:rsid w:val="0049287E"/>
    <w:rsid w:val="004928B0"/>
    <w:rsid w:val="00492CE5"/>
    <w:rsid w:val="00493506"/>
    <w:rsid w:val="00493766"/>
    <w:rsid w:val="0049383C"/>
    <w:rsid w:val="00493BBA"/>
    <w:rsid w:val="00493E50"/>
    <w:rsid w:val="004941C9"/>
    <w:rsid w:val="004948B7"/>
    <w:rsid w:val="00494D88"/>
    <w:rsid w:val="004957DF"/>
    <w:rsid w:val="00495CEB"/>
    <w:rsid w:val="00496719"/>
    <w:rsid w:val="00496B3C"/>
    <w:rsid w:val="00496FA2"/>
    <w:rsid w:val="0049747A"/>
    <w:rsid w:val="004979E4"/>
    <w:rsid w:val="00497B3E"/>
    <w:rsid w:val="00497EBB"/>
    <w:rsid w:val="004A0260"/>
    <w:rsid w:val="004A02C2"/>
    <w:rsid w:val="004A09CC"/>
    <w:rsid w:val="004A0ECB"/>
    <w:rsid w:val="004A0F1B"/>
    <w:rsid w:val="004A1505"/>
    <w:rsid w:val="004A1DA9"/>
    <w:rsid w:val="004A1DEF"/>
    <w:rsid w:val="004A26E6"/>
    <w:rsid w:val="004A26EC"/>
    <w:rsid w:val="004A2D9F"/>
    <w:rsid w:val="004A2F62"/>
    <w:rsid w:val="004A334E"/>
    <w:rsid w:val="004A3C3B"/>
    <w:rsid w:val="004A4A2A"/>
    <w:rsid w:val="004A4AD0"/>
    <w:rsid w:val="004A4DEB"/>
    <w:rsid w:val="004A5089"/>
    <w:rsid w:val="004A55EF"/>
    <w:rsid w:val="004A5785"/>
    <w:rsid w:val="004A5D4C"/>
    <w:rsid w:val="004A621D"/>
    <w:rsid w:val="004A6535"/>
    <w:rsid w:val="004A66A0"/>
    <w:rsid w:val="004A6946"/>
    <w:rsid w:val="004A6BB0"/>
    <w:rsid w:val="004A6C79"/>
    <w:rsid w:val="004A6EE7"/>
    <w:rsid w:val="004A7C9F"/>
    <w:rsid w:val="004B0259"/>
    <w:rsid w:val="004B0DFA"/>
    <w:rsid w:val="004B0E74"/>
    <w:rsid w:val="004B0F10"/>
    <w:rsid w:val="004B12A7"/>
    <w:rsid w:val="004B17A5"/>
    <w:rsid w:val="004B18D7"/>
    <w:rsid w:val="004B1A45"/>
    <w:rsid w:val="004B1CE1"/>
    <w:rsid w:val="004B1F59"/>
    <w:rsid w:val="004B2E98"/>
    <w:rsid w:val="004B3324"/>
    <w:rsid w:val="004B3B64"/>
    <w:rsid w:val="004B3D0E"/>
    <w:rsid w:val="004B3E06"/>
    <w:rsid w:val="004B442C"/>
    <w:rsid w:val="004B4653"/>
    <w:rsid w:val="004B47C8"/>
    <w:rsid w:val="004B51B0"/>
    <w:rsid w:val="004B5BCB"/>
    <w:rsid w:val="004B5F31"/>
    <w:rsid w:val="004B6442"/>
    <w:rsid w:val="004B656D"/>
    <w:rsid w:val="004B7BA1"/>
    <w:rsid w:val="004C02B1"/>
    <w:rsid w:val="004C02DC"/>
    <w:rsid w:val="004C1028"/>
    <w:rsid w:val="004C1199"/>
    <w:rsid w:val="004C11B2"/>
    <w:rsid w:val="004C130D"/>
    <w:rsid w:val="004C1669"/>
    <w:rsid w:val="004C19B5"/>
    <w:rsid w:val="004C1EED"/>
    <w:rsid w:val="004C1F19"/>
    <w:rsid w:val="004C1FDC"/>
    <w:rsid w:val="004C24EB"/>
    <w:rsid w:val="004C259C"/>
    <w:rsid w:val="004C3694"/>
    <w:rsid w:val="004C40AD"/>
    <w:rsid w:val="004C40D1"/>
    <w:rsid w:val="004C426E"/>
    <w:rsid w:val="004C43D6"/>
    <w:rsid w:val="004C4A09"/>
    <w:rsid w:val="004C4F74"/>
    <w:rsid w:val="004C51DB"/>
    <w:rsid w:val="004C55F0"/>
    <w:rsid w:val="004C56C5"/>
    <w:rsid w:val="004C59D2"/>
    <w:rsid w:val="004C5B6F"/>
    <w:rsid w:val="004C6DE6"/>
    <w:rsid w:val="004C6F3F"/>
    <w:rsid w:val="004C7204"/>
    <w:rsid w:val="004C72E8"/>
    <w:rsid w:val="004C753A"/>
    <w:rsid w:val="004C7799"/>
    <w:rsid w:val="004C780A"/>
    <w:rsid w:val="004C789E"/>
    <w:rsid w:val="004C7F5F"/>
    <w:rsid w:val="004D03AA"/>
    <w:rsid w:val="004D066A"/>
    <w:rsid w:val="004D09FE"/>
    <w:rsid w:val="004D0C6C"/>
    <w:rsid w:val="004D2276"/>
    <w:rsid w:val="004D29AE"/>
    <w:rsid w:val="004D2E30"/>
    <w:rsid w:val="004D3EB3"/>
    <w:rsid w:val="004D406E"/>
    <w:rsid w:val="004D4584"/>
    <w:rsid w:val="004D4A72"/>
    <w:rsid w:val="004D4BF0"/>
    <w:rsid w:val="004D4D29"/>
    <w:rsid w:val="004D4D62"/>
    <w:rsid w:val="004D5490"/>
    <w:rsid w:val="004D59B9"/>
    <w:rsid w:val="004D5AD8"/>
    <w:rsid w:val="004D5F0F"/>
    <w:rsid w:val="004D5F52"/>
    <w:rsid w:val="004D6266"/>
    <w:rsid w:val="004D7616"/>
    <w:rsid w:val="004E0BF0"/>
    <w:rsid w:val="004E22EE"/>
    <w:rsid w:val="004E2FD4"/>
    <w:rsid w:val="004E30E2"/>
    <w:rsid w:val="004E320E"/>
    <w:rsid w:val="004E3375"/>
    <w:rsid w:val="004E34C8"/>
    <w:rsid w:val="004E37AD"/>
    <w:rsid w:val="004E3C37"/>
    <w:rsid w:val="004E3E33"/>
    <w:rsid w:val="004E48BB"/>
    <w:rsid w:val="004E508E"/>
    <w:rsid w:val="004E51F0"/>
    <w:rsid w:val="004E607C"/>
    <w:rsid w:val="004E6405"/>
    <w:rsid w:val="004E6955"/>
    <w:rsid w:val="004E6DEE"/>
    <w:rsid w:val="004E70BF"/>
    <w:rsid w:val="004E7168"/>
    <w:rsid w:val="004E73DB"/>
    <w:rsid w:val="004E7528"/>
    <w:rsid w:val="004F0028"/>
    <w:rsid w:val="004F09E0"/>
    <w:rsid w:val="004F0B76"/>
    <w:rsid w:val="004F166F"/>
    <w:rsid w:val="004F1764"/>
    <w:rsid w:val="004F197D"/>
    <w:rsid w:val="004F1CBE"/>
    <w:rsid w:val="004F2002"/>
    <w:rsid w:val="004F2165"/>
    <w:rsid w:val="004F3BD6"/>
    <w:rsid w:val="004F4D40"/>
    <w:rsid w:val="004F4E26"/>
    <w:rsid w:val="004F55DC"/>
    <w:rsid w:val="004F5832"/>
    <w:rsid w:val="004F5C33"/>
    <w:rsid w:val="004F5E9A"/>
    <w:rsid w:val="004F5F3F"/>
    <w:rsid w:val="005008C2"/>
    <w:rsid w:val="00500BBE"/>
    <w:rsid w:val="00501400"/>
    <w:rsid w:val="00502174"/>
    <w:rsid w:val="005021F5"/>
    <w:rsid w:val="00502368"/>
    <w:rsid w:val="00503453"/>
    <w:rsid w:val="00503518"/>
    <w:rsid w:val="00503607"/>
    <w:rsid w:val="00503D04"/>
    <w:rsid w:val="00504865"/>
    <w:rsid w:val="00504C48"/>
    <w:rsid w:val="005052F8"/>
    <w:rsid w:val="0050548F"/>
    <w:rsid w:val="0050592D"/>
    <w:rsid w:val="00505A02"/>
    <w:rsid w:val="00505F3F"/>
    <w:rsid w:val="00505FB0"/>
    <w:rsid w:val="005060C7"/>
    <w:rsid w:val="0050675F"/>
    <w:rsid w:val="005067B2"/>
    <w:rsid w:val="00506B44"/>
    <w:rsid w:val="00507074"/>
    <w:rsid w:val="005072D9"/>
    <w:rsid w:val="0050755B"/>
    <w:rsid w:val="00507AB6"/>
    <w:rsid w:val="005108E7"/>
    <w:rsid w:val="005112E8"/>
    <w:rsid w:val="0051224D"/>
    <w:rsid w:val="005128DE"/>
    <w:rsid w:val="00512DF2"/>
    <w:rsid w:val="0051311D"/>
    <w:rsid w:val="00513392"/>
    <w:rsid w:val="00513788"/>
    <w:rsid w:val="00513DBA"/>
    <w:rsid w:val="00515041"/>
    <w:rsid w:val="00516030"/>
    <w:rsid w:val="0051611B"/>
    <w:rsid w:val="00516383"/>
    <w:rsid w:val="005165F0"/>
    <w:rsid w:val="0051792B"/>
    <w:rsid w:val="00517C3D"/>
    <w:rsid w:val="00517E76"/>
    <w:rsid w:val="0052000C"/>
    <w:rsid w:val="00520BB8"/>
    <w:rsid w:val="00520D15"/>
    <w:rsid w:val="00520F44"/>
    <w:rsid w:val="0052125D"/>
    <w:rsid w:val="0052142B"/>
    <w:rsid w:val="005219EC"/>
    <w:rsid w:val="00521A40"/>
    <w:rsid w:val="005221E9"/>
    <w:rsid w:val="00522A61"/>
    <w:rsid w:val="005235C9"/>
    <w:rsid w:val="005247A8"/>
    <w:rsid w:val="00524D83"/>
    <w:rsid w:val="00525390"/>
    <w:rsid w:val="00525C1B"/>
    <w:rsid w:val="00525E51"/>
    <w:rsid w:val="005263D3"/>
    <w:rsid w:val="00526D9A"/>
    <w:rsid w:val="00527001"/>
    <w:rsid w:val="0052764A"/>
    <w:rsid w:val="0053007B"/>
    <w:rsid w:val="00530402"/>
    <w:rsid w:val="00531ADE"/>
    <w:rsid w:val="0053204D"/>
    <w:rsid w:val="00532AA4"/>
    <w:rsid w:val="00532CE3"/>
    <w:rsid w:val="00532EA5"/>
    <w:rsid w:val="00533252"/>
    <w:rsid w:val="00533393"/>
    <w:rsid w:val="005334B6"/>
    <w:rsid w:val="0053364C"/>
    <w:rsid w:val="00533E25"/>
    <w:rsid w:val="005342CE"/>
    <w:rsid w:val="00534B03"/>
    <w:rsid w:val="005351D1"/>
    <w:rsid w:val="00535A95"/>
    <w:rsid w:val="00535BB9"/>
    <w:rsid w:val="00536024"/>
    <w:rsid w:val="00536C36"/>
    <w:rsid w:val="00536CCB"/>
    <w:rsid w:val="00536F23"/>
    <w:rsid w:val="00537123"/>
    <w:rsid w:val="0053735A"/>
    <w:rsid w:val="00537534"/>
    <w:rsid w:val="00537EFE"/>
    <w:rsid w:val="005405DF"/>
    <w:rsid w:val="00540924"/>
    <w:rsid w:val="0054192C"/>
    <w:rsid w:val="0054229E"/>
    <w:rsid w:val="0054245F"/>
    <w:rsid w:val="00542E8A"/>
    <w:rsid w:val="00542F26"/>
    <w:rsid w:val="00543122"/>
    <w:rsid w:val="0054332B"/>
    <w:rsid w:val="00543B39"/>
    <w:rsid w:val="00543DE9"/>
    <w:rsid w:val="00543F38"/>
    <w:rsid w:val="0054410D"/>
    <w:rsid w:val="00545177"/>
    <w:rsid w:val="0054522E"/>
    <w:rsid w:val="005453D6"/>
    <w:rsid w:val="00545526"/>
    <w:rsid w:val="00545687"/>
    <w:rsid w:val="00545AE1"/>
    <w:rsid w:val="00545F71"/>
    <w:rsid w:val="00546452"/>
    <w:rsid w:val="00547027"/>
    <w:rsid w:val="005472A2"/>
    <w:rsid w:val="00547999"/>
    <w:rsid w:val="00547DB5"/>
    <w:rsid w:val="00550811"/>
    <w:rsid w:val="005508B0"/>
    <w:rsid w:val="00550C22"/>
    <w:rsid w:val="005512BC"/>
    <w:rsid w:val="00551376"/>
    <w:rsid w:val="00551412"/>
    <w:rsid w:val="005520A1"/>
    <w:rsid w:val="0055277A"/>
    <w:rsid w:val="0055355A"/>
    <w:rsid w:val="00554401"/>
    <w:rsid w:val="005546A0"/>
    <w:rsid w:val="005547A4"/>
    <w:rsid w:val="00554949"/>
    <w:rsid w:val="005549DF"/>
    <w:rsid w:val="00555500"/>
    <w:rsid w:val="00556143"/>
    <w:rsid w:val="00556F33"/>
    <w:rsid w:val="0055723E"/>
    <w:rsid w:val="005572C7"/>
    <w:rsid w:val="0055773E"/>
    <w:rsid w:val="005578A1"/>
    <w:rsid w:val="005578B2"/>
    <w:rsid w:val="00560417"/>
    <w:rsid w:val="00560612"/>
    <w:rsid w:val="0056091B"/>
    <w:rsid w:val="00560F0C"/>
    <w:rsid w:val="0056139E"/>
    <w:rsid w:val="0056159B"/>
    <w:rsid w:val="00561775"/>
    <w:rsid w:val="00561A0A"/>
    <w:rsid w:val="00561B7E"/>
    <w:rsid w:val="00562005"/>
    <w:rsid w:val="00562101"/>
    <w:rsid w:val="0056221C"/>
    <w:rsid w:val="00563446"/>
    <w:rsid w:val="005634FD"/>
    <w:rsid w:val="00563D94"/>
    <w:rsid w:val="00564014"/>
    <w:rsid w:val="005641C1"/>
    <w:rsid w:val="005642BD"/>
    <w:rsid w:val="00564364"/>
    <w:rsid w:val="0056557F"/>
    <w:rsid w:val="005657F9"/>
    <w:rsid w:val="005661E7"/>
    <w:rsid w:val="005663A8"/>
    <w:rsid w:val="0056678A"/>
    <w:rsid w:val="00566BEE"/>
    <w:rsid w:val="00566C84"/>
    <w:rsid w:val="00567427"/>
    <w:rsid w:val="00567F73"/>
    <w:rsid w:val="0057005F"/>
    <w:rsid w:val="005701DB"/>
    <w:rsid w:val="00571483"/>
    <w:rsid w:val="005715F6"/>
    <w:rsid w:val="00571CF1"/>
    <w:rsid w:val="00572549"/>
    <w:rsid w:val="005725BB"/>
    <w:rsid w:val="00572F52"/>
    <w:rsid w:val="00573036"/>
    <w:rsid w:val="0057330A"/>
    <w:rsid w:val="00573B87"/>
    <w:rsid w:val="00574E44"/>
    <w:rsid w:val="0057518D"/>
    <w:rsid w:val="00575A76"/>
    <w:rsid w:val="00575B42"/>
    <w:rsid w:val="00576E86"/>
    <w:rsid w:val="00576EC2"/>
    <w:rsid w:val="00576ED2"/>
    <w:rsid w:val="00577413"/>
    <w:rsid w:val="00577E5C"/>
    <w:rsid w:val="005801A0"/>
    <w:rsid w:val="005812CD"/>
    <w:rsid w:val="00581325"/>
    <w:rsid w:val="00581511"/>
    <w:rsid w:val="00581DF6"/>
    <w:rsid w:val="00582658"/>
    <w:rsid w:val="005826C1"/>
    <w:rsid w:val="00582D45"/>
    <w:rsid w:val="00583748"/>
    <w:rsid w:val="0058388C"/>
    <w:rsid w:val="00584708"/>
    <w:rsid w:val="005848DA"/>
    <w:rsid w:val="00584DF6"/>
    <w:rsid w:val="00584E23"/>
    <w:rsid w:val="0058541C"/>
    <w:rsid w:val="005857C4"/>
    <w:rsid w:val="005858D1"/>
    <w:rsid w:val="005858EF"/>
    <w:rsid w:val="005859CF"/>
    <w:rsid w:val="00585A11"/>
    <w:rsid w:val="00585F51"/>
    <w:rsid w:val="0058641C"/>
    <w:rsid w:val="00586884"/>
    <w:rsid w:val="00586904"/>
    <w:rsid w:val="00586D60"/>
    <w:rsid w:val="00587070"/>
    <w:rsid w:val="00587588"/>
    <w:rsid w:val="005875B8"/>
    <w:rsid w:val="005875ED"/>
    <w:rsid w:val="005877CC"/>
    <w:rsid w:val="0059055F"/>
    <w:rsid w:val="00590B64"/>
    <w:rsid w:val="00590F05"/>
    <w:rsid w:val="005910C1"/>
    <w:rsid w:val="00591564"/>
    <w:rsid w:val="0059276B"/>
    <w:rsid w:val="00592B72"/>
    <w:rsid w:val="00593ED4"/>
    <w:rsid w:val="005946A0"/>
    <w:rsid w:val="0059492B"/>
    <w:rsid w:val="005949B6"/>
    <w:rsid w:val="00595A93"/>
    <w:rsid w:val="00595B30"/>
    <w:rsid w:val="00595B47"/>
    <w:rsid w:val="0059619D"/>
    <w:rsid w:val="00596B06"/>
    <w:rsid w:val="00596DA9"/>
    <w:rsid w:val="005977FA"/>
    <w:rsid w:val="00597A68"/>
    <w:rsid w:val="00597CAC"/>
    <w:rsid w:val="00597F9F"/>
    <w:rsid w:val="005A0514"/>
    <w:rsid w:val="005A1624"/>
    <w:rsid w:val="005A1F92"/>
    <w:rsid w:val="005A2517"/>
    <w:rsid w:val="005A31EA"/>
    <w:rsid w:val="005A3F74"/>
    <w:rsid w:val="005A3FBC"/>
    <w:rsid w:val="005A40C6"/>
    <w:rsid w:val="005A46E4"/>
    <w:rsid w:val="005A4BE3"/>
    <w:rsid w:val="005A538E"/>
    <w:rsid w:val="005A5B11"/>
    <w:rsid w:val="005A63C1"/>
    <w:rsid w:val="005A668C"/>
    <w:rsid w:val="005A6E82"/>
    <w:rsid w:val="005A78FE"/>
    <w:rsid w:val="005A7B8C"/>
    <w:rsid w:val="005A7C22"/>
    <w:rsid w:val="005A7D16"/>
    <w:rsid w:val="005A7E6A"/>
    <w:rsid w:val="005B02A6"/>
    <w:rsid w:val="005B038C"/>
    <w:rsid w:val="005B04C8"/>
    <w:rsid w:val="005B058C"/>
    <w:rsid w:val="005B066E"/>
    <w:rsid w:val="005B08B7"/>
    <w:rsid w:val="005B0A81"/>
    <w:rsid w:val="005B0FC8"/>
    <w:rsid w:val="005B103D"/>
    <w:rsid w:val="005B1194"/>
    <w:rsid w:val="005B12A7"/>
    <w:rsid w:val="005B145B"/>
    <w:rsid w:val="005B1607"/>
    <w:rsid w:val="005B1D83"/>
    <w:rsid w:val="005B1F34"/>
    <w:rsid w:val="005B1F92"/>
    <w:rsid w:val="005B1FF2"/>
    <w:rsid w:val="005B2312"/>
    <w:rsid w:val="005B2A7D"/>
    <w:rsid w:val="005B2F7E"/>
    <w:rsid w:val="005B32EE"/>
    <w:rsid w:val="005B34F2"/>
    <w:rsid w:val="005B3A77"/>
    <w:rsid w:val="005B4271"/>
    <w:rsid w:val="005B5816"/>
    <w:rsid w:val="005B6611"/>
    <w:rsid w:val="005B73FB"/>
    <w:rsid w:val="005B766F"/>
    <w:rsid w:val="005B7DC4"/>
    <w:rsid w:val="005C0168"/>
    <w:rsid w:val="005C05EC"/>
    <w:rsid w:val="005C0FF2"/>
    <w:rsid w:val="005C10AA"/>
    <w:rsid w:val="005C17ED"/>
    <w:rsid w:val="005C19BA"/>
    <w:rsid w:val="005C1AA0"/>
    <w:rsid w:val="005C2590"/>
    <w:rsid w:val="005C33A6"/>
    <w:rsid w:val="005C38FD"/>
    <w:rsid w:val="005C3A30"/>
    <w:rsid w:val="005C3A40"/>
    <w:rsid w:val="005C3E4C"/>
    <w:rsid w:val="005C4E9E"/>
    <w:rsid w:val="005C4F4D"/>
    <w:rsid w:val="005C557B"/>
    <w:rsid w:val="005C55C8"/>
    <w:rsid w:val="005C5BE5"/>
    <w:rsid w:val="005C7353"/>
    <w:rsid w:val="005C7479"/>
    <w:rsid w:val="005C7496"/>
    <w:rsid w:val="005C780F"/>
    <w:rsid w:val="005C7B5D"/>
    <w:rsid w:val="005D0057"/>
    <w:rsid w:val="005D0E06"/>
    <w:rsid w:val="005D0F0E"/>
    <w:rsid w:val="005D137C"/>
    <w:rsid w:val="005D1B4F"/>
    <w:rsid w:val="005D1D2D"/>
    <w:rsid w:val="005D2035"/>
    <w:rsid w:val="005D2619"/>
    <w:rsid w:val="005D2A20"/>
    <w:rsid w:val="005D3539"/>
    <w:rsid w:val="005D3736"/>
    <w:rsid w:val="005D4BAF"/>
    <w:rsid w:val="005D4F37"/>
    <w:rsid w:val="005D5313"/>
    <w:rsid w:val="005D5604"/>
    <w:rsid w:val="005D59A4"/>
    <w:rsid w:val="005D5D7B"/>
    <w:rsid w:val="005D5F8D"/>
    <w:rsid w:val="005D5FAC"/>
    <w:rsid w:val="005D619B"/>
    <w:rsid w:val="005D66EB"/>
    <w:rsid w:val="005D69EA"/>
    <w:rsid w:val="005D6C1D"/>
    <w:rsid w:val="005D6D8F"/>
    <w:rsid w:val="005D6F33"/>
    <w:rsid w:val="005D7321"/>
    <w:rsid w:val="005D796B"/>
    <w:rsid w:val="005D7C4C"/>
    <w:rsid w:val="005E0439"/>
    <w:rsid w:val="005E1233"/>
    <w:rsid w:val="005E1B90"/>
    <w:rsid w:val="005E2095"/>
    <w:rsid w:val="005E2559"/>
    <w:rsid w:val="005E258C"/>
    <w:rsid w:val="005E2986"/>
    <w:rsid w:val="005E2ED6"/>
    <w:rsid w:val="005E3090"/>
    <w:rsid w:val="005E331B"/>
    <w:rsid w:val="005E34AB"/>
    <w:rsid w:val="005E3579"/>
    <w:rsid w:val="005E38D6"/>
    <w:rsid w:val="005E4312"/>
    <w:rsid w:val="005E45D5"/>
    <w:rsid w:val="005E4AC1"/>
    <w:rsid w:val="005E5180"/>
    <w:rsid w:val="005E5792"/>
    <w:rsid w:val="005E5EEF"/>
    <w:rsid w:val="005E63A3"/>
    <w:rsid w:val="005E63D5"/>
    <w:rsid w:val="005E68BC"/>
    <w:rsid w:val="005E6ABC"/>
    <w:rsid w:val="005E77BF"/>
    <w:rsid w:val="005E77F0"/>
    <w:rsid w:val="005E7E3D"/>
    <w:rsid w:val="005F0C27"/>
    <w:rsid w:val="005F19F3"/>
    <w:rsid w:val="005F26C1"/>
    <w:rsid w:val="005F2753"/>
    <w:rsid w:val="005F2FB7"/>
    <w:rsid w:val="005F33BD"/>
    <w:rsid w:val="005F3B98"/>
    <w:rsid w:val="005F3C00"/>
    <w:rsid w:val="005F42FD"/>
    <w:rsid w:val="005F43CB"/>
    <w:rsid w:val="005F4BA4"/>
    <w:rsid w:val="005F50C3"/>
    <w:rsid w:val="005F54C0"/>
    <w:rsid w:val="005F55A0"/>
    <w:rsid w:val="005F5866"/>
    <w:rsid w:val="005F5BAE"/>
    <w:rsid w:val="005F5FD2"/>
    <w:rsid w:val="005F610E"/>
    <w:rsid w:val="005F61AA"/>
    <w:rsid w:val="005F68AB"/>
    <w:rsid w:val="005F6D9B"/>
    <w:rsid w:val="005F6DAE"/>
    <w:rsid w:val="005F6DF6"/>
    <w:rsid w:val="005F6FAE"/>
    <w:rsid w:val="005F7EAB"/>
    <w:rsid w:val="00600653"/>
    <w:rsid w:val="00601BB9"/>
    <w:rsid w:val="006024BE"/>
    <w:rsid w:val="0060286F"/>
    <w:rsid w:val="0060290F"/>
    <w:rsid w:val="00602EF2"/>
    <w:rsid w:val="00602FF6"/>
    <w:rsid w:val="006039C8"/>
    <w:rsid w:val="00603CF9"/>
    <w:rsid w:val="006043BF"/>
    <w:rsid w:val="00604B0A"/>
    <w:rsid w:val="00604B24"/>
    <w:rsid w:val="00605932"/>
    <w:rsid w:val="006059F3"/>
    <w:rsid w:val="00605A1B"/>
    <w:rsid w:val="00605A1F"/>
    <w:rsid w:val="00605A5D"/>
    <w:rsid w:val="00605A87"/>
    <w:rsid w:val="00607202"/>
    <w:rsid w:val="0060766F"/>
    <w:rsid w:val="00610BE7"/>
    <w:rsid w:val="00611543"/>
    <w:rsid w:val="00611D5F"/>
    <w:rsid w:val="00611D6A"/>
    <w:rsid w:val="00611F00"/>
    <w:rsid w:val="00612593"/>
    <w:rsid w:val="006128BC"/>
    <w:rsid w:val="006128F2"/>
    <w:rsid w:val="00612CE3"/>
    <w:rsid w:val="00612D89"/>
    <w:rsid w:val="0061318A"/>
    <w:rsid w:val="00613357"/>
    <w:rsid w:val="00613540"/>
    <w:rsid w:val="0061354A"/>
    <w:rsid w:val="00613672"/>
    <w:rsid w:val="006136EA"/>
    <w:rsid w:val="00613AC4"/>
    <w:rsid w:val="00613D9C"/>
    <w:rsid w:val="00613F21"/>
    <w:rsid w:val="006142CD"/>
    <w:rsid w:val="0061438B"/>
    <w:rsid w:val="0061447C"/>
    <w:rsid w:val="0061457B"/>
    <w:rsid w:val="006148E4"/>
    <w:rsid w:val="00615195"/>
    <w:rsid w:val="006154EF"/>
    <w:rsid w:val="00615757"/>
    <w:rsid w:val="00615965"/>
    <w:rsid w:val="00615B2F"/>
    <w:rsid w:val="006167C5"/>
    <w:rsid w:val="00616EA9"/>
    <w:rsid w:val="0061769E"/>
    <w:rsid w:val="00617823"/>
    <w:rsid w:val="006179DC"/>
    <w:rsid w:val="00617E31"/>
    <w:rsid w:val="00620167"/>
    <w:rsid w:val="006208E2"/>
    <w:rsid w:val="00620B75"/>
    <w:rsid w:val="00620BB9"/>
    <w:rsid w:val="006214F0"/>
    <w:rsid w:val="00621814"/>
    <w:rsid w:val="006219C6"/>
    <w:rsid w:val="00621E39"/>
    <w:rsid w:val="00621ED0"/>
    <w:rsid w:val="00622C8E"/>
    <w:rsid w:val="00622E9A"/>
    <w:rsid w:val="00622FC9"/>
    <w:rsid w:val="0062362A"/>
    <w:rsid w:val="006237A7"/>
    <w:rsid w:val="00623864"/>
    <w:rsid w:val="00623AEE"/>
    <w:rsid w:val="006242EF"/>
    <w:rsid w:val="006243E3"/>
    <w:rsid w:val="0062444C"/>
    <w:rsid w:val="00624C17"/>
    <w:rsid w:val="00624C69"/>
    <w:rsid w:val="00625039"/>
    <w:rsid w:val="006264AB"/>
    <w:rsid w:val="00626B92"/>
    <w:rsid w:val="00626C5F"/>
    <w:rsid w:val="00626F2A"/>
    <w:rsid w:val="00627034"/>
    <w:rsid w:val="00627493"/>
    <w:rsid w:val="00627564"/>
    <w:rsid w:val="0062774B"/>
    <w:rsid w:val="00627F12"/>
    <w:rsid w:val="00630027"/>
    <w:rsid w:val="006305BA"/>
    <w:rsid w:val="006305CA"/>
    <w:rsid w:val="00630C07"/>
    <w:rsid w:val="00630C16"/>
    <w:rsid w:val="00630C34"/>
    <w:rsid w:val="0063118B"/>
    <w:rsid w:val="006313FD"/>
    <w:rsid w:val="00631796"/>
    <w:rsid w:val="00633382"/>
    <w:rsid w:val="00633570"/>
    <w:rsid w:val="00634434"/>
    <w:rsid w:val="0063513B"/>
    <w:rsid w:val="00635365"/>
    <w:rsid w:val="0063538D"/>
    <w:rsid w:val="00635661"/>
    <w:rsid w:val="0063576D"/>
    <w:rsid w:val="00635B59"/>
    <w:rsid w:val="006361AB"/>
    <w:rsid w:val="006369D8"/>
    <w:rsid w:val="00636AAB"/>
    <w:rsid w:val="00636EF6"/>
    <w:rsid w:val="00636FA9"/>
    <w:rsid w:val="0063748C"/>
    <w:rsid w:val="00637F05"/>
    <w:rsid w:val="006406EB"/>
    <w:rsid w:val="00640A14"/>
    <w:rsid w:val="00641D5A"/>
    <w:rsid w:val="006420B4"/>
    <w:rsid w:val="006428ED"/>
    <w:rsid w:val="00642BDD"/>
    <w:rsid w:val="00642EA7"/>
    <w:rsid w:val="006431D6"/>
    <w:rsid w:val="0064329B"/>
    <w:rsid w:val="00643B4E"/>
    <w:rsid w:val="00643B61"/>
    <w:rsid w:val="006445BF"/>
    <w:rsid w:val="00644870"/>
    <w:rsid w:val="00644E58"/>
    <w:rsid w:val="00644F7E"/>
    <w:rsid w:val="006450B2"/>
    <w:rsid w:val="00645C37"/>
    <w:rsid w:val="0064627F"/>
    <w:rsid w:val="00646A32"/>
    <w:rsid w:val="00646A63"/>
    <w:rsid w:val="00647972"/>
    <w:rsid w:val="00647D81"/>
    <w:rsid w:val="00650C23"/>
    <w:rsid w:val="00651723"/>
    <w:rsid w:val="00651D19"/>
    <w:rsid w:val="0065219A"/>
    <w:rsid w:val="006521DE"/>
    <w:rsid w:val="0065297F"/>
    <w:rsid w:val="00652D63"/>
    <w:rsid w:val="00652FAA"/>
    <w:rsid w:val="006531DF"/>
    <w:rsid w:val="0065336F"/>
    <w:rsid w:val="00653788"/>
    <w:rsid w:val="00653857"/>
    <w:rsid w:val="00653EF4"/>
    <w:rsid w:val="006542D3"/>
    <w:rsid w:val="006542D4"/>
    <w:rsid w:val="0065480D"/>
    <w:rsid w:val="006554E8"/>
    <w:rsid w:val="0065566E"/>
    <w:rsid w:val="00655942"/>
    <w:rsid w:val="00656967"/>
    <w:rsid w:val="006570AE"/>
    <w:rsid w:val="00657624"/>
    <w:rsid w:val="00657B44"/>
    <w:rsid w:val="00657C91"/>
    <w:rsid w:val="006601EF"/>
    <w:rsid w:val="00660AF8"/>
    <w:rsid w:val="00661D8E"/>
    <w:rsid w:val="0066290A"/>
    <w:rsid w:val="006629C7"/>
    <w:rsid w:val="00662AD0"/>
    <w:rsid w:val="00662D0D"/>
    <w:rsid w:val="00662DA3"/>
    <w:rsid w:val="00662DFC"/>
    <w:rsid w:val="00663160"/>
    <w:rsid w:val="0066318D"/>
    <w:rsid w:val="006632BC"/>
    <w:rsid w:val="006632EA"/>
    <w:rsid w:val="00663439"/>
    <w:rsid w:val="006638CA"/>
    <w:rsid w:val="00663B5A"/>
    <w:rsid w:val="00663BD7"/>
    <w:rsid w:val="00664A18"/>
    <w:rsid w:val="00664E29"/>
    <w:rsid w:val="00665048"/>
    <w:rsid w:val="006654CB"/>
    <w:rsid w:val="006656F2"/>
    <w:rsid w:val="006660C6"/>
    <w:rsid w:val="00666440"/>
    <w:rsid w:val="006667BE"/>
    <w:rsid w:val="00666B94"/>
    <w:rsid w:val="00666C4C"/>
    <w:rsid w:val="00666FB3"/>
    <w:rsid w:val="00667F5A"/>
    <w:rsid w:val="00670062"/>
    <w:rsid w:val="00670FB6"/>
    <w:rsid w:val="0067136D"/>
    <w:rsid w:val="006715AC"/>
    <w:rsid w:val="006718DB"/>
    <w:rsid w:val="00671E52"/>
    <w:rsid w:val="0067219C"/>
    <w:rsid w:val="00672CA6"/>
    <w:rsid w:val="00672FC5"/>
    <w:rsid w:val="0067344E"/>
    <w:rsid w:val="006735A6"/>
    <w:rsid w:val="006735C8"/>
    <w:rsid w:val="0067397F"/>
    <w:rsid w:val="00673FAB"/>
    <w:rsid w:val="006748EF"/>
    <w:rsid w:val="00674B9F"/>
    <w:rsid w:val="00674E58"/>
    <w:rsid w:val="00674EA2"/>
    <w:rsid w:val="0067540F"/>
    <w:rsid w:val="00675542"/>
    <w:rsid w:val="00675550"/>
    <w:rsid w:val="006757E8"/>
    <w:rsid w:val="006759E1"/>
    <w:rsid w:val="00676757"/>
    <w:rsid w:val="00676AEB"/>
    <w:rsid w:val="0067718E"/>
    <w:rsid w:val="0067775E"/>
    <w:rsid w:val="006777C9"/>
    <w:rsid w:val="00677862"/>
    <w:rsid w:val="006779F8"/>
    <w:rsid w:val="00677AAC"/>
    <w:rsid w:val="00680963"/>
    <w:rsid w:val="00680D98"/>
    <w:rsid w:val="00680ED1"/>
    <w:rsid w:val="00680F5A"/>
    <w:rsid w:val="0068121F"/>
    <w:rsid w:val="0068128A"/>
    <w:rsid w:val="00681531"/>
    <w:rsid w:val="006818B3"/>
    <w:rsid w:val="0068199F"/>
    <w:rsid w:val="00681C9C"/>
    <w:rsid w:val="00682177"/>
    <w:rsid w:val="00682439"/>
    <w:rsid w:val="006825F8"/>
    <w:rsid w:val="006836C8"/>
    <w:rsid w:val="00683B41"/>
    <w:rsid w:val="00683F75"/>
    <w:rsid w:val="0068437F"/>
    <w:rsid w:val="006843D2"/>
    <w:rsid w:val="0068482F"/>
    <w:rsid w:val="006849F2"/>
    <w:rsid w:val="00684B34"/>
    <w:rsid w:val="00685FB9"/>
    <w:rsid w:val="00686954"/>
    <w:rsid w:val="0068760C"/>
    <w:rsid w:val="0068761A"/>
    <w:rsid w:val="00687E38"/>
    <w:rsid w:val="00690317"/>
    <w:rsid w:val="0069047F"/>
    <w:rsid w:val="00690C14"/>
    <w:rsid w:val="0069149E"/>
    <w:rsid w:val="00691B8B"/>
    <w:rsid w:val="00691ECF"/>
    <w:rsid w:val="00692371"/>
    <w:rsid w:val="006923CE"/>
    <w:rsid w:val="00692996"/>
    <w:rsid w:val="00692F31"/>
    <w:rsid w:val="006942CF"/>
    <w:rsid w:val="0069466F"/>
    <w:rsid w:val="0069475E"/>
    <w:rsid w:val="00695C5E"/>
    <w:rsid w:val="00696D39"/>
    <w:rsid w:val="00697898"/>
    <w:rsid w:val="006A08C9"/>
    <w:rsid w:val="006A0BE8"/>
    <w:rsid w:val="006A1634"/>
    <w:rsid w:val="006A373D"/>
    <w:rsid w:val="006A3998"/>
    <w:rsid w:val="006A3BB4"/>
    <w:rsid w:val="006A3E21"/>
    <w:rsid w:val="006A49DD"/>
    <w:rsid w:val="006A4C67"/>
    <w:rsid w:val="006A547A"/>
    <w:rsid w:val="006A613C"/>
    <w:rsid w:val="006A756B"/>
    <w:rsid w:val="006A7D40"/>
    <w:rsid w:val="006B0229"/>
    <w:rsid w:val="006B08E0"/>
    <w:rsid w:val="006B0E43"/>
    <w:rsid w:val="006B0E50"/>
    <w:rsid w:val="006B133E"/>
    <w:rsid w:val="006B14A6"/>
    <w:rsid w:val="006B1693"/>
    <w:rsid w:val="006B1C6C"/>
    <w:rsid w:val="006B2075"/>
    <w:rsid w:val="006B2B13"/>
    <w:rsid w:val="006B2CDE"/>
    <w:rsid w:val="006B3841"/>
    <w:rsid w:val="006B3E25"/>
    <w:rsid w:val="006B3F3F"/>
    <w:rsid w:val="006B4426"/>
    <w:rsid w:val="006B4B58"/>
    <w:rsid w:val="006B5030"/>
    <w:rsid w:val="006B5183"/>
    <w:rsid w:val="006B57A4"/>
    <w:rsid w:val="006B5B78"/>
    <w:rsid w:val="006B607B"/>
    <w:rsid w:val="006B65A3"/>
    <w:rsid w:val="006B65EE"/>
    <w:rsid w:val="006B6F18"/>
    <w:rsid w:val="006B7890"/>
    <w:rsid w:val="006B79F4"/>
    <w:rsid w:val="006C0E5C"/>
    <w:rsid w:val="006C1047"/>
    <w:rsid w:val="006C177F"/>
    <w:rsid w:val="006C1F06"/>
    <w:rsid w:val="006C1FA8"/>
    <w:rsid w:val="006C2065"/>
    <w:rsid w:val="006C2074"/>
    <w:rsid w:val="006C238F"/>
    <w:rsid w:val="006C3030"/>
    <w:rsid w:val="006C303E"/>
    <w:rsid w:val="006C3AA4"/>
    <w:rsid w:val="006C3D1A"/>
    <w:rsid w:val="006C41CE"/>
    <w:rsid w:val="006C44CC"/>
    <w:rsid w:val="006C461B"/>
    <w:rsid w:val="006C4A66"/>
    <w:rsid w:val="006C4B82"/>
    <w:rsid w:val="006C51CD"/>
    <w:rsid w:val="006C626E"/>
    <w:rsid w:val="006C6712"/>
    <w:rsid w:val="006C7800"/>
    <w:rsid w:val="006C7EA5"/>
    <w:rsid w:val="006D0012"/>
    <w:rsid w:val="006D0084"/>
    <w:rsid w:val="006D0894"/>
    <w:rsid w:val="006D19D9"/>
    <w:rsid w:val="006D2363"/>
    <w:rsid w:val="006D2624"/>
    <w:rsid w:val="006D266D"/>
    <w:rsid w:val="006D269B"/>
    <w:rsid w:val="006D2864"/>
    <w:rsid w:val="006D351F"/>
    <w:rsid w:val="006D3D55"/>
    <w:rsid w:val="006D40D5"/>
    <w:rsid w:val="006D47F0"/>
    <w:rsid w:val="006D549D"/>
    <w:rsid w:val="006D568F"/>
    <w:rsid w:val="006D5E4A"/>
    <w:rsid w:val="006D5E71"/>
    <w:rsid w:val="006D6844"/>
    <w:rsid w:val="006D6BBD"/>
    <w:rsid w:val="006D6DC8"/>
    <w:rsid w:val="006D6E4B"/>
    <w:rsid w:val="006D6F86"/>
    <w:rsid w:val="006D74A8"/>
    <w:rsid w:val="006D7BB7"/>
    <w:rsid w:val="006D7E4F"/>
    <w:rsid w:val="006E1197"/>
    <w:rsid w:val="006E127F"/>
    <w:rsid w:val="006E1287"/>
    <w:rsid w:val="006E16DB"/>
    <w:rsid w:val="006E1CD4"/>
    <w:rsid w:val="006E2326"/>
    <w:rsid w:val="006E2D78"/>
    <w:rsid w:val="006E3CC2"/>
    <w:rsid w:val="006E419F"/>
    <w:rsid w:val="006E4327"/>
    <w:rsid w:val="006E473F"/>
    <w:rsid w:val="006E47A7"/>
    <w:rsid w:val="006E484D"/>
    <w:rsid w:val="006E4C1C"/>
    <w:rsid w:val="006E5B03"/>
    <w:rsid w:val="006E6B66"/>
    <w:rsid w:val="006E7739"/>
    <w:rsid w:val="006E7A16"/>
    <w:rsid w:val="006F006D"/>
    <w:rsid w:val="006F07E2"/>
    <w:rsid w:val="006F09B2"/>
    <w:rsid w:val="006F0B11"/>
    <w:rsid w:val="006F0CC4"/>
    <w:rsid w:val="006F0D17"/>
    <w:rsid w:val="006F0F90"/>
    <w:rsid w:val="006F2A38"/>
    <w:rsid w:val="006F2F47"/>
    <w:rsid w:val="006F31A0"/>
    <w:rsid w:val="006F352A"/>
    <w:rsid w:val="006F3BFE"/>
    <w:rsid w:val="006F5188"/>
    <w:rsid w:val="006F5458"/>
    <w:rsid w:val="006F5622"/>
    <w:rsid w:val="006F5791"/>
    <w:rsid w:val="006F57C5"/>
    <w:rsid w:val="006F6459"/>
    <w:rsid w:val="006F6B86"/>
    <w:rsid w:val="006F6FF9"/>
    <w:rsid w:val="006F739B"/>
    <w:rsid w:val="006F7EFE"/>
    <w:rsid w:val="007001D2"/>
    <w:rsid w:val="007003A4"/>
    <w:rsid w:val="007012C2"/>
    <w:rsid w:val="007014C2"/>
    <w:rsid w:val="00701647"/>
    <w:rsid w:val="00701D87"/>
    <w:rsid w:val="00702D28"/>
    <w:rsid w:val="00702F67"/>
    <w:rsid w:val="00703691"/>
    <w:rsid w:val="0070378B"/>
    <w:rsid w:val="007039FD"/>
    <w:rsid w:val="00703FEB"/>
    <w:rsid w:val="0070416D"/>
    <w:rsid w:val="0070429D"/>
    <w:rsid w:val="007043C1"/>
    <w:rsid w:val="0070466C"/>
    <w:rsid w:val="00704C35"/>
    <w:rsid w:val="0070505F"/>
    <w:rsid w:val="00705295"/>
    <w:rsid w:val="00705D48"/>
    <w:rsid w:val="007067F0"/>
    <w:rsid w:val="00706811"/>
    <w:rsid w:val="00706984"/>
    <w:rsid w:val="00706C80"/>
    <w:rsid w:val="00706E3C"/>
    <w:rsid w:val="00707443"/>
    <w:rsid w:val="00707815"/>
    <w:rsid w:val="00707D7A"/>
    <w:rsid w:val="00707DD3"/>
    <w:rsid w:val="00710A11"/>
    <w:rsid w:val="00710CB9"/>
    <w:rsid w:val="00710E8C"/>
    <w:rsid w:val="00710FC1"/>
    <w:rsid w:val="007110E6"/>
    <w:rsid w:val="007116B6"/>
    <w:rsid w:val="00712BDF"/>
    <w:rsid w:val="00712D87"/>
    <w:rsid w:val="0071359B"/>
    <w:rsid w:val="00713BFB"/>
    <w:rsid w:val="0071470B"/>
    <w:rsid w:val="00714C73"/>
    <w:rsid w:val="0071564E"/>
    <w:rsid w:val="00715D9C"/>
    <w:rsid w:val="00715EC5"/>
    <w:rsid w:val="00716348"/>
    <w:rsid w:val="007168A2"/>
    <w:rsid w:val="007169D7"/>
    <w:rsid w:val="00717313"/>
    <w:rsid w:val="0072027A"/>
    <w:rsid w:val="007208AE"/>
    <w:rsid w:val="00720CA9"/>
    <w:rsid w:val="00720D63"/>
    <w:rsid w:val="00721A09"/>
    <w:rsid w:val="007226E5"/>
    <w:rsid w:val="007234EC"/>
    <w:rsid w:val="0072388C"/>
    <w:rsid w:val="00723E1A"/>
    <w:rsid w:val="00723EF0"/>
    <w:rsid w:val="00724D07"/>
    <w:rsid w:val="00724D99"/>
    <w:rsid w:val="00724E0F"/>
    <w:rsid w:val="007250CB"/>
    <w:rsid w:val="00725B50"/>
    <w:rsid w:val="007261B9"/>
    <w:rsid w:val="0072642C"/>
    <w:rsid w:val="00726652"/>
    <w:rsid w:val="007269F3"/>
    <w:rsid w:val="00726FD2"/>
    <w:rsid w:val="0072753C"/>
    <w:rsid w:val="00727B3D"/>
    <w:rsid w:val="00730412"/>
    <w:rsid w:val="00730A29"/>
    <w:rsid w:val="00730C9B"/>
    <w:rsid w:val="007312C7"/>
    <w:rsid w:val="007318DE"/>
    <w:rsid w:val="00731EDF"/>
    <w:rsid w:val="00732989"/>
    <w:rsid w:val="00732A1F"/>
    <w:rsid w:val="00732F6C"/>
    <w:rsid w:val="00733708"/>
    <w:rsid w:val="00733EC7"/>
    <w:rsid w:val="00733FDE"/>
    <w:rsid w:val="00734649"/>
    <w:rsid w:val="00734CC4"/>
    <w:rsid w:val="007352DD"/>
    <w:rsid w:val="00735829"/>
    <w:rsid w:val="00735D7C"/>
    <w:rsid w:val="0073604D"/>
    <w:rsid w:val="007361AE"/>
    <w:rsid w:val="00736466"/>
    <w:rsid w:val="007367A5"/>
    <w:rsid w:val="007407AF"/>
    <w:rsid w:val="00740F5B"/>
    <w:rsid w:val="0074101A"/>
    <w:rsid w:val="0074147C"/>
    <w:rsid w:val="007425B0"/>
    <w:rsid w:val="00742802"/>
    <w:rsid w:val="00742904"/>
    <w:rsid w:val="0074349B"/>
    <w:rsid w:val="00743C74"/>
    <w:rsid w:val="00743D03"/>
    <w:rsid w:val="0074406B"/>
    <w:rsid w:val="00744249"/>
    <w:rsid w:val="00744E1D"/>
    <w:rsid w:val="007450F9"/>
    <w:rsid w:val="0074541E"/>
    <w:rsid w:val="00745496"/>
    <w:rsid w:val="00745A58"/>
    <w:rsid w:val="00745D28"/>
    <w:rsid w:val="00746346"/>
    <w:rsid w:val="007463C0"/>
    <w:rsid w:val="00746A0A"/>
    <w:rsid w:val="00746A25"/>
    <w:rsid w:val="00746B08"/>
    <w:rsid w:val="00746F68"/>
    <w:rsid w:val="007473BA"/>
    <w:rsid w:val="007478BE"/>
    <w:rsid w:val="00747976"/>
    <w:rsid w:val="0075151D"/>
    <w:rsid w:val="00751535"/>
    <w:rsid w:val="00751C0C"/>
    <w:rsid w:val="0075255D"/>
    <w:rsid w:val="00752F93"/>
    <w:rsid w:val="00753129"/>
    <w:rsid w:val="00753317"/>
    <w:rsid w:val="00753D70"/>
    <w:rsid w:val="00753E2A"/>
    <w:rsid w:val="00754236"/>
    <w:rsid w:val="00754C1D"/>
    <w:rsid w:val="00754C68"/>
    <w:rsid w:val="00754F15"/>
    <w:rsid w:val="00755247"/>
    <w:rsid w:val="0075547F"/>
    <w:rsid w:val="0075550B"/>
    <w:rsid w:val="00755532"/>
    <w:rsid w:val="0075585F"/>
    <w:rsid w:val="007559BE"/>
    <w:rsid w:val="00755B30"/>
    <w:rsid w:val="00755CD4"/>
    <w:rsid w:val="00755F5F"/>
    <w:rsid w:val="00756107"/>
    <w:rsid w:val="00756343"/>
    <w:rsid w:val="007565FD"/>
    <w:rsid w:val="007570BC"/>
    <w:rsid w:val="007577FD"/>
    <w:rsid w:val="0076045C"/>
    <w:rsid w:val="00760638"/>
    <w:rsid w:val="00760BFA"/>
    <w:rsid w:val="00760FFA"/>
    <w:rsid w:val="00761289"/>
    <w:rsid w:val="0076137E"/>
    <w:rsid w:val="00761AEE"/>
    <w:rsid w:val="00761F5C"/>
    <w:rsid w:val="007622C8"/>
    <w:rsid w:val="00763322"/>
    <w:rsid w:val="007634AC"/>
    <w:rsid w:val="0076371B"/>
    <w:rsid w:val="00763818"/>
    <w:rsid w:val="00763B58"/>
    <w:rsid w:val="00764DB0"/>
    <w:rsid w:val="00765629"/>
    <w:rsid w:val="00765A98"/>
    <w:rsid w:val="007667C8"/>
    <w:rsid w:val="00766926"/>
    <w:rsid w:val="00766D96"/>
    <w:rsid w:val="007673FA"/>
    <w:rsid w:val="00767564"/>
    <w:rsid w:val="00770625"/>
    <w:rsid w:val="00770712"/>
    <w:rsid w:val="007711B7"/>
    <w:rsid w:val="007718E6"/>
    <w:rsid w:val="00771997"/>
    <w:rsid w:val="00771B54"/>
    <w:rsid w:val="007723D9"/>
    <w:rsid w:val="007726F5"/>
    <w:rsid w:val="00772CC0"/>
    <w:rsid w:val="0077430E"/>
    <w:rsid w:val="00774BC4"/>
    <w:rsid w:val="00774E12"/>
    <w:rsid w:val="00774EFD"/>
    <w:rsid w:val="007752F5"/>
    <w:rsid w:val="0077557B"/>
    <w:rsid w:val="00775E8E"/>
    <w:rsid w:val="00776677"/>
    <w:rsid w:val="00776983"/>
    <w:rsid w:val="00777296"/>
    <w:rsid w:val="007776F7"/>
    <w:rsid w:val="0078005B"/>
    <w:rsid w:val="00780298"/>
    <w:rsid w:val="00780604"/>
    <w:rsid w:val="0078078F"/>
    <w:rsid w:val="007814C3"/>
    <w:rsid w:val="00781C52"/>
    <w:rsid w:val="00782374"/>
    <w:rsid w:val="00782385"/>
    <w:rsid w:val="00782663"/>
    <w:rsid w:val="007844E8"/>
    <w:rsid w:val="00784999"/>
    <w:rsid w:val="0078511D"/>
    <w:rsid w:val="007853D5"/>
    <w:rsid w:val="00785944"/>
    <w:rsid w:val="00785A44"/>
    <w:rsid w:val="00785DCC"/>
    <w:rsid w:val="00785E5C"/>
    <w:rsid w:val="00785E9A"/>
    <w:rsid w:val="00786693"/>
    <w:rsid w:val="00786969"/>
    <w:rsid w:val="0078723B"/>
    <w:rsid w:val="00787584"/>
    <w:rsid w:val="007876C0"/>
    <w:rsid w:val="007877AE"/>
    <w:rsid w:val="00787CB1"/>
    <w:rsid w:val="00787E59"/>
    <w:rsid w:val="007904D4"/>
    <w:rsid w:val="0079052A"/>
    <w:rsid w:val="00790EBF"/>
    <w:rsid w:val="007910EA"/>
    <w:rsid w:val="007911C0"/>
    <w:rsid w:val="0079234F"/>
    <w:rsid w:val="00792875"/>
    <w:rsid w:val="00792DA9"/>
    <w:rsid w:val="00792EBB"/>
    <w:rsid w:val="00793D71"/>
    <w:rsid w:val="0079407E"/>
    <w:rsid w:val="0079421E"/>
    <w:rsid w:val="007943A3"/>
    <w:rsid w:val="007945C1"/>
    <w:rsid w:val="00795135"/>
    <w:rsid w:val="00795B73"/>
    <w:rsid w:val="007961C5"/>
    <w:rsid w:val="007962EC"/>
    <w:rsid w:val="00797332"/>
    <w:rsid w:val="0079757D"/>
    <w:rsid w:val="00797A23"/>
    <w:rsid w:val="007A0693"/>
    <w:rsid w:val="007A0BC6"/>
    <w:rsid w:val="007A0CD4"/>
    <w:rsid w:val="007A0DFE"/>
    <w:rsid w:val="007A129E"/>
    <w:rsid w:val="007A1468"/>
    <w:rsid w:val="007A156D"/>
    <w:rsid w:val="007A1819"/>
    <w:rsid w:val="007A224D"/>
    <w:rsid w:val="007A2902"/>
    <w:rsid w:val="007A291E"/>
    <w:rsid w:val="007A31E7"/>
    <w:rsid w:val="007A3325"/>
    <w:rsid w:val="007A3BEC"/>
    <w:rsid w:val="007A3EA2"/>
    <w:rsid w:val="007A4967"/>
    <w:rsid w:val="007A55A0"/>
    <w:rsid w:val="007A573A"/>
    <w:rsid w:val="007A5C16"/>
    <w:rsid w:val="007A60A7"/>
    <w:rsid w:val="007A63D8"/>
    <w:rsid w:val="007A7383"/>
    <w:rsid w:val="007A7BF0"/>
    <w:rsid w:val="007A7E9A"/>
    <w:rsid w:val="007A7F22"/>
    <w:rsid w:val="007B00D1"/>
    <w:rsid w:val="007B03A6"/>
    <w:rsid w:val="007B06D0"/>
    <w:rsid w:val="007B0CB9"/>
    <w:rsid w:val="007B1044"/>
    <w:rsid w:val="007B1114"/>
    <w:rsid w:val="007B12F7"/>
    <w:rsid w:val="007B13C0"/>
    <w:rsid w:val="007B1DF7"/>
    <w:rsid w:val="007B1F09"/>
    <w:rsid w:val="007B1F9E"/>
    <w:rsid w:val="007B235E"/>
    <w:rsid w:val="007B28FC"/>
    <w:rsid w:val="007B2B6F"/>
    <w:rsid w:val="007B3687"/>
    <w:rsid w:val="007B386B"/>
    <w:rsid w:val="007B4997"/>
    <w:rsid w:val="007B49C9"/>
    <w:rsid w:val="007B4F0C"/>
    <w:rsid w:val="007B4FAC"/>
    <w:rsid w:val="007B5319"/>
    <w:rsid w:val="007B565E"/>
    <w:rsid w:val="007B5C63"/>
    <w:rsid w:val="007B5D0E"/>
    <w:rsid w:val="007B6680"/>
    <w:rsid w:val="007B67D9"/>
    <w:rsid w:val="007B6903"/>
    <w:rsid w:val="007B6A0A"/>
    <w:rsid w:val="007B6D63"/>
    <w:rsid w:val="007B6D7A"/>
    <w:rsid w:val="007B6F94"/>
    <w:rsid w:val="007B7214"/>
    <w:rsid w:val="007B75F5"/>
    <w:rsid w:val="007B7740"/>
    <w:rsid w:val="007B7980"/>
    <w:rsid w:val="007B7EAB"/>
    <w:rsid w:val="007B7F77"/>
    <w:rsid w:val="007C041A"/>
    <w:rsid w:val="007C0EC7"/>
    <w:rsid w:val="007C1733"/>
    <w:rsid w:val="007C1774"/>
    <w:rsid w:val="007C1C84"/>
    <w:rsid w:val="007C1D6D"/>
    <w:rsid w:val="007C22F0"/>
    <w:rsid w:val="007C2445"/>
    <w:rsid w:val="007C2526"/>
    <w:rsid w:val="007C2ACF"/>
    <w:rsid w:val="007C3908"/>
    <w:rsid w:val="007C3B98"/>
    <w:rsid w:val="007C47EA"/>
    <w:rsid w:val="007C4810"/>
    <w:rsid w:val="007C4B3D"/>
    <w:rsid w:val="007C55AE"/>
    <w:rsid w:val="007C5779"/>
    <w:rsid w:val="007C624E"/>
    <w:rsid w:val="007C6A44"/>
    <w:rsid w:val="007C6B5A"/>
    <w:rsid w:val="007C71CA"/>
    <w:rsid w:val="007C7220"/>
    <w:rsid w:val="007C788C"/>
    <w:rsid w:val="007C7A71"/>
    <w:rsid w:val="007C7AB7"/>
    <w:rsid w:val="007D1308"/>
    <w:rsid w:val="007D132A"/>
    <w:rsid w:val="007D1508"/>
    <w:rsid w:val="007D279F"/>
    <w:rsid w:val="007D2BEE"/>
    <w:rsid w:val="007D38BD"/>
    <w:rsid w:val="007D3F85"/>
    <w:rsid w:val="007D4376"/>
    <w:rsid w:val="007D4733"/>
    <w:rsid w:val="007D55A8"/>
    <w:rsid w:val="007D59FA"/>
    <w:rsid w:val="007D5BE5"/>
    <w:rsid w:val="007D691A"/>
    <w:rsid w:val="007D6DD3"/>
    <w:rsid w:val="007D6EAE"/>
    <w:rsid w:val="007D7452"/>
    <w:rsid w:val="007D7513"/>
    <w:rsid w:val="007D7B09"/>
    <w:rsid w:val="007E0146"/>
    <w:rsid w:val="007E09DC"/>
    <w:rsid w:val="007E0F1D"/>
    <w:rsid w:val="007E1287"/>
    <w:rsid w:val="007E1758"/>
    <w:rsid w:val="007E1797"/>
    <w:rsid w:val="007E1870"/>
    <w:rsid w:val="007E18E7"/>
    <w:rsid w:val="007E1B80"/>
    <w:rsid w:val="007E1F21"/>
    <w:rsid w:val="007E2590"/>
    <w:rsid w:val="007E2A74"/>
    <w:rsid w:val="007E314C"/>
    <w:rsid w:val="007E3B32"/>
    <w:rsid w:val="007E3C04"/>
    <w:rsid w:val="007E3CB4"/>
    <w:rsid w:val="007E45E7"/>
    <w:rsid w:val="007E467D"/>
    <w:rsid w:val="007E4A34"/>
    <w:rsid w:val="007E4A89"/>
    <w:rsid w:val="007E5576"/>
    <w:rsid w:val="007E5F1B"/>
    <w:rsid w:val="007E74AD"/>
    <w:rsid w:val="007E75F4"/>
    <w:rsid w:val="007E7807"/>
    <w:rsid w:val="007F03AF"/>
    <w:rsid w:val="007F09FA"/>
    <w:rsid w:val="007F0B02"/>
    <w:rsid w:val="007F0C59"/>
    <w:rsid w:val="007F1738"/>
    <w:rsid w:val="007F1AF7"/>
    <w:rsid w:val="007F2D44"/>
    <w:rsid w:val="007F3227"/>
    <w:rsid w:val="007F32E5"/>
    <w:rsid w:val="007F3E59"/>
    <w:rsid w:val="007F41AD"/>
    <w:rsid w:val="007F4763"/>
    <w:rsid w:val="007F4BA0"/>
    <w:rsid w:val="007F4FE7"/>
    <w:rsid w:val="007F56CB"/>
    <w:rsid w:val="007F5990"/>
    <w:rsid w:val="007F5FB2"/>
    <w:rsid w:val="007F7069"/>
    <w:rsid w:val="007F74BF"/>
    <w:rsid w:val="007F7981"/>
    <w:rsid w:val="007F7BB4"/>
    <w:rsid w:val="007F7BD9"/>
    <w:rsid w:val="007F7E35"/>
    <w:rsid w:val="00802638"/>
    <w:rsid w:val="00802D43"/>
    <w:rsid w:val="0080364F"/>
    <w:rsid w:val="008036D7"/>
    <w:rsid w:val="00803A26"/>
    <w:rsid w:val="00803B5C"/>
    <w:rsid w:val="00803F3F"/>
    <w:rsid w:val="0080462F"/>
    <w:rsid w:val="00804A5D"/>
    <w:rsid w:val="00805937"/>
    <w:rsid w:val="00805B69"/>
    <w:rsid w:val="00805E51"/>
    <w:rsid w:val="008061C3"/>
    <w:rsid w:val="008065E1"/>
    <w:rsid w:val="00806D8D"/>
    <w:rsid w:val="008072A5"/>
    <w:rsid w:val="0080741C"/>
    <w:rsid w:val="00810A1C"/>
    <w:rsid w:val="00810B60"/>
    <w:rsid w:val="00810E70"/>
    <w:rsid w:val="0081133F"/>
    <w:rsid w:val="008115DE"/>
    <w:rsid w:val="00811B5A"/>
    <w:rsid w:val="00811E91"/>
    <w:rsid w:val="00812CE0"/>
    <w:rsid w:val="008131D2"/>
    <w:rsid w:val="008136B6"/>
    <w:rsid w:val="0081389E"/>
    <w:rsid w:val="008138D1"/>
    <w:rsid w:val="008146CE"/>
    <w:rsid w:val="00814746"/>
    <w:rsid w:val="008147F2"/>
    <w:rsid w:val="008155DB"/>
    <w:rsid w:val="00815973"/>
    <w:rsid w:val="0081600B"/>
    <w:rsid w:val="00817A06"/>
    <w:rsid w:val="00817D0E"/>
    <w:rsid w:val="00817E96"/>
    <w:rsid w:val="008201DF"/>
    <w:rsid w:val="008203F2"/>
    <w:rsid w:val="00820465"/>
    <w:rsid w:val="00820CC2"/>
    <w:rsid w:val="0082157D"/>
    <w:rsid w:val="0082165E"/>
    <w:rsid w:val="008218FF"/>
    <w:rsid w:val="00821D52"/>
    <w:rsid w:val="0082406E"/>
    <w:rsid w:val="008256F3"/>
    <w:rsid w:val="00826329"/>
    <w:rsid w:val="0082665D"/>
    <w:rsid w:val="0082689F"/>
    <w:rsid w:val="00826956"/>
    <w:rsid w:val="00826CA0"/>
    <w:rsid w:val="0082702B"/>
    <w:rsid w:val="00827485"/>
    <w:rsid w:val="0083175D"/>
    <w:rsid w:val="008318B6"/>
    <w:rsid w:val="00832095"/>
    <w:rsid w:val="0083231F"/>
    <w:rsid w:val="00832476"/>
    <w:rsid w:val="008329C9"/>
    <w:rsid w:val="00832ADA"/>
    <w:rsid w:val="00833045"/>
    <w:rsid w:val="008335B7"/>
    <w:rsid w:val="008337BC"/>
    <w:rsid w:val="008338F9"/>
    <w:rsid w:val="00833962"/>
    <w:rsid w:val="0083433A"/>
    <w:rsid w:val="00834414"/>
    <w:rsid w:val="00834F8A"/>
    <w:rsid w:val="00835194"/>
    <w:rsid w:val="0083561B"/>
    <w:rsid w:val="00835B76"/>
    <w:rsid w:val="00836FE0"/>
    <w:rsid w:val="00837065"/>
    <w:rsid w:val="00837396"/>
    <w:rsid w:val="00837545"/>
    <w:rsid w:val="00837982"/>
    <w:rsid w:val="00840740"/>
    <w:rsid w:val="008408B8"/>
    <w:rsid w:val="00841843"/>
    <w:rsid w:val="008419BA"/>
    <w:rsid w:val="008423A9"/>
    <w:rsid w:val="008429CE"/>
    <w:rsid w:val="008430DA"/>
    <w:rsid w:val="0084341D"/>
    <w:rsid w:val="008434B0"/>
    <w:rsid w:val="00845599"/>
    <w:rsid w:val="00846738"/>
    <w:rsid w:val="00846791"/>
    <w:rsid w:val="00846AE6"/>
    <w:rsid w:val="00846B11"/>
    <w:rsid w:val="00846BEA"/>
    <w:rsid w:val="008471D2"/>
    <w:rsid w:val="00847549"/>
    <w:rsid w:val="0085020B"/>
    <w:rsid w:val="0085022D"/>
    <w:rsid w:val="0085086B"/>
    <w:rsid w:val="00850CAE"/>
    <w:rsid w:val="008522BA"/>
    <w:rsid w:val="00852AD1"/>
    <w:rsid w:val="00853B4B"/>
    <w:rsid w:val="00855049"/>
    <w:rsid w:val="00855678"/>
    <w:rsid w:val="00855681"/>
    <w:rsid w:val="00856267"/>
    <w:rsid w:val="0085658E"/>
    <w:rsid w:val="0085669E"/>
    <w:rsid w:val="00856FDC"/>
    <w:rsid w:val="00857404"/>
    <w:rsid w:val="00857E1F"/>
    <w:rsid w:val="008605E7"/>
    <w:rsid w:val="00860693"/>
    <w:rsid w:val="00860786"/>
    <w:rsid w:val="00860BAE"/>
    <w:rsid w:val="008614FC"/>
    <w:rsid w:val="00861D8A"/>
    <w:rsid w:val="00861EB1"/>
    <w:rsid w:val="00861F4A"/>
    <w:rsid w:val="008625ED"/>
    <w:rsid w:val="00862A69"/>
    <w:rsid w:val="00862D14"/>
    <w:rsid w:val="00862E9E"/>
    <w:rsid w:val="008631B3"/>
    <w:rsid w:val="00863FBD"/>
    <w:rsid w:val="008641F6"/>
    <w:rsid w:val="00864277"/>
    <w:rsid w:val="00864751"/>
    <w:rsid w:val="00865445"/>
    <w:rsid w:val="008654A0"/>
    <w:rsid w:val="008659B1"/>
    <w:rsid w:val="00865CB0"/>
    <w:rsid w:val="00865D70"/>
    <w:rsid w:val="008661BC"/>
    <w:rsid w:val="00866B50"/>
    <w:rsid w:val="00866D81"/>
    <w:rsid w:val="00866ECE"/>
    <w:rsid w:val="00867B0D"/>
    <w:rsid w:val="00867EA8"/>
    <w:rsid w:val="0087060B"/>
    <w:rsid w:val="00870A39"/>
    <w:rsid w:val="00871067"/>
    <w:rsid w:val="00871941"/>
    <w:rsid w:val="008719DB"/>
    <w:rsid w:val="00871FC6"/>
    <w:rsid w:val="00871FD8"/>
    <w:rsid w:val="0087219B"/>
    <w:rsid w:val="00872307"/>
    <w:rsid w:val="0087255F"/>
    <w:rsid w:val="00872651"/>
    <w:rsid w:val="0087295C"/>
    <w:rsid w:val="00872DBF"/>
    <w:rsid w:val="00872F0E"/>
    <w:rsid w:val="00872F6C"/>
    <w:rsid w:val="008731A6"/>
    <w:rsid w:val="008733FB"/>
    <w:rsid w:val="00873539"/>
    <w:rsid w:val="008735D2"/>
    <w:rsid w:val="00873C08"/>
    <w:rsid w:val="008746D5"/>
    <w:rsid w:val="008746F6"/>
    <w:rsid w:val="00874D0B"/>
    <w:rsid w:val="00874F8B"/>
    <w:rsid w:val="00875015"/>
    <w:rsid w:val="0087582E"/>
    <w:rsid w:val="00875F00"/>
    <w:rsid w:val="00875F32"/>
    <w:rsid w:val="00876070"/>
    <w:rsid w:val="008763F7"/>
    <w:rsid w:val="00876AAD"/>
    <w:rsid w:val="00877512"/>
    <w:rsid w:val="00877553"/>
    <w:rsid w:val="008801E1"/>
    <w:rsid w:val="008805C9"/>
    <w:rsid w:val="00880823"/>
    <w:rsid w:val="00880FAC"/>
    <w:rsid w:val="008813EA"/>
    <w:rsid w:val="00881A97"/>
    <w:rsid w:val="00881C48"/>
    <w:rsid w:val="00881C56"/>
    <w:rsid w:val="00881E17"/>
    <w:rsid w:val="00882413"/>
    <w:rsid w:val="00882A09"/>
    <w:rsid w:val="0088346E"/>
    <w:rsid w:val="00884192"/>
    <w:rsid w:val="00884B15"/>
    <w:rsid w:val="00884D3E"/>
    <w:rsid w:val="008856C7"/>
    <w:rsid w:val="008857B3"/>
    <w:rsid w:val="00885E64"/>
    <w:rsid w:val="008861EE"/>
    <w:rsid w:val="008862E5"/>
    <w:rsid w:val="00886607"/>
    <w:rsid w:val="008866DB"/>
    <w:rsid w:val="0088735C"/>
    <w:rsid w:val="00887D83"/>
    <w:rsid w:val="0089022E"/>
    <w:rsid w:val="00890E77"/>
    <w:rsid w:val="00890EFB"/>
    <w:rsid w:val="00891102"/>
    <w:rsid w:val="00891946"/>
    <w:rsid w:val="00891BF4"/>
    <w:rsid w:val="00891EC3"/>
    <w:rsid w:val="008923AE"/>
    <w:rsid w:val="008928B4"/>
    <w:rsid w:val="00893364"/>
    <w:rsid w:val="00893608"/>
    <w:rsid w:val="00893D7C"/>
    <w:rsid w:val="00893DEF"/>
    <w:rsid w:val="0089415B"/>
    <w:rsid w:val="008941DB"/>
    <w:rsid w:val="00894582"/>
    <w:rsid w:val="00894867"/>
    <w:rsid w:val="008948EE"/>
    <w:rsid w:val="00894BD9"/>
    <w:rsid w:val="00894C85"/>
    <w:rsid w:val="00894F09"/>
    <w:rsid w:val="0089543D"/>
    <w:rsid w:val="008959F8"/>
    <w:rsid w:val="00895E43"/>
    <w:rsid w:val="00895EBF"/>
    <w:rsid w:val="008961BE"/>
    <w:rsid w:val="0089662C"/>
    <w:rsid w:val="00896A5B"/>
    <w:rsid w:val="00897328"/>
    <w:rsid w:val="00897981"/>
    <w:rsid w:val="00897B3E"/>
    <w:rsid w:val="008A0A8B"/>
    <w:rsid w:val="008A0F3A"/>
    <w:rsid w:val="008A15A2"/>
    <w:rsid w:val="008A1744"/>
    <w:rsid w:val="008A17C2"/>
    <w:rsid w:val="008A24AA"/>
    <w:rsid w:val="008A2697"/>
    <w:rsid w:val="008A2CFB"/>
    <w:rsid w:val="008A3478"/>
    <w:rsid w:val="008A3661"/>
    <w:rsid w:val="008A4253"/>
    <w:rsid w:val="008A42B2"/>
    <w:rsid w:val="008A5774"/>
    <w:rsid w:val="008A5E02"/>
    <w:rsid w:val="008A6005"/>
    <w:rsid w:val="008A6063"/>
    <w:rsid w:val="008A636B"/>
    <w:rsid w:val="008A69C8"/>
    <w:rsid w:val="008A7685"/>
    <w:rsid w:val="008A793E"/>
    <w:rsid w:val="008A7C17"/>
    <w:rsid w:val="008B0144"/>
    <w:rsid w:val="008B085E"/>
    <w:rsid w:val="008B0889"/>
    <w:rsid w:val="008B08E6"/>
    <w:rsid w:val="008B0D31"/>
    <w:rsid w:val="008B0E79"/>
    <w:rsid w:val="008B1718"/>
    <w:rsid w:val="008B1D10"/>
    <w:rsid w:val="008B200F"/>
    <w:rsid w:val="008B205A"/>
    <w:rsid w:val="008B2D75"/>
    <w:rsid w:val="008B3ABC"/>
    <w:rsid w:val="008B445C"/>
    <w:rsid w:val="008B4FA5"/>
    <w:rsid w:val="008B521E"/>
    <w:rsid w:val="008B52E8"/>
    <w:rsid w:val="008B582D"/>
    <w:rsid w:val="008B690C"/>
    <w:rsid w:val="008B6976"/>
    <w:rsid w:val="008B6E0B"/>
    <w:rsid w:val="008B71DD"/>
    <w:rsid w:val="008B720C"/>
    <w:rsid w:val="008B7C73"/>
    <w:rsid w:val="008B7CAC"/>
    <w:rsid w:val="008B7F2D"/>
    <w:rsid w:val="008C0032"/>
    <w:rsid w:val="008C077C"/>
    <w:rsid w:val="008C0803"/>
    <w:rsid w:val="008C09BA"/>
    <w:rsid w:val="008C1061"/>
    <w:rsid w:val="008C1644"/>
    <w:rsid w:val="008C16CD"/>
    <w:rsid w:val="008C1C42"/>
    <w:rsid w:val="008C21F4"/>
    <w:rsid w:val="008C241D"/>
    <w:rsid w:val="008C2919"/>
    <w:rsid w:val="008C2D3D"/>
    <w:rsid w:val="008C2F17"/>
    <w:rsid w:val="008C301F"/>
    <w:rsid w:val="008C321F"/>
    <w:rsid w:val="008C37B2"/>
    <w:rsid w:val="008C37FA"/>
    <w:rsid w:val="008C435C"/>
    <w:rsid w:val="008C4BEE"/>
    <w:rsid w:val="008C5401"/>
    <w:rsid w:val="008C68FB"/>
    <w:rsid w:val="008C79C1"/>
    <w:rsid w:val="008C7A11"/>
    <w:rsid w:val="008D068B"/>
    <w:rsid w:val="008D0714"/>
    <w:rsid w:val="008D2895"/>
    <w:rsid w:val="008D28B0"/>
    <w:rsid w:val="008D2A6E"/>
    <w:rsid w:val="008D2CAE"/>
    <w:rsid w:val="008D3426"/>
    <w:rsid w:val="008D3558"/>
    <w:rsid w:val="008D3733"/>
    <w:rsid w:val="008D376D"/>
    <w:rsid w:val="008D3B73"/>
    <w:rsid w:val="008D3EF3"/>
    <w:rsid w:val="008D417C"/>
    <w:rsid w:val="008D4385"/>
    <w:rsid w:val="008D44D4"/>
    <w:rsid w:val="008D486D"/>
    <w:rsid w:val="008D5A17"/>
    <w:rsid w:val="008D5C6E"/>
    <w:rsid w:val="008D5E0F"/>
    <w:rsid w:val="008D603F"/>
    <w:rsid w:val="008D66D0"/>
    <w:rsid w:val="008D706D"/>
    <w:rsid w:val="008D7208"/>
    <w:rsid w:val="008D77B0"/>
    <w:rsid w:val="008E08C9"/>
    <w:rsid w:val="008E106D"/>
    <w:rsid w:val="008E1504"/>
    <w:rsid w:val="008E1799"/>
    <w:rsid w:val="008E1ABB"/>
    <w:rsid w:val="008E1DF3"/>
    <w:rsid w:val="008E206E"/>
    <w:rsid w:val="008E20BB"/>
    <w:rsid w:val="008E2738"/>
    <w:rsid w:val="008E2954"/>
    <w:rsid w:val="008E355B"/>
    <w:rsid w:val="008E3F98"/>
    <w:rsid w:val="008E3FE7"/>
    <w:rsid w:val="008E480B"/>
    <w:rsid w:val="008E4963"/>
    <w:rsid w:val="008E5407"/>
    <w:rsid w:val="008E545D"/>
    <w:rsid w:val="008E5E94"/>
    <w:rsid w:val="008E5F16"/>
    <w:rsid w:val="008E60D2"/>
    <w:rsid w:val="008E6131"/>
    <w:rsid w:val="008E6662"/>
    <w:rsid w:val="008E696F"/>
    <w:rsid w:val="008E6ADF"/>
    <w:rsid w:val="008E77EF"/>
    <w:rsid w:val="008E7978"/>
    <w:rsid w:val="008F0FBC"/>
    <w:rsid w:val="008F10C8"/>
    <w:rsid w:val="008F141A"/>
    <w:rsid w:val="008F157E"/>
    <w:rsid w:val="008F1693"/>
    <w:rsid w:val="008F17F9"/>
    <w:rsid w:val="008F1A78"/>
    <w:rsid w:val="008F1BB3"/>
    <w:rsid w:val="008F1C14"/>
    <w:rsid w:val="008F25A5"/>
    <w:rsid w:val="008F2C67"/>
    <w:rsid w:val="008F313F"/>
    <w:rsid w:val="008F351F"/>
    <w:rsid w:val="008F470B"/>
    <w:rsid w:val="008F59F3"/>
    <w:rsid w:val="008F747C"/>
    <w:rsid w:val="008F78DD"/>
    <w:rsid w:val="009008BE"/>
    <w:rsid w:val="00900CA0"/>
    <w:rsid w:val="009020FD"/>
    <w:rsid w:val="009028B8"/>
    <w:rsid w:val="00902C62"/>
    <w:rsid w:val="009036F7"/>
    <w:rsid w:val="00903E28"/>
    <w:rsid w:val="009040FD"/>
    <w:rsid w:val="0090437E"/>
    <w:rsid w:val="0090438D"/>
    <w:rsid w:val="009045D5"/>
    <w:rsid w:val="009048BB"/>
    <w:rsid w:val="00904EFC"/>
    <w:rsid w:val="00905BCA"/>
    <w:rsid w:val="00905BE4"/>
    <w:rsid w:val="00906059"/>
    <w:rsid w:val="009060F2"/>
    <w:rsid w:val="00906DC9"/>
    <w:rsid w:val="00906F9D"/>
    <w:rsid w:val="0091024A"/>
    <w:rsid w:val="00910488"/>
    <w:rsid w:val="00910D8E"/>
    <w:rsid w:val="00911049"/>
    <w:rsid w:val="00911A93"/>
    <w:rsid w:val="00911D97"/>
    <w:rsid w:val="00913085"/>
    <w:rsid w:val="00913A4E"/>
    <w:rsid w:val="00913E71"/>
    <w:rsid w:val="009146C8"/>
    <w:rsid w:val="00914A59"/>
    <w:rsid w:val="009150CD"/>
    <w:rsid w:val="00915AC3"/>
    <w:rsid w:val="0091655C"/>
    <w:rsid w:val="00916690"/>
    <w:rsid w:val="00916AFE"/>
    <w:rsid w:val="00916BE2"/>
    <w:rsid w:val="00916D49"/>
    <w:rsid w:val="009171A8"/>
    <w:rsid w:val="00917580"/>
    <w:rsid w:val="009177BC"/>
    <w:rsid w:val="00917810"/>
    <w:rsid w:val="009206DB"/>
    <w:rsid w:val="00920772"/>
    <w:rsid w:val="00920E18"/>
    <w:rsid w:val="009211D5"/>
    <w:rsid w:val="009212AF"/>
    <w:rsid w:val="00921CCB"/>
    <w:rsid w:val="00921D68"/>
    <w:rsid w:val="00921EF1"/>
    <w:rsid w:val="0092244C"/>
    <w:rsid w:val="009232A7"/>
    <w:rsid w:val="009233B6"/>
    <w:rsid w:val="009237CB"/>
    <w:rsid w:val="00923878"/>
    <w:rsid w:val="009240A1"/>
    <w:rsid w:val="009243B3"/>
    <w:rsid w:val="00924B4E"/>
    <w:rsid w:val="00924B74"/>
    <w:rsid w:val="00924DA7"/>
    <w:rsid w:val="009250AE"/>
    <w:rsid w:val="009253B5"/>
    <w:rsid w:val="009261A6"/>
    <w:rsid w:val="00926A8C"/>
    <w:rsid w:val="00926FCD"/>
    <w:rsid w:val="0092719C"/>
    <w:rsid w:val="00927856"/>
    <w:rsid w:val="00927A10"/>
    <w:rsid w:val="00930AF8"/>
    <w:rsid w:val="00930C64"/>
    <w:rsid w:val="0093120A"/>
    <w:rsid w:val="009312EF"/>
    <w:rsid w:val="00931BA4"/>
    <w:rsid w:val="00931E84"/>
    <w:rsid w:val="00932002"/>
    <w:rsid w:val="0093273F"/>
    <w:rsid w:val="00932CC1"/>
    <w:rsid w:val="00932D75"/>
    <w:rsid w:val="00933515"/>
    <w:rsid w:val="00933589"/>
    <w:rsid w:val="0093370C"/>
    <w:rsid w:val="0093396C"/>
    <w:rsid w:val="00933FEC"/>
    <w:rsid w:val="009342C0"/>
    <w:rsid w:val="0093436B"/>
    <w:rsid w:val="009344D1"/>
    <w:rsid w:val="00934827"/>
    <w:rsid w:val="00934A98"/>
    <w:rsid w:val="00934B06"/>
    <w:rsid w:val="009355D6"/>
    <w:rsid w:val="00935994"/>
    <w:rsid w:val="009361BF"/>
    <w:rsid w:val="0093636F"/>
    <w:rsid w:val="00936592"/>
    <w:rsid w:val="00936FF4"/>
    <w:rsid w:val="009371E1"/>
    <w:rsid w:val="0093750F"/>
    <w:rsid w:val="00937880"/>
    <w:rsid w:val="00937D07"/>
    <w:rsid w:val="00937E47"/>
    <w:rsid w:val="00940BF5"/>
    <w:rsid w:val="00941439"/>
    <w:rsid w:val="00942317"/>
    <w:rsid w:val="00943060"/>
    <w:rsid w:val="00943216"/>
    <w:rsid w:val="00943338"/>
    <w:rsid w:val="009434AD"/>
    <w:rsid w:val="0094357D"/>
    <w:rsid w:val="00943AF3"/>
    <w:rsid w:val="00943BCB"/>
    <w:rsid w:val="00943BD7"/>
    <w:rsid w:val="00944383"/>
    <w:rsid w:val="009445AC"/>
    <w:rsid w:val="00944648"/>
    <w:rsid w:val="009446B1"/>
    <w:rsid w:val="00944B6E"/>
    <w:rsid w:val="00944D35"/>
    <w:rsid w:val="00944FC0"/>
    <w:rsid w:val="00945371"/>
    <w:rsid w:val="00945FC6"/>
    <w:rsid w:val="0094606D"/>
    <w:rsid w:val="0094641B"/>
    <w:rsid w:val="00946CB2"/>
    <w:rsid w:val="00950B8D"/>
    <w:rsid w:val="00950EAD"/>
    <w:rsid w:val="00951665"/>
    <w:rsid w:val="00952306"/>
    <w:rsid w:val="009527BB"/>
    <w:rsid w:val="00952DE9"/>
    <w:rsid w:val="00953389"/>
    <w:rsid w:val="009535C4"/>
    <w:rsid w:val="00953C95"/>
    <w:rsid w:val="00953CDA"/>
    <w:rsid w:val="00953DCA"/>
    <w:rsid w:val="00953E8D"/>
    <w:rsid w:val="00953ED5"/>
    <w:rsid w:val="00954C78"/>
    <w:rsid w:val="00954E0D"/>
    <w:rsid w:val="00955310"/>
    <w:rsid w:val="00955F9B"/>
    <w:rsid w:val="00956174"/>
    <w:rsid w:val="009562DC"/>
    <w:rsid w:val="00956394"/>
    <w:rsid w:val="009565BD"/>
    <w:rsid w:val="0095718F"/>
    <w:rsid w:val="00957395"/>
    <w:rsid w:val="00957A86"/>
    <w:rsid w:val="00960076"/>
    <w:rsid w:val="00960323"/>
    <w:rsid w:val="0096042F"/>
    <w:rsid w:val="0096060D"/>
    <w:rsid w:val="00960D9A"/>
    <w:rsid w:val="00961057"/>
    <w:rsid w:val="009610F6"/>
    <w:rsid w:val="0096195B"/>
    <w:rsid w:val="009626EF"/>
    <w:rsid w:val="00962713"/>
    <w:rsid w:val="00962EEE"/>
    <w:rsid w:val="009634E0"/>
    <w:rsid w:val="009635F4"/>
    <w:rsid w:val="00964CBD"/>
    <w:rsid w:val="00964E64"/>
    <w:rsid w:val="00965831"/>
    <w:rsid w:val="00965FF0"/>
    <w:rsid w:val="009663A6"/>
    <w:rsid w:val="00967094"/>
    <w:rsid w:val="0096741C"/>
    <w:rsid w:val="00970145"/>
    <w:rsid w:val="00970645"/>
    <w:rsid w:val="00970791"/>
    <w:rsid w:val="0097080C"/>
    <w:rsid w:val="00971565"/>
    <w:rsid w:val="00971A9B"/>
    <w:rsid w:val="00972222"/>
    <w:rsid w:val="00972263"/>
    <w:rsid w:val="0097232B"/>
    <w:rsid w:val="00972EF5"/>
    <w:rsid w:val="00973415"/>
    <w:rsid w:val="0097360A"/>
    <w:rsid w:val="00973BDA"/>
    <w:rsid w:val="00974063"/>
    <w:rsid w:val="009744BC"/>
    <w:rsid w:val="0097457E"/>
    <w:rsid w:val="00974593"/>
    <w:rsid w:val="009749E0"/>
    <w:rsid w:val="00974A34"/>
    <w:rsid w:val="00974ACE"/>
    <w:rsid w:val="0097516D"/>
    <w:rsid w:val="00975195"/>
    <w:rsid w:val="009752DD"/>
    <w:rsid w:val="009755A1"/>
    <w:rsid w:val="0097590C"/>
    <w:rsid w:val="00975BA5"/>
    <w:rsid w:val="009763F3"/>
    <w:rsid w:val="009765E1"/>
    <w:rsid w:val="00976B55"/>
    <w:rsid w:val="00976B7C"/>
    <w:rsid w:val="009771A9"/>
    <w:rsid w:val="00977406"/>
    <w:rsid w:val="009775CD"/>
    <w:rsid w:val="00977BE0"/>
    <w:rsid w:val="00977DBE"/>
    <w:rsid w:val="00977F65"/>
    <w:rsid w:val="00977FAE"/>
    <w:rsid w:val="00980731"/>
    <w:rsid w:val="009809EB"/>
    <w:rsid w:val="00980B9E"/>
    <w:rsid w:val="009826A0"/>
    <w:rsid w:val="00982E21"/>
    <w:rsid w:val="00983012"/>
    <w:rsid w:val="00983021"/>
    <w:rsid w:val="0098304D"/>
    <w:rsid w:val="00983314"/>
    <w:rsid w:val="00983350"/>
    <w:rsid w:val="00983580"/>
    <w:rsid w:val="00983B54"/>
    <w:rsid w:val="00984017"/>
    <w:rsid w:val="009843CD"/>
    <w:rsid w:val="009846EB"/>
    <w:rsid w:val="00984EA1"/>
    <w:rsid w:val="009852A2"/>
    <w:rsid w:val="0098556E"/>
    <w:rsid w:val="00985BB8"/>
    <w:rsid w:val="00986212"/>
    <w:rsid w:val="0098621C"/>
    <w:rsid w:val="00986324"/>
    <w:rsid w:val="00986332"/>
    <w:rsid w:val="00986E48"/>
    <w:rsid w:val="009870D9"/>
    <w:rsid w:val="00987321"/>
    <w:rsid w:val="0098743A"/>
    <w:rsid w:val="009876F8"/>
    <w:rsid w:val="0098786C"/>
    <w:rsid w:val="009879A2"/>
    <w:rsid w:val="00990354"/>
    <w:rsid w:val="009906BA"/>
    <w:rsid w:val="0099096E"/>
    <w:rsid w:val="009909FD"/>
    <w:rsid w:val="00990D18"/>
    <w:rsid w:val="00991E8C"/>
    <w:rsid w:val="00992198"/>
    <w:rsid w:val="009921DE"/>
    <w:rsid w:val="00992501"/>
    <w:rsid w:val="00992830"/>
    <w:rsid w:val="00992855"/>
    <w:rsid w:val="00992CA5"/>
    <w:rsid w:val="00992D3A"/>
    <w:rsid w:val="00992D74"/>
    <w:rsid w:val="0099336D"/>
    <w:rsid w:val="0099362D"/>
    <w:rsid w:val="009940C3"/>
    <w:rsid w:val="00994787"/>
    <w:rsid w:val="00994F45"/>
    <w:rsid w:val="009952A7"/>
    <w:rsid w:val="0099532E"/>
    <w:rsid w:val="00995718"/>
    <w:rsid w:val="00996C8F"/>
    <w:rsid w:val="0099782B"/>
    <w:rsid w:val="0099798B"/>
    <w:rsid w:val="009A05F7"/>
    <w:rsid w:val="009A0935"/>
    <w:rsid w:val="009A0D13"/>
    <w:rsid w:val="009A14A8"/>
    <w:rsid w:val="009A1665"/>
    <w:rsid w:val="009A1DD5"/>
    <w:rsid w:val="009A208D"/>
    <w:rsid w:val="009A258F"/>
    <w:rsid w:val="009A27E6"/>
    <w:rsid w:val="009A2BC3"/>
    <w:rsid w:val="009A2E4B"/>
    <w:rsid w:val="009A39CC"/>
    <w:rsid w:val="009A3BCB"/>
    <w:rsid w:val="009A402D"/>
    <w:rsid w:val="009A416D"/>
    <w:rsid w:val="009A449B"/>
    <w:rsid w:val="009A48FA"/>
    <w:rsid w:val="009A5184"/>
    <w:rsid w:val="009A5992"/>
    <w:rsid w:val="009A5B5D"/>
    <w:rsid w:val="009A6573"/>
    <w:rsid w:val="009A6931"/>
    <w:rsid w:val="009A6BD5"/>
    <w:rsid w:val="009A6D33"/>
    <w:rsid w:val="009A6E7E"/>
    <w:rsid w:val="009A72FC"/>
    <w:rsid w:val="009A74E6"/>
    <w:rsid w:val="009A7DE4"/>
    <w:rsid w:val="009B13D6"/>
    <w:rsid w:val="009B240C"/>
    <w:rsid w:val="009B2963"/>
    <w:rsid w:val="009B2DEB"/>
    <w:rsid w:val="009B2ED2"/>
    <w:rsid w:val="009B3037"/>
    <w:rsid w:val="009B3615"/>
    <w:rsid w:val="009B3842"/>
    <w:rsid w:val="009B3EE9"/>
    <w:rsid w:val="009B4134"/>
    <w:rsid w:val="009B44B2"/>
    <w:rsid w:val="009B4510"/>
    <w:rsid w:val="009B4621"/>
    <w:rsid w:val="009B51E6"/>
    <w:rsid w:val="009B573A"/>
    <w:rsid w:val="009B58E2"/>
    <w:rsid w:val="009B59C1"/>
    <w:rsid w:val="009B600A"/>
    <w:rsid w:val="009B6DC9"/>
    <w:rsid w:val="009B75A3"/>
    <w:rsid w:val="009B7728"/>
    <w:rsid w:val="009B787F"/>
    <w:rsid w:val="009B7E63"/>
    <w:rsid w:val="009C00E3"/>
    <w:rsid w:val="009C020B"/>
    <w:rsid w:val="009C0237"/>
    <w:rsid w:val="009C0571"/>
    <w:rsid w:val="009C16A8"/>
    <w:rsid w:val="009C1E40"/>
    <w:rsid w:val="009C235A"/>
    <w:rsid w:val="009C2B8C"/>
    <w:rsid w:val="009C2C3A"/>
    <w:rsid w:val="009C30DC"/>
    <w:rsid w:val="009C3170"/>
    <w:rsid w:val="009C365A"/>
    <w:rsid w:val="009C37BC"/>
    <w:rsid w:val="009C3915"/>
    <w:rsid w:val="009C4681"/>
    <w:rsid w:val="009C4E97"/>
    <w:rsid w:val="009C534B"/>
    <w:rsid w:val="009C535B"/>
    <w:rsid w:val="009C59DC"/>
    <w:rsid w:val="009C59EA"/>
    <w:rsid w:val="009C5F53"/>
    <w:rsid w:val="009C5FEB"/>
    <w:rsid w:val="009C6611"/>
    <w:rsid w:val="009C6A73"/>
    <w:rsid w:val="009C7D75"/>
    <w:rsid w:val="009C7D97"/>
    <w:rsid w:val="009D031C"/>
    <w:rsid w:val="009D0424"/>
    <w:rsid w:val="009D06C9"/>
    <w:rsid w:val="009D1760"/>
    <w:rsid w:val="009D1987"/>
    <w:rsid w:val="009D19A3"/>
    <w:rsid w:val="009D22C7"/>
    <w:rsid w:val="009D2FCB"/>
    <w:rsid w:val="009D3209"/>
    <w:rsid w:val="009D34CA"/>
    <w:rsid w:val="009D4078"/>
    <w:rsid w:val="009D56AF"/>
    <w:rsid w:val="009D5F0B"/>
    <w:rsid w:val="009D6122"/>
    <w:rsid w:val="009D61F6"/>
    <w:rsid w:val="009D624F"/>
    <w:rsid w:val="009D6A17"/>
    <w:rsid w:val="009D6FB8"/>
    <w:rsid w:val="009D7023"/>
    <w:rsid w:val="009D74C8"/>
    <w:rsid w:val="009D7648"/>
    <w:rsid w:val="009D79D0"/>
    <w:rsid w:val="009D7C4B"/>
    <w:rsid w:val="009E0454"/>
    <w:rsid w:val="009E0558"/>
    <w:rsid w:val="009E07BE"/>
    <w:rsid w:val="009E0BCC"/>
    <w:rsid w:val="009E1136"/>
    <w:rsid w:val="009E121F"/>
    <w:rsid w:val="009E12FC"/>
    <w:rsid w:val="009E1463"/>
    <w:rsid w:val="009E21FE"/>
    <w:rsid w:val="009E2477"/>
    <w:rsid w:val="009E2E5C"/>
    <w:rsid w:val="009E3151"/>
    <w:rsid w:val="009E35B3"/>
    <w:rsid w:val="009E4339"/>
    <w:rsid w:val="009E44F4"/>
    <w:rsid w:val="009E4C11"/>
    <w:rsid w:val="009E51E3"/>
    <w:rsid w:val="009E534B"/>
    <w:rsid w:val="009E5529"/>
    <w:rsid w:val="009E6B6E"/>
    <w:rsid w:val="009E7031"/>
    <w:rsid w:val="009E7592"/>
    <w:rsid w:val="009E765F"/>
    <w:rsid w:val="009E7A17"/>
    <w:rsid w:val="009F044E"/>
    <w:rsid w:val="009F0A05"/>
    <w:rsid w:val="009F0B65"/>
    <w:rsid w:val="009F0EA8"/>
    <w:rsid w:val="009F14F8"/>
    <w:rsid w:val="009F1A08"/>
    <w:rsid w:val="009F2855"/>
    <w:rsid w:val="009F2F01"/>
    <w:rsid w:val="009F35B3"/>
    <w:rsid w:val="009F3759"/>
    <w:rsid w:val="009F3CBC"/>
    <w:rsid w:val="009F3FB2"/>
    <w:rsid w:val="009F42AF"/>
    <w:rsid w:val="009F44D7"/>
    <w:rsid w:val="009F4619"/>
    <w:rsid w:val="009F46F6"/>
    <w:rsid w:val="009F4984"/>
    <w:rsid w:val="009F4E22"/>
    <w:rsid w:val="009F5129"/>
    <w:rsid w:val="009F5345"/>
    <w:rsid w:val="009F53C1"/>
    <w:rsid w:val="009F5467"/>
    <w:rsid w:val="009F5600"/>
    <w:rsid w:val="009F64A1"/>
    <w:rsid w:val="009F6B0B"/>
    <w:rsid w:val="009F6D76"/>
    <w:rsid w:val="009F6D94"/>
    <w:rsid w:val="009F6F1E"/>
    <w:rsid w:val="009F72EE"/>
    <w:rsid w:val="009F7AC5"/>
    <w:rsid w:val="009F7AFB"/>
    <w:rsid w:val="009F7B22"/>
    <w:rsid w:val="00A001D8"/>
    <w:rsid w:val="00A0060A"/>
    <w:rsid w:val="00A008C9"/>
    <w:rsid w:val="00A00A6B"/>
    <w:rsid w:val="00A011B8"/>
    <w:rsid w:val="00A01387"/>
    <w:rsid w:val="00A01409"/>
    <w:rsid w:val="00A0153B"/>
    <w:rsid w:val="00A01C03"/>
    <w:rsid w:val="00A01D88"/>
    <w:rsid w:val="00A021A1"/>
    <w:rsid w:val="00A025FE"/>
    <w:rsid w:val="00A0263C"/>
    <w:rsid w:val="00A0280F"/>
    <w:rsid w:val="00A03881"/>
    <w:rsid w:val="00A039C4"/>
    <w:rsid w:val="00A03A97"/>
    <w:rsid w:val="00A05815"/>
    <w:rsid w:val="00A0593C"/>
    <w:rsid w:val="00A064C9"/>
    <w:rsid w:val="00A06CD6"/>
    <w:rsid w:val="00A07248"/>
    <w:rsid w:val="00A100CC"/>
    <w:rsid w:val="00A1040B"/>
    <w:rsid w:val="00A10625"/>
    <w:rsid w:val="00A10996"/>
    <w:rsid w:val="00A10A21"/>
    <w:rsid w:val="00A10F94"/>
    <w:rsid w:val="00A11646"/>
    <w:rsid w:val="00A118CB"/>
    <w:rsid w:val="00A11D85"/>
    <w:rsid w:val="00A11EED"/>
    <w:rsid w:val="00A1222C"/>
    <w:rsid w:val="00A123C0"/>
    <w:rsid w:val="00A12A4C"/>
    <w:rsid w:val="00A12C2E"/>
    <w:rsid w:val="00A136C9"/>
    <w:rsid w:val="00A13D53"/>
    <w:rsid w:val="00A1476D"/>
    <w:rsid w:val="00A148EC"/>
    <w:rsid w:val="00A149A9"/>
    <w:rsid w:val="00A14A31"/>
    <w:rsid w:val="00A14F2B"/>
    <w:rsid w:val="00A1516A"/>
    <w:rsid w:val="00A15593"/>
    <w:rsid w:val="00A15A66"/>
    <w:rsid w:val="00A15AAA"/>
    <w:rsid w:val="00A15E72"/>
    <w:rsid w:val="00A1602C"/>
    <w:rsid w:val="00A160F9"/>
    <w:rsid w:val="00A1628E"/>
    <w:rsid w:val="00A162A6"/>
    <w:rsid w:val="00A16840"/>
    <w:rsid w:val="00A17747"/>
    <w:rsid w:val="00A20C26"/>
    <w:rsid w:val="00A20C6F"/>
    <w:rsid w:val="00A21362"/>
    <w:rsid w:val="00A223B3"/>
    <w:rsid w:val="00A22C08"/>
    <w:rsid w:val="00A22CD9"/>
    <w:rsid w:val="00A23191"/>
    <w:rsid w:val="00A2363C"/>
    <w:rsid w:val="00A23EEA"/>
    <w:rsid w:val="00A23F6A"/>
    <w:rsid w:val="00A24086"/>
    <w:rsid w:val="00A240D4"/>
    <w:rsid w:val="00A24553"/>
    <w:rsid w:val="00A24DCD"/>
    <w:rsid w:val="00A24F2C"/>
    <w:rsid w:val="00A25196"/>
    <w:rsid w:val="00A25E10"/>
    <w:rsid w:val="00A26454"/>
    <w:rsid w:val="00A26837"/>
    <w:rsid w:val="00A26ED4"/>
    <w:rsid w:val="00A270F6"/>
    <w:rsid w:val="00A2780A"/>
    <w:rsid w:val="00A278D4"/>
    <w:rsid w:val="00A30067"/>
    <w:rsid w:val="00A30C6B"/>
    <w:rsid w:val="00A30DDA"/>
    <w:rsid w:val="00A3102D"/>
    <w:rsid w:val="00A3149E"/>
    <w:rsid w:val="00A314E5"/>
    <w:rsid w:val="00A3179A"/>
    <w:rsid w:val="00A319C7"/>
    <w:rsid w:val="00A31DD9"/>
    <w:rsid w:val="00A33250"/>
    <w:rsid w:val="00A3383E"/>
    <w:rsid w:val="00A33F21"/>
    <w:rsid w:val="00A3446F"/>
    <w:rsid w:val="00A3502B"/>
    <w:rsid w:val="00A3545C"/>
    <w:rsid w:val="00A36B0E"/>
    <w:rsid w:val="00A377BF"/>
    <w:rsid w:val="00A37918"/>
    <w:rsid w:val="00A37BCC"/>
    <w:rsid w:val="00A37EE8"/>
    <w:rsid w:val="00A40245"/>
    <w:rsid w:val="00A40292"/>
    <w:rsid w:val="00A40355"/>
    <w:rsid w:val="00A407C5"/>
    <w:rsid w:val="00A41AE1"/>
    <w:rsid w:val="00A42142"/>
    <w:rsid w:val="00A4379B"/>
    <w:rsid w:val="00A44336"/>
    <w:rsid w:val="00A44E31"/>
    <w:rsid w:val="00A45386"/>
    <w:rsid w:val="00A46286"/>
    <w:rsid w:val="00A46291"/>
    <w:rsid w:val="00A462A4"/>
    <w:rsid w:val="00A46335"/>
    <w:rsid w:val="00A46437"/>
    <w:rsid w:val="00A4669E"/>
    <w:rsid w:val="00A4700C"/>
    <w:rsid w:val="00A476CD"/>
    <w:rsid w:val="00A5097F"/>
    <w:rsid w:val="00A50CFD"/>
    <w:rsid w:val="00A51190"/>
    <w:rsid w:val="00A514B7"/>
    <w:rsid w:val="00A5169B"/>
    <w:rsid w:val="00A526D4"/>
    <w:rsid w:val="00A52A11"/>
    <w:rsid w:val="00A52BAD"/>
    <w:rsid w:val="00A53C72"/>
    <w:rsid w:val="00A54491"/>
    <w:rsid w:val="00A54695"/>
    <w:rsid w:val="00A553DE"/>
    <w:rsid w:val="00A56382"/>
    <w:rsid w:val="00A56685"/>
    <w:rsid w:val="00A56BDD"/>
    <w:rsid w:val="00A56F9E"/>
    <w:rsid w:val="00A57B5F"/>
    <w:rsid w:val="00A60066"/>
    <w:rsid w:val="00A600C4"/>
    <w:rsid w:val="00A604EF"/>
    <w:rsid w:val="00A606D9"/>
    <w:rsid w:val="00A607C9"/>
    <w:rsid w:val="00A6093C"/>
    <w:rsid w:val="00A60B30"/>
    <w:rsid w:val="00A60DC3"/>
    <w:rsid w:val="00A617A1"/>
    <w:rsid w:val="00A61BDA"/>
    <w:rsid w:val="00A62033"/>
    <w:rsid w:val="00A623FE"/>
    <w:rsid w:val="00A6281C"/>
    <w:rsid w:val="00A6283C"/>
    <w:rsid w:val="00A634EA"/>
    <w:rsid w:val="00A64D0D"/>
    <w:rsid w:val="00A64D60"/>
    <w:rsid w:val="00A65175"/>
    <w:rsid w:val="00A65EA1"/>
    <w:rsid w:val="00A65F18"/>
    <w:rsid w:val="00A65FD3"/>
    <w:rsid w:val="00A669CE"/>
    <w:rsid w:val="00A66D97"/>
    <w:rsid w:val="00A66DA1"/>
    <w:rsid w:val="00A67085"/>
    <w:rsid w:val="00A675A4"/>
    <w:rsid w:val="00A67944"/>
    <w:rsid w:val="00A67E01"/>
    <w:rsid w:val="00A67E3C"/>
    <w:rsid w:val="00A67E6F"/>
    <w:rsid w:val="00A70A06"/>
    <w:rsid w:val="00A72006"/>
    <w:rsid w:val="00A721CA"/>
    <w:rsid w:val="00A725C4"/>
    <w:rsid w:val="00A72686"/>
    <w:rsid w:val="00A72745"/>
    <w:rsid w:val="00A73185"/>
    <w:rsid w:val="00A736CE"/>
    <w:rsid w:val="00A743AD"/>
    <w:rsid w:val="00A74AFF"/>
    <w:rsid w:val="00A74E6C"/>
    <w:rsid w:val="00A74EF3"/>
    <w:rsid w:val="00A75223"/>
    <w:rsid w:val="00A752BD"/>
    <w:rsid w:val="00A7534A"/>
    <w:rsid w:val="00A75953"/>
    <w:rsid w:val="00A75FD4"/>
    <w:rsid w:val="00A761D1"/>
    <w:rsid w:val="00A77914"/>
    <w:rsid w:val="00A813C3"/>
    <w:rsid w:val="00A81A6F"/>
    <w:rsid w:val="00A81B60"/>
    <w:rsid w:val="00A8233D"/>
    <w:rsid w:val="00A83770"/>
    <w:rsid w:val="00A83D11"/>
    <w:rsid w:val="00A84117"/>
    <w:rsid w:val="00A85041"/>
    <w:rsid w:val="00A8537E"/>
    <w:rsid w:val="00A8570E"/>
    <w:rsid w:val="00A858E4"/>
    <w:rsid w:val="00A85933"/>
    <w:rsid w:val="00A8615E"/>
    <w:rsid w:val="00A863EB"/>
    <w:rsid w:val="00A867A9"/>
    <w:rsid w:val="00A86A7B"/>
    <w:rsid w:val="00A86D00"/>
    <w:rsid w:val="00A87BBA"/>
    <w:rsid w:val="00A87E2C"/>
    <w:rsid w:val="00A908ED"/>
    <w:rsid w:val="00A915A4"/>
    <w:rsid w:val="00A91DB8"/>
    <w:rsid w:val="00A92F02"/>
    <w:rsid w:val="00A934C8"/>
    <w:rsid w:val="00A93E8F"/>
    <w:rsid w:val="00A94235"/>
    <w:rsid w:val="00A94283"/>
    <w:rsid w:val="00A94430"/>
    <w:rsid w:val="00A94548"/>
    <w:rsid w:val="00A94B36"/>
    <w:rsid w:val="00A94BA4"/>
    <w:rsid w:val="00A94FE1"/>
    <w:rsid w:val="00A95AF2"/>
    <w:rsid w:val="00A96791"/>
    <w:rsid w:val="00A975FB"/>
    <w:rsid w:val="00A9776D"/>
    <w:rsid w:val="00A97BC5"/>
    <w:rsid w:val="00A97C17"/>
    <w:rsid w:val="00A97CA2"/>
    <w:rsid w:val="00AA01DC"/>
    <w:rsid w:val="00AA0325"/>
    <w:rsid w:val="00AA0339"/>
    <w:rsid w:val="00AA08F8"/>
    <w:rsid w:val="00AA09AF"/>
    <w:rsid w:val="00AA12CA"/>
    <w:rsid w:val="00AA164C"/>
    <w:rsid w:val="00AA1ECA"/>
    <w:rsid w:val="00AA260C"/>
    <w:rsid w:val="00AA2DDF"/>
    <w:rsid w:val="00AA2E45"/>
    <w:rsid w:val="00AA33AB"/>
    <w:rsid w:val="00AA3580"/>
    <w:rsid w:val="00AA3594"/>
    <w:rsid w:val="00AA38C4"/>
    <w:rsid w:val="00AA4EFD"/>
    <w:rsid w:val="00AA5408"/>
    <w:rsid w:val="00AA6559"/>
    <w:rsid w:val="00AA65BE"/>
    <w:rsid w:val="00AA6893"/>
    <w:rsid w:val="00AA6D75"/>
    <w:rsid w:val="00AA72DD"/>
    <w:rsid w:val="00AA7437"/>
    <w:rsid w:val="00AA76CA"/>
    <w:rsid w:val="00AB00E2"/>
    <w:rsid w:val="00AB053D"/>
    <w:rsid w:val="00AB0CE6"/>
    <w:rsid w:val="00AB0D73"/>
    <w:rsid w:val="00AB1274"/>
    <w:rsid w:val="00AB1D07"/>
    <w:rsid w:val="00AB1D8D"/>
    <w:rsid w:val="00AB226F"/>
    <w:rsid w:val="00AB244C"/>
    <w:rsid w:val="00AB269C"/>
    <w:rsid w:val="00AB2C69"/>
    <w:rsid w:val="00AB2D27"/>
    <w:rsid w:val="00AB3056"/>
    <w:rsid w:val="00AB3557"/>
    <w:rsid w:val="00AB3657"/>
    <w:rsid w:val="00AB376A"/>
    <w:rsid w:val="00AB38EB"/>
    <w:rsid w:val="00AB40E0"/>
    <w:rsid w:val="00AB4536"/>
    <w:rsid w:val="00AB461D"/>
    <w:rsid w:val="00AB4A44"/>
    <w:rsid w:val="00AB4A83"/>
    <w:rsid w:val="00AB5524"/>
    <w:rsid w:val="00AB565D"/>
    <w:rsid w:val="00AB5CEB"/>
    <w:rsid w:val="00AB619B"/>
    <w:rsid w:val="00AB61CE"/>
    <w:rsid w:val="00AB66CE"/>
    <w:rsid w:val="00AB6D81"/>
    <w:rsid w:val="00AB7069"/>
    <w:rsid w:val="00AB7FBB"/>
    <w:rsid w:val="00AC0760"/>
    <w:rsid w:val="00AC0A3F"/>
    <w:rsid w:val="00AC1068"/>
    <w:rsid w:val="00AC1129"/>
    <w:rsid w:val="00AC1572"/>
    <w:rsid w:val="00AC1AA0"/>
    <w:rsid w:val="00AC1CC7"/>
    <w:rsid w:val="00AC1F36"/>
    <w:rsid w:val="00AC287E"/>
    <w:rsid w:val="00AC2F0D"/>
    <w:rsid w:val="00AC3299"/>
    <w:rsid w:val="00AC37F9"/>
    <w:rsid w:val="00AC4F94"/>
    <w:rsid w:val="00AC523D"/>
    <w:rsid w:val="00AC5709"/>
    <w:rsid w:val="00AC586C"/>
    <w:rsid w:val="00AC6291"/>
    <w:rsid w:val="00AC634A"/>
    <w:rsid w:val="00AC64D2"/>
    <w:rsid w:val="00AC657C"/>
    <w:rsid w:val="00AC7186"/>
    <w:rsid w:val="00AC766E"/>
    <w:rsid w:val="00AC7752"/>
    <w:rsid w:val="00AC77D0"/>
    <w:rsid w:val="00AD00C6"/>
    <w:rsid w:val="00AD1148"/>
    <w:rsid w:val="00AD1530"/>
    <w:rsid w:val="00AD1916"/>
    <w:rsid w:val="00AD1C18"/>
    <w:rsid w:val="00AD26CA"/>
    <w:rsid w:val="00AD2D07"/>
    <w:rsid w:val="00AD4062"/>
    <w:rsid w:val="00AD4612"/>
    <w:rsid w:val="00AD5096"/>
    <w:rsid w:val="00AD5DE2"/>
    <w:rsid w:val="00AD60FB"/>
    <w:rsid w:val="00AD73FC"/>
    <w:rsid w:val="00AD7587"/>
    <w:rsid w:val="00AD7697"/>
    <w:rsid w:val="00AD78DE"/>
    <w:rsid w:val="00AD7FC4"/>
    <w:rsid w:val="00AE1263"/>
    <w:rsid w:val="00AE187B"/>
    <w:rsid w:val="00AE1D2A"/>
    <w:rsid w:val="00AE2655"/>
    <w:rsid w:val="00AE2921"/>
    <w:rsid w:val="00AE2DC8"/>
    <w:rsid w:val="00AE3033"/>
    <w:rsid w:val="00AE383B"/>
    <w:rsid w:val="00AE42A7"/>
    <w:rsid w:val="00AE43D4"/>
    <w:rsid w:val="00AE511D"/>
    <w:rsid w:val="00AE589A"/>
    <w:rsid w:val="00AE5BB7"/>
    <w:rsid w:val="00AE65BF"/>
    <w:rsid w:val="00AF03FE"/>
    <w:rsid w:val="00AF045B"/>
    <w:rsid w:val="00AF07FE"/>
    <w:rsid w:val="00AF091B"/>
    <w:rsid w:val="00AF0ADD"/>
    <w:rsid w:val="00AF0BA2"/>
    <w:rsid w:val="00AF1564"/>
    <w:rsid w:val="00AF1BBB"/>
    <w:rsid w:val="00AF214D"/>
    <w:rsid w:val="00AF3253"/>
    <w:rsid w:val="00AF3449"/>
    <w:rsid w:val="00AF3C2E"/>
    <w:rsid w:val="00AF43E5"/>
    <w:rsid w:val="00AF4C8A"/>
    <w:rsid w:val="00AF4D7D"/>
    <w:rsid w:val="00AF4DEC"/>
    <w:rsid w:val="00AF51BC"/>
    <w:rsid w:val="00AF5F1C"/>
    <w:rsid w:val="00AF5F96"/>
    <w:rsid w:val="00AF70B0"/>
    <w:rsid w:val="00AF741B"/>
    <w:rsid w:val="00B004EB"/>
    <w:rsid w:val="00B00792"/>
    <w:rsid w:val="00B01381"/>
    <w:rsid w:val="00B014F3"/>
    <w:rsid w:val="00B014F7"/>
    <w:rsid w:val="00B0157F"/>
    <w:rsid w:val="00B0246C"/>
    <w:rsid w:val="00B028BB"/>
    <w:rsid w:val="00B02905"/>
    <w:rsid w:val="00B03630"/>
    <w:rsid w:val="00B04102"/>
    <w:rsid w:val="00B046A5"/>
    <w:rsid w:val="00B04C61"/>
    <w:rsid w:val="00B04F5F"/>
    <w:rsid w:val="00B051AC"/>
    <w:rsid w:val="00B05AFE"/>
    <w:rsid w:val="00B05C48"/>
    <w:rsid w:val="00B05C54"/>
    <w:rsid w:val="00B061BE"/>
    <w:rsid w:val="00B06567"/>
    <w:rsid w:val="00B0682C"/>
    <w:rsid w:val="00B06A8B"/>
    <w:rsid w:val="00B06AE2"/>
    <w:rsid w:val="00B06EC4"/>
    <w:rsid w:val="00B07614"/>
    <w:rsid w:val="00B07E24"/>
    <w:rsid w:val="00B106AA"/>
    <w:rsid w:val="00B109A3"/>
    <w:rsid w:val="00B12BF9"/>
    <w:rsid w:val="00B130EC"/>
    <w:rsid w:val="00B134BA"/>
    <w:rsid w:val="00B13CD3"/>
    <w:rsid w:val="00B13F40"/>
    <w:rsid w:val="00B144C0"/>
    <w:rsid w:val="00B148EA"/>
    <w:rsid w:val="00B14A6E"/>
    <w:rsid w:val="00B15163"/>
    <w:rsid w:val="00B151E7"/>
    <w:rsid w:val="00B1589E"/>
    <w:rsid w:val="00B1613B"/>
    <w:rsid w:val="00B16BEC"/>
    <w:rsid w:val="00B16D00"/>
    <w:rsid w:val="00B171DC"/>
    <w:rsid w:val="00B173EF"/>
    <w:rsid w:val="00B17980"/>
    <w:rsid w:val="00B20107"/>
    <w:rsid w:val="00B204E0"/>
    <w:rsid w:val="00B207D9"/>
    <w:rsid w:val="00B20A73"/>
    <w:rsid w:val="00B212FB"/>
    <w:rsid w:val="00B215C8"/>
    <w:rsid w:val="00B216BE"/>
    <w:rsid w:val="00B217EB"/>
    <w:rsid w:val="00B218A6"/>
    <w:rsid w:val="00B219F9"/>
    <w:rsid w:val="00B21AEC"/>
    <w:rsid w:val="00B2258A"/>
    <w:rsid w:val="00B22DB9"/>
    <w:rsid w:val="00B230BA"/>
    <w:rsid w:val="00B23635"/>
    <w:rsid w:val="00B23727"/>
    <w:rsid w:val="00B23D6B"/>
    <w:rsid w:val="00B2420B"/>
    <w:rsid w:val="00B2427E"/>
    <w:rsid w:val="00B24299"/>
    <w:rsid w:val="00B242A2"/>
    <w:rsid w:val="00B242DE"/>
    <w:rsid w:val="00B24306"/>
    <w:rsid w:val="00B244A6"/>
    <w:rsid w:val="00B246ED"/>
    <w:rsid w:val="00B2471C"/>
    <w:rsid w:val="00B247B0"/>
    <w:rsid w:val="00B248F7"/>
    <w:rsid w:val="00B26167"/>
    <w:rsid w:val="00B264A1"/>
    <w:rsid w:val="00B265AC"/>
    <w:rsid w:val="00B270F2"/>
    <w:rsid w:val="00B273AB"/>
    <w:rsid w:val="00B27466"/>
    <w:rsid w:val="00B277B2"/>
    <w:rsid w:val="00B27CE5"/>
    <w:rsid w:val="00B303C8"/>
    <w:rsid w:val="00B3087A"/>
    <w:rsid w:val="00B309B2"/>
    <w:rsid w:val="00B30A0B"/>
    <w:rsid w:val="00B30A1A"/>
    <w:rsid w:val="00B30B55"/>
    <w:rsid w:val="00B3116D"/>
    <w:rsid w:val="00B313C8"/>
    <w:rsid w:val="00B31CFC"/>
    <w:rsid w:val="00B322D4"/>
    <w:rsid w:val="00B32549"/>
    <w:rsid w:val="00B325CF"/>
    <w:rsid w:val="00B32EC7"/>
    <w:rsid w:val="00B330AC"/>
    <w:rsid w:val="00B330F5"/>
    <w:rsid w:val="00B33335"/>
    <w:rsid w:val="00B333B6"/>
    <w:rsid w:val="00B335F5"/>
    <w:rsid w:val="00B339BB"/>
    <w:rsid w:val="00B33B13"/>
    <w:rsid w:val="00B33F09"/>
    <w:rsid w:val="00B33F74"/>
    <w:rsid w:val="00B344FE"/>
    <w:rsid w:val="00B34860"/>
    <w:rsid w:val="00B352A5"/>
    <w:rsid w:val="00B35568"/>
    <w:rsid w:val="00B360F3"/>
    <w:rsid w:val="00B36499"/>
    <w:rsid w:val="00B368D1"/>
    <w:rsid w:val="00B370E1"/>
    <w:rsid w:val="00B372B8"/>
    <w:rsid w:val="00B375D1"/>
    <w:rsid w:val="00B37695"/>
    <w:rsid w:val="00B37741"/>
    <w:rsid w:val="00B40FF3"/>
    <w:rsid w:val="00B42715"/>
    <w:rsid w:val="00B42837"/>
    <w:rsid w:val="00B42DB1"/>
    <w:rsid w:val="00B43066"/>
    <w:rsid w:val="00B43C05"/>
    <w:rsid w:val="00B43D14"/>
    <w:rsid w:val="00B43F8D"/>
    <w:rsid w:val="00B44478"/>
    <w:rsid w:val="00B44828"/>
    <w:rsid w:val="00B4598C"/>
    <w:rsid w:val="00B45CB6"/>
    <w:rsid w:val="00B45FB5"/>
    <w:rsid w:val="00B460F0"/>
    <w:rsid w:val="00B461ED"/>
    <w:rsid w:val="00B465FD"/>
    <w:rsid w:val="00B46862"/>
    <w:rsid w:val="00B46F9D"/>
    <w:rsid w:val="00B4718F"/>
    <w:rsid w:val="00B472A3"/>
    <w:rsid w:val="00B475AC"/>
    <w:rsid w:val="00B47A2B"/>
    <w:rsid w:val="00B47AD6"/>
    <w:rsid w:val="00B47BFC"/>
    <w:rsid w:val="00B47DCB"/>
    <w:rsid w:val="00B50146"/>
    <w:rsid w:val="00B501CB"/>
    <w:rsid w:val="00B505C6"/>
    <w:rsid w:val="00B508DB"/>
    <w:rsid w:val="00B50C61"/>
    <w:rsid w:val="00B50DD6"/>
    <w:rsid w:val="00B5140F"/>
    <w:rsid w:val="00B516F4"/>
    <w:rsid w:val="00B51908"/>
    <w:rsid w:val="00B51A6B"/>
    <w:rsid w:val="00B51B67"/>
    <w:rsid w:val="00B51F0E"/>
    <w:rsid w:val="00B52A40"/>
    <w:rsid w:val="00B52CD3"/>
    <w:rsid w:val="00B53381"/>
    <w:rsid w:val="00B53429"/>
    <w:rsid w:val="00B537DB"/>
    <w:rsid w:val="00B5407E"/>
    <w:rsid w:val="00B5412F"/>
    <w:rsid w:val="00B54378"/>
    <w:rsid w:val="00B54645"/>
    <w:rsid w:val="00B54A23"/>
    <w:rsid w:val="00B54A57"/>
    <w:rsid w:val="00B54C2B"/>
    <w:rsid w:val="00B5549B"/>
    <w:rsid w:val="00B5582A"/>
    <w:rsid w:val="00B559A9"/>
    <w:rsid w:val="00B55AFB"/>
    <w:rsid w:val="00B55F54"/>
    <w:rsid w:val="00B5618C"/>
    <w:rsid w:val="00B561C2"/>
    <w:rsid w:val="00B566D5"/>
    <w:rsid w:val="00B569B7"/>
    <w:rsid w:val="00B56B58"/>
    <w:rsid w:val="00B57A2C"/>
    <w:rsid w:val="00B60106"/>
    <w:rsid w:val="00B60176"/>
    <w:rsid w:val="00B60273"/>
    <w:rsid w:val="00B605D1"/>
    <w:rsid w:val="00B605FE"/>
    <w:rsid w:val="00B606E6"/>
    <w:rsid w:val="00B6199D"/>
    <w:rsid w:val="00B61DFB"/>
    <w:rsid w:val="00B623A0"/>
    <w:rsid w:val="00B635F0"/>
    <w:rsid w:val="00B6382E"/>
    <w:rsid w:val="00B63EB7"/>
    <w:rsid w:val="00B65621"/>
    <w:rsid w:val="00B65657"/>
    <w:rsid w:val="00B670C6"/>
    <w:rsid w:val="00B670C8"/>
    <w:rsid w:val="00B674A2"/>
    <w:rsid w:val="00B67DCD"/>
    <w:rsid w:val="00B70498"/>
    <w:rsid w:val="00B70DB8"/>
    <w:rsid w:val="00B71E6D"/>
    <w:rsid w:val="00B720D8"/>
    <w:rsid w:val="00B7251E"/>
    <w:rsid w:val="00B729F0"/>
    <w:rsid w:val="00B72DC4"/>
    <w:rsid w:val="00B72DD4"/>
    <w:rsid w:val="00B738A1"/>
    <w:rsid w:val="00B73B1B"/>
    <w:rsid w:val="00B73F70"/>
    <w:rsid w:val="00B740B3"/>
    <w:rsid w:val="00B74802"/>
    <w:rsid w:val="00B755E9"/>
    <w:rsid w:val="00B756CE"/>
    <w:rsid w:val="00B756D0"/>
    <w:rsid w:val="00B75BAC"/>
    <w:rsid w:val="00B75FEE"/>
    <w:rsid w:val="00B761E1"/>
    <w:rsid w:val="00B76802"/>
    <w:rsid w:val="00B77587"/>
    <w:rsid w:val="00B77603"/>
    <w:rsid w:val="00B778AC"/>
    <w:rsid w:val="00B77B52"/>
    <w:rsid w:val="00B802BF"/>
    <w:rsid w:val="00B8093B"/>
    <w:rsid w:val="00B80CBD"/>
    <w:rsid w:val="00B81377"/>
    <w:rsid w:val="00B8174C"/>
    <w:rsid w:val="00B8179F"/>
    <w:rsid w:val="00B818CF"/>
    <w:rsid w:val="00B819EE"/>
    <w:rsid w:val="00B820CA"/>
    <w:rsid w:val="00B8215C"/>
    <w:rsid w:val="00B8233D"/>
    <w:rsid w:val="00B8248A"/>
    <w:rsid w:val="00B824EC"/>
    <w:rsid w:val="00B827B3"/>
    <w:rsid w:val="00B830AA"/>
    <w:rsid w:val="00B83128"/>
    <w:rsid w:val="00B83884"/>
    <w:rsid w:val="00B83C2B"/>
    <w:rsid w:val="00B83C58"/>
    <w:rsid w:val="00B83CF4"/>
    <w:rsid w:val="00B8468E"/>
    <w:rsid w:val="00B8478B"/>
    <w:rsid w:val="00B84FFC"/>
    <w:rsid w:val="00B85083"/>
    <w:rsid w:val="00B854E6"/>
    <w:rsid w:val="00B8561C"/>
    <w:rsid w:val="00B87DDE"/>
    <w:rsid w:val="00B9013B"/>
    <w:rsid w:val="00B9065B"/>
    <w:rsid w:val="00B90934"/>
    <w:rsid w:val="00B90BBE"/>
    <w:rsid w:val="00B91236"/>
    <w:rsid w:val="00B9163E"/>
    <w:rsid w:val="00B91ACF"/>
    <w:rsid w:val="00B923B7"/>
    <w:rsid w:val="00B92D5C"/>
    <w:rsid w:val="00B92DAF"/>
    <w:rsid w:val="00B93166"/>
    <w:rsid w:val="00B9450F"/>
    <w:rsid w:val="00B94A59"/>
    <w:rsid w:val="00B94E2D"/>
    <w:rsid w:val="00B94EFB"/>
    <w:rsid w:val="00B957F7"/>
    <w:rsid w:val="00B95874"/>
    <w:rsid w:val="00B95955"/>
    <w:rsid w:val="00B95AB3"/>
    <w:rsid w:val="00B9653B"/>
    <w:rsid w:val="00B96772"/>
    <w:rsid w:val="00B96C0D"/>
    <w:rsid w:val="00B96E42"/>
    <w:rsid w:val="00B972DE"/>
    <w:rsid w:val="00B97320"/>
    <w:rsid w:val="00B9738F"/>
    <w:rsid w:val="00B978C7"/>
    <w:rsid w:val="00B9791F"/>
    <w:rsid w:val="00BA2BF2"/>
    <w:rsid w:val="00BA3299"/>
    <w:rsid w:val="00BA3517"/>
    <w:rsid w:val="00BA3600"/>
    <w:rsid w:val="00BA488E"/>
    <w:rsid w:val="00BA4B68"/>
    <w:rsid w:val="00BA54F2"/>
    <w:rsid w:val="00BA557A"/>
    <w:rsid w:val="00BA565D"/>
    <w:rsid w:val="00BA5E14"/>
    <w:rsid w:val="00BA6328"/>
    <w:rsid w:val="00BA63C9"/>
    <w:rsid w:val="00BA6694"/>
    <w:rsid w:val="00BA6D4C"/>
    <w:rsid w:val="00BA706B"/>
    <w:rsid w:val="00BB09D1"/>
    <w:rsid w:val="00BB0A77"/>
    <w:rsid w:val="00BB1038"/>
    <w:rsid w:val="00BB1078"/>
    <w:rsid w:val="00BB1341"/>
    <w:rsid w:val="00BB13DC"/>
    <w:rsid w:val="00BB1BCB"/>
    <w:rsid w:val="00BB1BE4"/>
    <w:rsid w:val="00BB1CD9"/>
    <w:rsid w:val="00BB22DA"/>
    <w:rsid w:val="00BB4454"/>
    <w:rsid w:val="00BB45F3"/>
    <w:rsid w:val="00BB4709"/>
    <w:rsid w:val="00BB47D4"/>
    <w:rsid w:val="00BB4A90"/>
    <w:rsid w:val="00BB54A8"/>
    <w:rsid w:val="00BB5755"/>
    <w:rsid w:val="00BB5868"/>
    <w:rsid w:val="00BB5BDB"/>
    <w:rsid w:val="00BB5F37"/>
    <w:rsid w:val="00BB6F7B"/>
    <w:rsid w:val="00BB74EC"/>
    <w:rsid w:val="00BB75BF"/>
    <w:rsid w:val="00BB770C"/>
    <w:rsid w:val="00BB7951"/>
    <w:rsid w:val="00BB7DA2"/>
    <w:rsid w:val="00BC0B88"/>
    <w:rsid w:val="00BC1873"/>
    <w:rsid w:val="00BC2103"/>
    <w:rsid w:val="00BC221A"/>
    <w:rsid w:val="00BC2D02"/>
    <w:rsid w:val="00BC3A0B"/>
    <w:rsid w:val="00BC425B"/>
    <w:rsid w:val="00BC47C3"/>
    <w:rsid w:val="00BC492F"/>
    <w:rsid w:val="00BC4A3F"/>
    <w:rsid w:val="00BC4B37"/>
    <w:rsid w:val="00BC58EC"/>
    <w:rsid w:val="00BC5C08"/>
    <w:rsid w:val="00BC6A67"/>
    <w:rsid w:val="00BC7885"/>
    <w:rsid w:val="00BC7E27"/>
    <w:rsid w:val="00BC7E32"/>
    <w:rsid w:val="00BD0141"/>
    <w:rsid w:val="00BD0BFD"/>
    <w:rsid w:val="00BD0F2B"/>
    <w:rsid w:val="00BD0F9B"/>
    <w:rsid w:val="00BD0FF8"/>
    <w:rsid w:val="00BD125C"/>
    <w:rsid w:val="00BD12FE"/>
    <w:rsid w:val="00BD1516"/>
    <w:rsid w:val="00BD2172"/>
    <w:rsid w:val="00BD26BD"/>
    <w:rsid w:val="00BD2996"/>
    <w:rsid w:val="00BD303B"/>
    <w:rsid w:val="00BD3471"/>
    <w:rsid w:val="00BD3492"/>
    <w:rsid w:val="00BD3BAC"/>
    <w:rsid w:val="00BD4219"/>
    <w:rsid w:val="00BD43CF"/>
    <w:rsid w:val="00BD4640"/>
    <w:rsid w:val="00BD47FF"/>
    <w:rsid w:val="00BD5C44"/>
    <w:rsid w:val="00BD6EFE"/>
    <w:rsid w:val="00BD7492"/>
    <w:rsid w:val="00BD75FD"/>
    <w:rsid w:val="00BD77E6"/>
    <w:rsid w:val="00BD7EA0"/>
    <w:rsid w:val="00BE01FB"/>
    <w:rsid w:val="00BE05BC"/>
    <w:rsid w:val="00BE0853"/>
    <w:rsid w:val="00BE377E"/>
    <w:rsid w:val="00BE39FB"/>
    <w:rsid w:val="00BE40C1"/>
    <w:rsid w:val="00BE45C0"/>
    <w:rsid w:val="00BE462B"/>
    <w:rsid w:val="00BE46CE"/>
    <w:rsid w:val="00BE4830"/>
    <w:rsid w:val="00BE49B3"/>
    <w:rsid w:val="00BE569D"/>
    <w:rsid w:val="00BE57B9"/>
    <w:rsid w:val="00BE58B3"/>
    <w:rsid w:val="00BE5C71"/>
    <w:rsid w:val="00BE6425"/>
    <w:rsid w:val="00BE65C0"/>
    <w:rsid w:val="00BE6A99"/>
    <w:rsid w:val="00BE7499"/>
    <w:rsid w:val="00BF08B7"/>
    <w:rsid w:val="00BF0CA5"/>
    <w:rsid w:val="00BF11C3"/>
    <w:rsid w:val="00BF1336"/>
    <w:rsid w:val="00BF2435"/>
    <w:rsid w:val="00BF258C"/>
    <w:rsid w:val="00BF274D"/>
    <w:rsid w:val="00BF2988"/>
    <w:rsid w:val="00BF2AF9"/>
    <w:rsid w:val="00BF375D"/>
    <w:rsid w:val="00BF3793"/>
    <w:rsid w:val="00BF3BF8"/>
    <w:rsid w:val="00BF3F5D"/>
    <w:rsid w:val="00BF4FE6"/>
    <w:rsid w:val="00BF7408"/>
    <w:rsid w:val="00BF7700"/>
    <w:rsid w:val="00C00A0B"/>
    <w:rsid w:val="00C00B61"/>
    <w:rsid w:val="00C00D76"/>
    <w:rsid w:val="00C0101C"/>
    <w:rsid w:val="00C01563"/>
    <w:rsid w:val="00C0193F"/>
    <w:rsid w:val="00C01A14"/>
    <w:rsid w:val="00C01CA3"/>
    <w:rsid w:val="00C02577"/>
    <w:rsid w:val="00C026C5"/>
    <w:rsid w:val="00C027CD"/>
    <w:rsid w:val="00C02F11"/>
    <w:rsid w:val="00C03545"/>
    <w:rsid w:val="00C03C0A"/>
    <w:rsid w:val="00C03CD2"/>
    <w:rsid w:val="00C047EE"/>
    <w:rsid w:val="00C04BD9"/>
    <w:rsid w:val="00C04E26"/>
    <w:rsid w:val="00C058F2"/>
    <w:rsid w:val="00C05ABE"/>
    <w:rsid w:val="00C062F9"/>
    <w:rsid w:val="00C06EA7"/>
    <w:rsid w:val="00C07403"/>
    <w:rsid w:val="00C07EE8"/>
    <w:rsid w:val="00C1053C"/>
    <w:rsid w:val="00C11204"/>
    <w:rsid w:val="00C118FE"/>
    <w:rsid w:val="00C11B66"/>
    <w:rsid w:val="00C123E9"/>
    <w:rsid w:val="00C1258F"/>
    <w:rsid w:val="00C12702"/>
    <w:rsid w:val="00C12D98"/>
    <w:rsid w:val="00C1328F"/>
    <w:rsid w:val="00C13504"/>
    <w:rsid w:val="00C14234"/>
    <w:rsid w:val="00C1483F"/>
    <w:rsid w:val="00C1538C"/>
    <w:rsid w:val="00C15EBB"/>
    <w:rsid w:val="00C16590"/>
    <w:rsid w:val="00C1681F"/>
    <w:rsid w:val="00C16A90"/>
    <w:rsid w:val="00C16C1C"/>
    <w:rsid w:val="00C1740B"/>
    <w:rsid w:val="00C1749F"/>
    <w:rsid w:val="00C17A34"/>
    <w:rsid w:val="00C202A1"/>
    <w:rsid w:val="00C20504"/>
    <w:rsid w:val="00C209F6"/>
    <w:rsid w:val="00C20B1C"/>
    <w:rsid w:val="00C20D5E"/>
    <w:rsid w:val="00C20DCB"/>
    <w:rsid w:val="00C20EA1"/>
    <w:rsid w:val="00C21081"/>
    <w:rsid w:val="00C223C3"/>
    <w:rsid w:val="00C227F4"/>
    <w:rsid w:val="00C22E7D"/>
    <w:rsid w:val="00C23357"/>
    <w:rsid w:val="00C233CC"/>
    <w:rsid w:val="00C234AF"/>
    <w:rsid w:val="00C234C4"/>
    <w:rsid w:val="00C238E9"/>
    <w:rsid w:val="00C2428A"/>
    <w:rsid w:val="00C2449F"/>
    <w:rsid w:val="00C24E25"/>
    <w:rsid w:val="00C25665"/>
    <w:rsid w:val="00C264E6"/>
    <w:rsid w:val="00C26DB9"/>
    <w:rsid w:val="00C27CC5"/>
    <w:rsid w:val="00C305B1"/>
    <w:rsid w:val="00C30FAC"/>
    <w:rsid w:val="00C3159D"/>
    <w:rsid w:val="00C31623"/>
    <w:rsid w:val="00C31826"/>
    <w:rsid w:val="00C31FD2"/>
    <w:rsid w:val="00C32631"/>
    <w:rsid w:val="00C3282E"/>
    <w:rsid w:val="00C328E1"/>
    <w:rsid w:val="00C3297F"/>
    <w:rsid w:val="00C32BB7"/>
    <w:rsid w:val="00C3333D"/>
    <w:rsid w:val="00C339EE"/>
    <w:rsid w:val="00C33E69"/>
    <w:rsid w:val="00C3414E"/>
    <w:rsid w:val="00C34E01"/>
    <w:rsid w:val="00C35214"/>
    <w:rsid w:val="00C36100"/>
    <w:rsid w:val="00C36C47"/>
    <w:rsid w:val="00C36EFF"/>
    <w:rsid w:val="00C3722A"/>
    <w:rsid w:val="00C37262"/>
    <w:rsid w:val="00C37557"/>
    <w:rsid w:val="00C3767E"/>
    <w:rsid w:val="00C40BFD"/>
    <w:rsid w:val="00C40E9D"/>
    <w:rsid w:val="00C40EEC"/>
    <w:rsid w:val="00C41866"/>
    <w:rsid w:val="00C422FF"/>
    <w:rsid w:val="00C423B4"/>
    <w:rsid w:val="00C42BA3"/>
    <w:rsid w:val="00C43342"/>
    <w:rsid w:val="00C438E0"/>
    <w:rsid w:val="00C43A75"/>
    <w:rsid w:val="00C43C2E"/>
    <w:rsid w:val="00C43EF5"/>
    <w:rsid w:val="00C43FD7"/>
    <w:rsid w:val="00C442CB"/>
    <w:rsid w:val="00C44321"/>
    <w:rsid w:val="00C4487F"/>
    <w:rsid w:val="00C4551B"/>
    <w:rsid w:val="00C456BE"/>
    <w:rsid w:val="00C456CD"/>
    <w:rsid w:val="00C45C80"/>
    <w:rsid w:val="00C45C83"/>
    <w:rsid w:val="00C46301"/>
    <w:rsid w:val="00C464EA"/>
    <w:rsid w:val="00C46870"/>
    <w:rsid w:val="00C46A3A"/>
    <w:rsid w:val="00C46BB6"/>
    <w:rsid w:val="00C46DA1"/>
    <w:rsid w:val="00C4722D"/>
    <w:rsid w:val="00C473F0"/>
    <w:rsid w:val="00C47DDA"/>
    <w:rsid w:val="00C500B2"/>
    <w:rsid w:val="00C50AF7"/>
    <w:rsid w:val="00C50E6D"/>
    <w:rsid w:val="00C51692"/>
    <w:rsid w:val="00C51968"/>
    <w:rsid w:val="00C51D8D"/>
    <w:rsid w:val="00C51F81"/>
    <w:rsid w:val="00C52A52"/>
    <w:rsid w:val="00C5311F"/>
    <w:rsid w:val="00C53814"/>
    <w:rsid w:val="00C541FB"/>
    <w:rsid w:val="00C54A24"/>
    <w:rsid w:val="00C54B95"/>
    <w:rsid w:val="00C54FF2"/>
    <w:rsid w:val="00C5516F"/>
    <w:rsid w:val="00C5523A"/>
    <w:rsid w:val="00C552AC"/>
    <w:rsid w:val="00C568FD"/>
    <w:rsid w:val="00C56A6E"/>
    <w:rsid w:val="00C57783"/>
    <w:rsid w:val="00C57787"/>
    <w:rsid w:val="00C57E40"/>
    <w:rsid w:val="00C57FE5"/>
    <w:rsid w:val="00C605B2"/>
    <w:rsid w:val="00C6108E"/>
    <w:rsid w:val="00C61997"/>
    <w:rsid w:val="00C622D3"/>
    <w:rsid w:val="00C62C22"/>
    <w:rsid w:val="00C640E2"/>
    <w:rsid w:val="00C64128"/>
    <w:rsid w:val="00C6448D"/>
    <w:rsid w:val="00C647C2"/>
    <w:rsid w:val="00C649B8"/>
    <w:rsid w:val="00C6524C"/>
    <w:rsid w:val="00C65CCB"/>
    <w:rsid w:val="00C65CEA"/>
    <w:rsid w:val="00C65CF8"/>
    <w:rsid w:val="00C66443"/>
    <w:rsid w:val="00C67399"/>
    <w:rsid w:val="00C67963"/>
    <w:rsid w:val="00C67C4B"/>
    <w:rsid w:val="00C70AC8"/>
    <w:rsid w:val="00C7119C"/>
    <w:rsid w:val="00C71316"/>
    <w:rsid w:val="00C71BCC"/>
    <w:rsid w:val="00C71D52"/>
    <w:rsid w:val="00C7221C"/>
    <w:rsid w:val="00C7265B"/>
    <w:rsid w:val="00C72EE2"/>
    <w:rsid w:val="00C73852"/>
    <w:rsid w:val="00C75830"/>
    <w:rsid w:val="00C758E2"/>
    <w:rsid w:val="00C75D86"/>
    <w:rsid w:val="00C769B1"/>
    <w:rsid w:val="00C76C94"/>
    <w:rsid w:val="00C76DB2"/>
    <w:rsid w:val="00C77194"/>
    <w:rsid w:val="00C77C85"/>
    <w:rsid w:val="00C77FD3"/>
    <w:rsid w:val="00C802BC"/>
    <w:rsid w:val="00C8043B"/>
    <w:rsid w:val="00C80F66"/>
    <w:rsid w:val="00C81219"/>
    <w:rsid w:val="00C81A55"/>
    <w:rsid w:val="00C81D3C"/>
    <w:rsid w:val="00C81DD5"/>
    <w:rsid w:val="00C81E99"/>
    <w:rsid w:val="00C830E6"/>
    <w:rsid w:val="00C835DE"/>
    <w:rsid w:val="00C83F0C"/>
    <w:rsid w:val="00C83F62"/>
    <w:rsid w:val="00C840D6"/>
    <w:rsid w:val="00C8489B"/>
    <w:rsid w:val="00C84B1C"/>
    <w:rsid w:val="00C84DFA"/>
    <w:rsid w:val="00C85D93"/>
    <w:rsid w:val="00C861FD"/>
    <w:rsid w:val="00C86F09"/>
    <w:rsid w:val="00C87582"/>
    <w:rsid w:val="00C87AE3"/>
    <w:rsid w:val="00C87D55"/>
    <w:rsid w:val="00C907E1"/>
    <w:rsid w:val="00C909B4"/>
    <w:rsid w:val="00C90A3D"/>
    <w:rsid w:val="00C914BC"/>
    <w:rsid w:val="00C92C7D"/>
    <w:rsid w:val="00C92DE2"/>
    <w:rsid w:val="00C92FDB"/>
    <w:rsid w:val="00C9304A"/>
    <w:rsid w:val="00C93326"/>
    <w:rsid w:val="00C935F8"/>
    <w:rsid w:val="00C94870"/>
    <w:rsid w:val="00C94CCC"/>
    <w:rsid w:val="00C9583A"/>
    <w:rsid w:val="00C96340"/>
    <w:rsid w:val="00C96B8E"/>
    <w:rsid w:val="00C9705D"/>
    <w:rsid w:val="00C97AE7"/>
    <w:rsid w:val="00C97D50"/>
    <w:rsid w:val="00CA019F"/>
    <w:rsid w:val="00CA09DC"/>
    <w:rsid w:val="00CA0BC1"/>
    <w:rsid w:val="00CA0CC8"/>
    <w:rsid w:val="00CA0FF0"/>
    <w:rsid w:val="00CA1781"/>
    <w:rsid w:val="00CA1BB1"/>
    <w:rsid w:val="00CA2098"/>
    <w:rsid w:val="00CA20BD"/>
    <w:rsid w:val="00CA252F"/>
    <w:rsid w:val="00CA2824"/>
    <w:rsid w:val="00CA2B22"/>
    <w:rsid w:val="00CA3D0B"/>
    <w:rsid w:val="00CA461C"/>
    <w:rsid w:val="00CA4DD3"/>
    <w:rsid w:val="00CA5BD3"/>
    <w:rsid w:val="00CA5E9E"/>
    <w:rsid w:val="00CA5F6B"/>
    <w:rsid w:val="00CA609F"/>
    <w:rsid w:val="00CA657B"/>
    <w:rsid w:val="00CA6AFC"/>
    <w:rsid w:val="00CA6E5B"/>
    <w:rsid w:val="00CA7D2B"/>
    <w:rsid w:val="00CB0553"/>
    <w:rsid w:val="00CB0C4E"/>
    <w:rsid w:val="00CB0CE4"/>
    <w:rsid w:val="00CB0E28"/>
    <w:rsid w:val="00CB1E1B"/>
    <w:rsid w:val="00CB2390"/>
    <w:rsid w:val="00CB2989"/>
    <w:rsid w:val="00CB2BDA"/>
    <w:rsid w:val="00CB2C57"/>
    <w:rsid w:val="00CB36DF"/>
    <w:rsid w:val="00CB37C9"/>
    <w:rsid w:val="00CB3C4A"/>
    <w:rsid w:val="00CB3CCE"/>
    <w:rsid w:val="00CB3DB9"/>
    <w:rsid w:val="00CB6ECC"/>
    <w:rsid w:val="00CB7453"/>
    <w:rsid w:val="00CB7D7D"/>
    <w:rsid w:val="00CB7EAC"/>
    <w:rsid w:val="00CC0430"/>
    <w:rsid w:val="00CC04CA"/>
    <w:rsid w:val="00CC0686"/>
    <w:rsid w:val="00CC0C9A"/>
    <w:rsid w:val="00CC1316"/>
    <w:rsid w:val="00CC1770"/>
    <w:rsid w:val="00CC17BF"/>
    <w:rsid w:val="00CC1F07"/>
    <w:rsid w:val="00CC2FAF"/>
    <w:rsid w:val="00CC304F"/>
    <w:rsid w:val="00CC30B6"/>
    <w:rsid w:val="00CC3E4E"/>
    <w:rsid w:val="00CC3FBA"/>
    <w:rsid w:val="00CC42C1"/>
    <w:rsid w:val="00CC45A6"/>
    <w:rsid w:val="00CC4C5D"/>
    <w:rsid w:val="00CC4DBE"/>
    <w:rsid w:val="00CC5085"/>
    <w:rsid w:val="00CC5857"/>
    <w:rsid w:val="00CC58FF"/>
    <w:rsid w:val="00CC5C84"/>
    <w:rsid w:val="00CC618F"/>
    <w:rsid w:val="00CC6406"/>
    <w:rsid w:val="00CC6B57"/>
    <w:rsid w:val="00CC7209"/>
    <w:rsid w:val="00CC772F"/>
    <w:rsid w:val="00CC7F36"/>
    <w:rsid w:val="00CD0411"/>
    <w:rsid w:val="00CD101B"/>
    <w:rsid w:val="00CD18E4"/>
    <w:rsid w:val="00CD1C4D"/>
    <w:rsid w:val="00CD258D"/>
    <w:rsid w:val="00CD26DB"/>
    <w:rsid w:val="00CD3355"/>
    <w:rsid w:val="00CD34C8"/>
    <w:rsid w:val="00CD3E8A"/>
    <w:rsid w:val="00CD4E33"/>
    <w:rsid w:val="00CD511B"/>
    <w:rsid w:val="00CD58AF"/>
    <w:rsid w:val="00CD5D67"/>
    <w:rsid w:val="00CD643A"/>
    <w:rsid w:val="00CD64C9"/>
    <w:rsid w:val="00CD6D47"/>
    <w:rsid w:val="00CD718A"/>
    <w:rsid w:val="00CD7219"/>
    <w:rsid w:val="00CD79FE"/>
    <w:rsid w:val="00CE02CC"/>
    <w:rsid w:val="00CE04F4"/>
    <w:rsid w:val="00CE0E1F"/>
    <w:rsid w:val="00CE0F5A"/>
    <w:rsid w:val="00CE144B"/>
    <w:rsid w:val="00CE15FB"/>
    <w:rsid w:val="00CE18CB"/>
    <w:rsid w:val="00CE1B5A"/>
    <w:rsid w:val="00CE1E23"/>
    <w:rsid w:val="00CE20F1"/>
    <w:rsid w:val="00CE28DE"/>
    <w:rsid w:val="00CE2AD7"/>
    <w:rsid w:val="00CE2D42"/>
    <w:rsid w:val="00CE2D54"/>
    <w:rsid w:val="00CE3053"/>
    <w:rsid w:val="00CE33D6"/>
    <w:rsid w:val="00CE39A1"/>
    <w:rsid w:val="00CE4BB6"/>
    <w:rsid w:val="00CE5D4C"/>
    <w:rsid w:val="00CE637D"/>
    <w:rsid w:val="00CE650D"/>
    <w:rsid w:val="00CE7056"/>
    <w:rsid w:val="00CE7146"/>
    <w:rsid w:val="00CE759D"/>
    <w:rsid w:val="00CE7A67"/>
    <w:rsid w:val="00CE7BC8"/>
    <w:rsid w:val="00CF0D04"/>
    <w:rsid w:val="00CF0E86"/>
    <w:rsid w:val="00CF1045"/>
    <w:rsid w:val="00CF1C58"/>
    <w:rsid w:val="00CF1D85"/>
    <w:rsid w:val="00CF29AB"/>
    <w:rsid w:val="00CF2B79"/>
    <w:rsid w:val="00CF2E30"/>
    <w:rsid w:val="00CF33AF"/>
    <w:rsid w:val="00CF38EE"/>
    <w:rsid w:val="00CF3984"/>
    <w:rsid w:val="00CF3E35"/>
    <w:rsid w:val="00CF4384"/>
    <w:rsid w:val="00CF43C7"/>
    <w:rsid w:val="00CF470B"/>
    <w:rsid w:val="00CF4812"/>
    <w:rsid w:val="00CF4884"/>
    <w:rsid w:val="00CF4F49"/>
    <w:rsid w:val="00CF52E0"/>
    <w:rsid w:val="00CF6324"/>
    <w:rsid w:val="00CF6B9A"/>
    <w:rsid w:val="00CF75DE"/>
    <w:rsid w:val="00CF77B0"/>
    <w:rsid w:val="00D002C2"/>
    <w:rsid w:val="00D00CD0"/>
    <w:rsid w:val="00D00E2C"/>
    <w:rsid w:val="00D016FC"/>
    <w:rsid w:val="00D01748"/>
    <w:rsid w:val="00D01EF2"/>
    <w:rsid w:val="00D02429"/>
    <w:rsid w:val="00D024D3"/>
    <w:rsid w:val="00D02603"/>
    <w:rsid w:val="00D02618"/>
    <w:rsid w:val="00D0266C"/>
    <w:rsid w:val="00D02692"/>
    <w:rsid w:val="00D03247"/>
    <w:rsid w:val="00D03596"/>
    <w:rsid w:val="00D036A3"/>
    <w:rsid w:val="00D04777"/>
    <w:rsid w:val="00D04F7C"/>
    <w:rsid w:val="00D0503A"/>
    <w:rsid w:val="00D059C6"/>
    <w:rsid w:val="00D06050"/>
    <w:rsid w:val="00D06940"/>
    <w:rsid w:val="00D06965"/>
    <w:rsid w:val="00D071D0"/>
    <w:rsid w:val="00D0731D"/>
    <w:rsid w:val="00D07CAB"/>
    <w:rsid w:val="00D10CCC"/>
    <w:rsid w:val="00D1101A"/>
    <w:rsid w:val="00D116D2"/>
    <w:rsid w:val="00D11D8A"/>
    <w:rsid w:val="00D1202D"/>
    <w:rsid w:val="00D123BD"/>
    <w:rsid w:val="00D12998"/>
    <w:rsid w:val="00D13003"/>
    <w:rsid w:val="00D13EC3"/>
    <w:rsid w:val="00D142B3"/>
    <w:rsid w:val="00D145F4"/>
    <w:rsid w:val="00D14A79"/>
    <w:rsid w:val="00D14B5C"/>
    <w:rsid w:val="00D14C3F"/>
    <w:rsid w:val="00D14E1D"/>
    <w:rsid w:val="00D14E3C"/>
    <w:rsid w:val="00D15580"/>
    <w:rsid w:val="00D157C2"/>
    <w:rsid w:val="00D15AEE"/>
    <w:rsid w:val="00D16791"/>
    <w:rsid w:val="00D17492"/>
    <w:rsid w:val="00D1788F"/>
    <w:rsid w:val="00D17DAD"/>
    <w:rsid w:val="00D2000D"/>
    <w:rsid w:val="00D209FD"/>
    <w:rsid w:val="00D20E57"/>
    <w:rsid w:val="00D20F1A"/>
    <w:rsid w:val="00D21B9D"/>
    <w:rsid w:val="00D21F4A"/>
    <w:rsid w:val="00D225AB"/>
    <w:rsid w:val="00D22D18"/>
    <w:rsid w:val="00D23528"/>
    <w:rsid w:val="00D237FE"/>
    <w:rsid w:val="00D23D0E"/>
    <w:rsid w:val="00D245E8"/>
    <w:rsid w:val="00D24EAA"/>
    <w:rsid w:val="00D2530C"/>
    <w:rsid w:val="00D253B2"/>
    <w:rsid w:val="00D25412"/>
    <w:rsid w:val="00D25B37"/>
    <w:rsid w:val="00D26470"/>
    <w:rsid w:val="00D26E42"/>
    <w:rsid w:val="00D2717B"/>
    <w:rsid w:val="00D27459"/>
    <w:rsid w:val="00D278AF"/>
    <w:rsid w:val="00D3003D"/>
    <w:rsid w:val="00D3032F"/>
    <w:rsid w:val="00D318BD"/>
    <w:rsid w:val="00D31B97"/>
    <w:rsid w:val="00D3241B"/>
    <w:rsid w:val="00D32ED4"/>
    <w:rsid w:val="00D332D8"/>
    <w:rsid w:val="00D3330B"/>
    <w:rsid w:val="00D33827"/>
    <w:rsid w:val="00D33C11"/>
    <w:rsid w:val="00D34410"/>
    <w:rsid w:val="00D3460A"/>
    <w:rsid w:val="00D34767"/>
    <w:rsid w:val="00D34B53"/>
    <w:rsid w:val="00D352E4"/>
    <w:rsid w:val="00D358BE"/>
    <w:rsid w:val="00D372A2"/>
    <w:rsid w:val="00D3740B"/>
    <w:rsid w:val="00D376CE"/>
    <w:rsid w:val="00D376DC"/>
    <w:rsid w:val="00D378EB"/>
    <w:rsid w:val="00D40547"/>
    <w:rsid w:val="00D40C63"/>
    <w:rsid w:val="00D40E1C"/>
    <w:rsid w:val="00D41EB7"/>
    <w:rsid w:val="00D42683"/>
    <w:rsid w:val="00D42872"/>
    <w:rsid w:val="00D42F67"/>
    <w:rsid w:val="00D43841"/>
    <w:rsid w:val="00D43B65"/>
    <w:rsid w:val="00D43DEB"/>
    <w:rsid w:val="00D4410D"/>
    <w:rsid w:val="00D44180"/>
    <w:rsid w:val="00D4532F"/>
    <w:rsid w:val="00D453D3"/>
    <w:rsid w:val="00D4559E"/>
    <w:rsid w:val="00D460DB"/>
    <w:rsid w:val="00D4649F"/>
    <w:rsid w:val="00D46521"/>
    <w:rsid w:val="00D471F3"/>
    <w:rsid w:val="00D47239"/>
    <w:rsid w:val="00D4770A"/>
    <w:rsid w:val="00D479A3"/>
    <w:rsid w:val="00D504FC"/>
    <w:rsid w:val="00D50B72"/>
    <w:rsid w:val="00D517D1"/>
    <w:rsid w:val="00D5180C"/>
    <w:rsid w:val="00D519B3"/>
    <w:rsid w:val="00D51C3B"/>
    <w:rsid w:val="00D51C9B"/>
    <w:rsid w:val="00D522B5"/>
    <w:rsid w:val="00D52E39"/>
    <w:rsid w:val="00D53352"/>
    <w:rsid w:val="00D53BE0"/>
    <w:rsid w:val="00D53C1B"/>
    <w:rsid w:val="00D541E4"/>
    <w:rsid w:val="00D54646"/>
    <w:rsid w:val="00D549E7"/>
    <w:rsid w:val="00D54E4E"/>
    <w:rsid w:val="00D54FCC"/>
    <w:rsid w:val="00D55101"/>
    <w:rsid w:val="00D55129"/>
    <w:rsid w:val="00D55702"/>
    <w:rsid w:val="00D55A88"/>
    <w:rsid w:val="00D55B27"/>
    <w:rsid w:val="00D560D6"/>
    <w:rsid w:val="00D5640F"/>
    <w:rsid w:val="00D56537"/>
    <w:rsid w:val="00D56871"/>
    <w:rsid w:val="00D56CDA"/>
    <w:rsid w:val="00D57532"/>
    <w:rsid w:val="00D576BB"/>
    <w:rsid w:val="00D57C52"/>
    <w:rsid w:val="00D57D22"/>
    <w:rsid w:val="00D60F8B"/>
    <w:rsid w:val="00D60FA5"/>
    <w:rsid w:val="00D61C2C"/>
    <w:rsid w:val="00D61F2C"/>
    <w:rsid w:val="00D620A4"/>
    <w:rsid w:val="00D62122"/>
    <w:rsid w:val="00D62568"/>
    <w:rsid w:val="00D62642"/>
    <w:rsid w:val="00D62E65"/>
    <w:rsid w:val="00D63432"/>
    <w:rsid w:val="00D635DF"/>
    <w:rsid w:val="00D63935"/>
    <w:rsid w:val="00D63A74"/>
    <w:rsid w:val="00D64CBB"/>
    <w:rsid w:val="00D6531E"/>
    <w:rsid w:val="00D65536"/>
    <w:rsid w:val="00D65A7C"/>
    <w:rsid w:val="00D660CF"/>
    <w:rsid w:val="00D665D3"/>
    <w:rsid w:val="00D67E69"/>
    <w:rsid w:val="00D67E86"/>
    <w:rsid w:val="00D7023B"/>
    <w:rsid w:val="00D71418"/>
    <w:rsid w:val="00D716D4"/>
    <w:rsid w:val="00D717A5"/>
    <w:rsid w:val="00D717F8"/>
    <w:rsid w:val="00D729CE"/>
    <w:rsid w:val="00D72A1D"/>
    <w:rsid w:val="00D72E35"/>
    <w:rsid w:val="00D7373F"/>
    <w:rsid w:val="00D73A53"/>
    <w:rsid w:val="00D73A8F"/>
    <w:rsid w:val="00D73FF2"/>
    <w:rsid w:val="00D740D6"/>
    <w:rsid w:val="00D7462F"/>
    <w:rsid w:val="00D75BD4"/>
    <w:rsid w:val="00D76772"/>
    <w:rsid w:val="00D76774"/>
    <w:rsid w:val="00D7703B"/>
    <w:rsid w:val="00D779DF"/>
    <w:rsid w:val="00D77A5D"/>
    <w:rsid w:val="00D77C50"/>
    <w:rsid w:val="00D8075B"/>
    <w:rsid w:val="00D80A3B"/>
    <w:rsid w:val="00D80E0E"/>
    <w:rsid w:val="00D80E6F"/>
    <w:rsid w:val="00D80EA2"/>
    <w:rsid w:val="00D81455"/>
    <w:rsid w:val="00D8156C"/>
    <w:rsid w:val="00D817CD"/>
    <w:rsid w:val="00D81E66"/>
    <w:rsid w:val="00D81E68"/>
    <w:rsid w:val="00D82839"/>
    <w:rsid w:val="00D83315"/>
    <w:rsid w:val="00D83F31"/>
    <w:rsid w:val="00D83FF0"/>
    <w:rsid w:val="00D843F0"/>
    <w:rsid w:val="00D84500"/>
    <w:rsid w:val="00D845BC"/>
    <w:rsid w:val="00D84763"/>
    <w:rsid w:val="00D84811"/>
    <w:rsid w:val="00D8486A"/>
    <w:rsid w:val="00D85AEA"/>
    <w:rsid w:val="00D86333"/>
    <w:rsid w:val="00D865EB"/>
    <w:rsid w:val="00D869AC"/>
    <w:rsid w:val="00D86A39"/>
    <w:rsid w:val="00D86A98"/>
    <w:rsid w:val="00D86AD1"/>
    <w:rsid w:val="00D87014"/>
    <w:rsid w:val="00D87176"/>
    <w:rsid w:val="00D87975"/>
    <w:rsid w:val="00D87F79"/>
    <w:rsid w:val="00D906A3"/>
    <w:rsid w:val="00D9080F"/>
    <w:rsid w:val="00D91726"/>
    <w:rsid w:val="00D9180E"/>
    <w:rsid w:val="00D92238"/>
    <w:rsid w:val="00D927A6"/>
    <w:rsid w:val="00D929FF"/>
    <w:rsid w:val="00D9312A"/>
    <w:rsid w:val="00D936CE"/>
    <w:rsid w:val="00D94080"/>
    <w:rsid w:val="00D942EA"/>
    <w:rsid w:val="00D94E36"/>
    <w:rsid w:val="00D95678"/>
    <w:rsid w:val="00D95715"/>
    <w:rsid w:val="00D95AAC"/>
    <w:rsid w:val="00D95F3C"/>
    <w:rsid w:val="00D96015"/>
    <w:rsid w:val="00D9680C"/>
    <w:rsid w:val="00D96925"/>
    <w:rsid w:val="00D96E5D"/>
    <w:rsid w:val="00D96FC9"/>
    <w:rsid w:val="00D97A17"/>
    <w:rsid w:val="00DA0074"/>
    <w:rsid w:val="00DA08C4"/>
    <w:rsid w:val="00DA0FDB"/>
    <w:rsid w:val="00DA123F"/>
    <w:rsid w:val="00DA19B8"/>
    <w:rsid w:val="00DA1B45"/>
    <w:rsid w:val="00DA1E37"/>
    <w:rsid w:val="00DA23A4"/>
    <w:rsid w:val="00DA2682"/>
    <w:rsid w:val="00DA2DFA"/>
    <w:rsid w:val="00DA36C4"/>
    <w:rsid w:val="00DA37AF"/>
    <w:rsid w:val="00DA39AE"/>
    <w:rsid w:val="00DA4041"/>
    <w:rsid w:val="00DA40BA"/>
    <w:rsid w:val="00DA441B"/>
    <w:rsid w:val="00DA447B"/>
    <w:rsid w:val="00DA4485"/>
    <w:rsid w:val="00DA480C"/>
    <w:rsid w:val="00DA48F2"/>
    <w:rsid w:val="00DA4A92"/>
    <w:rsid w:val="00DA4EA9"/>
    <w:rsid w:val="00DA52CC"/>
    <w:rsid w:val="00DA5971"/>
    <w:rsid w:val="00DA5E85"/>
    <w:rsid w:val="00DA62FB"/>
    <w:rsid w:val="00DA7593"/>
    <w:rsid w:val="00DA761A"/>
    <w:rsid w:val="00DA7780"/>
    <w:rsid w:val="00DB0169"/>
    <w:rsid w:val="00DB0281"/>
    <w:rsid w:val="00DB03C6"/>
    <w:rsid w:val="00DB104D"/>
    <w:rsid w:val="00DB1094"/>
    <w:rsid w:val="00DB1189"/>
    <w:rsid w:val="00DB1677"/>
    <w:rsid w:val="00DB19AF"/>
    <w:rsid w:val="00DB1F3A"/>
    <w:rsid w:val="00DB396E"/>
    <w:rsid w:val="00DB3B17"/>
    <w:rsid w:val="00DB3E80"/>
    <w:rsid w:val="00DB3FA6"/>
    <w:rsid w:val="00DB453A"/>
    <w:rsid w:val="00DB4CCB"/>
    <w:rsid w:val="00DB5A96"/>
    <w:rsid w:val="00DB5ABB"/>
    <w:rsid w:val="00DB5EDF"/>
    <w:rsid w:val="00DB609F"/>
    <w:rsid w:val="00DB6354"/>
    <w:rsid w:val="00DB6D8F"/>
    <w:rsid w:val="00DB6FC7"/>
    <w:rsid w:val="00DB727E"/>
    <w:rsid w:val="00DB78F4"/>
    <w:rsid w:val="00DC0E59"/>
    <w:rsid w:val="00DC0F77"/>
    <w:rsid w:val="00DC1289"/>
    <w:rsid w:val="00DC132B"/>
    <w:rsid w:val="00DC1473"/>
    <w:rsid w:val="00DC180D"/>
    <w:rsid w:val="00DC1AF5"/>
    <w:rsid w:val="00DC1E52"/>
    <w:rsid w:val="00DC20DD"/>
    <w:rsid w:val="00DC250F"/>
    <w:rsid w:val="00DC27C5"/>
    <w:rsid w:val="00DC2FDC"/>
    <w:rsid w:val="00DC3F7D"/>
    <w:rsid w:val="00DC4172"/>
    <w:rsid w:val="00DC470A"/>
    <w:rsid w:val="00DC48A1"/>
    <w:rsid w:val="00DC512A"/>
    <w:rsid w:val="00DC54A8"/>
    <w:rsid w:val="00DC54B0"/>
    <w:rsid w:val="00DC5510"/>
    <w:rsid w:val="00DC5C28"/>
    <w:rsid w:val="00DC5FF1"/>
    <w:rsid w:val="00DC6019"/>
    <w:rsid w:val="00DC70CD"/>
    <w:rsid w:val="00DC7295"/>
    <w:rsid w:val="00DC7515"/>
    <w:rsid w:val="00DC7986"/>
    <w:rsid w:val="00DC7EB7"/>
    <w:rsid w:val="00DD10C2"/>
    <w:rsid w:val="00DD183E"/>
    <w:rsid w:val="00DD2329"/>
    <w:rsid w:val="00DD2B99"/>
    <w:rsid w:val="00DD2D57"/>
    <w:rsid w:val="00DD301B"/>
    <w:rsid w:val="00DD34D5"/>
    <w:rsid w:val="00DD3C8E"/>
    <w:rsid w:val="00DD426E"/>
    <w:rsid w:val="00DD46AC"/>
    <w:rsid w:val="00DD62DB"/>
    <w:rsid w:val="00DD651B"/>
    <w:rsid w:val="00DD65EA"/>
    <w:rsid w:val="00DD6EE6"/>
    <w:rsid w:val="00DD6F4C"/>
    <w:rsid w:val="00DD6FF2"/>
    <w:rsid w:val="00DD7633"/>
    <w:rsid w:val="00DE032A"/>
    <w:rsid w:val="00DE2B53"/>
    <w:rsid w:val="00DE3062"/>
    <w:rsid w:val="00DE3850"/>
    <w:rsid w:val="00DE4331"/>
    <w:rsid w:val="00DE4A48"/>
    <w:rsid w:val="00DE4C57"/>
    <w:rsid w:val="00DE52AD"/>
    <w:rsid w:val="00DE5436"/>
    <w:rsid w:val="00DE543F"/>
    <w:rsid w:val="00DE5A87"/>
    <w:rsid w:val="00DE6528"/>
    <w:rsid w:val="00DE6585"/>
    <w:rsid w:val="00DE6D0C"/>
    <w:rsid w:val="00DE7328"/>
    <w:rsid w:val="00DE75D1"/>
    <w:rsid w:val="00DF01A9"/>
    <w:rsid w:val="00DF0D27"/>
    <w:rsid w:val="00DF1296"/>
    <w:rsid w:val="00DF1487"/>
    <w:rsid w:val="00DF1A46"/>
    <w:rsid w:val="00DF1CAE"/>
    <w:rsid w:val="00DF1DC4"/>
    <w:rsid w:val="00DF1F7E"/>
    <w:rsid w:val="00DF216D"/>
    <w:rsid w:val="00DF23EC"/>
    <w:rsid w:val="00DF2485"/>
    <w:rsid w:val="00DF2957"/>
    <w:rsid w:val="00DF2BB3"/>
    <w:rsid w:val="00DF30DF"/>
    <w:rsid w:val="00DF3690"/>
    <w:rsid w:val="00DF3904"/>
    <w:rsid w:val="00DF3931"/>
    <w:rsid w:val="00DF3B68"/>
    <w:rsid w:val="00DF41C6"/>
    <w:rsid w:val="00DF4851"/>
    <w:rsid w:val="00DF48BE"/>
    <w:rsid w:val="00DF5D4C"/>
    <w:rsid w:val="00DF628B"/>
    <w:rsid w:val="00DF6334"/>
    <w:rsid w:val="00DF692F"/>
    <w:rsid w:val="00DF6C7E"/>
    <w:rsid w:val="00DF7073"/>
    <w:rsid w:val="00DF7452"/>
    <w:rsid w:val="00DF78CD"/>
    <w:rsid w:val="00DF79C2"/>
    <w:rsid w:val="00E00021"/>
    <w:rsid w:val="00E00102"/>
    <w:rsid w:val="00E0136E"/>
    <w:rsid w:val="00E01642"/>
    <w:rsid w:val="00E01D96"/>
    <w:rsid w:val="00E0259A"/>
    <w:rsid w:val="00E0361A"/>
    <w:rsid w:val="00E03BB4"/>
    <w:rsid w:val="00E03E3C"/>
    <w:rsid w:val="00E04677"/>
    <w:rsid w:val="00E04783"/>
    <w:rsid w:val="00E0558C"/>
    <w:rsid w:val="00E05647"/>
    <w:rsid w:val="00E05AA1"/>
    <w:rsid w:val="00E06566"/>
    <w:rsid w:val="00E06971"/>
    <w:rsid w:val="00E07017"/>
    <w:rsid w:val="00E07417"/>
    <w:rsid w:val="00E07BCD"/>
    <w:rsid w:val="00E07ECF"/>
    <w:rsid w:val="00E10466"/>
    <w:rsid w:val="00E1055F"/>
    <w:rsid w:val="00E10C7C"/>
    <w:rsid w:val="00E10C9E"/>
    <w:rsid w:val="00E10DEB"/>
    <w:rsid w:val="00E110DC"/>
    <w:rsid w:val="00E11135"/>
    <w:rsid w:val="00E1145B"/>
    <w:rsid w:val="00E115C8"/>
    <w:rsid w:val="00E11B11"/>
    <w:rsid w:val="00E12260"/>
    <w:rsid w:val="00E122A8"/>
    <w:rsid w:val="00E12308"/>
    <w:rsid w:val="00E12A7D"/>
    <w:rsid w:val="00E12ECF"/>
    <w:rsid w:val="00E1317C"/>
    <w:rsid w:val="00E132F8"/>
    <w:rsid w:val="00E138B6"/>
    <w:rsid w:val="00E1390B"/>
    <w:rsid w:val="00E13ACA"/>
    <w:rsid w:val="00E14C8C"/>
    <w:rsid w:val="00E15B9C"/>
    <w:rsid w:val="00E16195"/>
    <w:rsid w:val="00E16A01"/>
    <w:rsid w:val="00E16E6C"/>
    <w:rsid w:val="00E16F2B"/>
    <w:rsid w:val="00E17417"/>
    <w:rsid w:val="00E1776E"/>
    <w:rsid w:val="00E1789F"/>
    <w:rsid w:val="00E178EE"/>
    <w:rsid w:val="00E179B9"/>
    <w:rsid w:val="00E20657"/>
    <w:rsid w:val="00E20662"/>
    <w:rsid w:val="00E2085D"/>
    <w:rsid w:val="00E20AB7"/>
    <w:rsid w:val="00E20FDE"/>
    <w:rsid w:val="00E21722"/>
    <w:rsid w:val="00E220CF"/>
    <w:rsid w:val="00E221CA"/>
    <w:rsid w:val="00E22422"/>
    <w:rsid w:val="00E22C45"/>
    <w:rsid w:val="00E22ED4"/>
    <w:rsid w:val="00E230FC"/>
    <w:rsid w:val="00E239B0"/>
    <w:rsid w:val="00E2441E"/>
    <w:rsid w:val="00E2448F"/>
    <w:rsid w:val="00E24650"/>
    <w:rsid w:val="00E25D42"/>
    <w:rsid w:val="00E25E53"/>
    <w:rsid w:val="00E2615B"/>
    <w:rsid w:val="00E27A32"/>
    <w:rsid w:val="00E27CA2"/>
    <w:rsid w:val="00E30009"/>
    <w:rsid w:val="00E3020A"/>
    <w:rsid w:val="00E3029A"/>
    <w:rsid w:val="00E31650"/>
    <w:rsid w:val="00E316BE"/>
    <w:rsid w:val="00E31727"/>
    <w:rsid w:val="00E31847"/>
    <w:rsid w:val="00E31E2C"/>
    <w:rsid w:val="00E32064"/>
    <w:rsid w:val="00E3215B"/>
    <w:rsid w:val="00E32D54"/>
    <w:rsid w:val="00E3315E"/>
    <w:rsid w:val="00E336EC"/>
    <w:rsid w:val="00E33918"/>
    <w:rsid w:val="00E33AEE"/>
    <w:rsid w:val="00E33B5D"/>
    <w:rsid w:val="00E33D58"/>
    <w:rsid w:val="00E34CE8"/>
    <w:rsid w:val="00E35321"/>
    <w:rsid w:val="00E35F2F"/>
    <w:rsid w:val="00E3600B"/>
    <w:rsid w:val="00E36E09"/>
    <w:rsid w:val="00E36FEE"/>
    <w:rsid w:val="00E375A7"/>
    <w:rsid w:val="00E37D00"/>
    <w:rsid w:val="00E40507"/>
    <w:rsid w:val="00E40754"/>
    <w:rsid w:val="00E40D7C"/>
    <w:rsid w:val="00E41DFD"/>
    <w:rsid w:val="00E424B2"/>
    <w:rsid w:val="00E42C3C"/>
    <w:rsid w:val="00E43002"/>
    <w:rsid w:val="00E434B5"/>
    <w:rsid w:val="00E43856"/>
    <w:rsid w:val="00E439F3"/>
    <w:rsid w:val="00E43A3F"/>
    <w:rsid w:val="00E43D0D"/>
    <w:rsid w:val="00E44A84"/>
    <w:rsid w:val="00E455A4"/>
    <w:rsid w:val="00E45844"/>
    <w:rsid w:val="00E45912"/>
    <w:rsid w:val="00E45A78"/>
    <w:rsid w:val="00E46059"/>
    <w:rsid w:val="00E4692A"/>
    <w:rsid w:val="00E46A38"/>
    <w:rsid w:val="00E46C0E"/>
    <w:rsid w:val="00E46DE3"/>
    <w:rsid w:val="00E4706E"/>
    <w:rsid w:val="00E4753F"/>
    <w:rsid w:val="00E47E1C"/>
    <w:rsid w:val="00E47E1E"/>
    <w:rsid w:val="00E500BB"/>
    <w:rsid w:val="00E51723"/>
    <w:rsid w:val="00E51DCB"/>
    <w:rsid w:val="00E5205A"/>
    <w:rsid w:val="00E5248C"/>
    <w:rsid w:val="00E52A7F"/>
    <w:rsid w:val="00E52C23"/>
    <w:rsid w:val="00E5370C"/>
    <w:rsid w:val="00E53B12"/>
    <w:rsid w:val="00E54487"/>
    <w:rsid w:val="00E54DBB"/>
    <w:rsid w:val="00E55091"/>
    <w:rsid w:val="00E55402"/>
    <w:rsid w:val="00E55BB8"/>
    <w:rsid w:val="00E56C5D"/>
    <w:rsid w:val="00E57B6D"/>
    <w:rsid w:val="00E602FD"/>
    <w:rsid w:val="00E6035C"/>
    <w:rsid w:val="00E60547"/>
    <w:rsid w:val="00E614AC"/>
    <w:rsid w:val="00E614E0"/>
    <w:rsid w:val="00E617B8"/>
    <w:rsid w:val="00E61939"/>
    <w:rsid w:val="00E61C8C"/>
    <w:rsid w:val="00E622A4"/>
    <w:rsid w:val="00E623FD"/>
    <w:rsid w:val="00E627CE"/>
    <w:rsid w:val="00E62BC2"/>
    <w:rsid w:val="00E62C76"/>
    <w:rsid w:val="00E62D75"/>
    <w:rsid w:val="00E635DD"/>
    <w:rsid w:val="00E637BB"/>
    <w:rsid w:val="00E6393F"/>
    <w:rsid w:val="00E64445"/>
    <w:rsid w:val="00E64995"/>
    <w:rsid w:val="00E6547F"/>
    <w:rsid w:val="00E6587C"/>
    <w:rsid w:val="00E65A71"/>
    <w:rsid w:val="00E65D68"/>
    <w:rsid w:val="00E65F2A"/>
    <w:rsid w:val="00E65FC0"/>
    <w:rsid w:val="00E66576"/>
    <w:rsid w:val="00E66886"/>
    <w:rsid w:val="00E66BBE"/>
    <w:rsid w:val="00E671D3"/>
    <w:rsid w:val="00E675E1"/>
    <w:rsid w:val="00E67613"/>
    <w:rsid w:val="00E67834"/>
    <w:rsid w:val="00E67B7C"/>
    <w:rsid w:val="00E67E13"/>
    <w:rsid w:val="00E67ED9"/>
    <w:rsid w:val="00E7088A"/>
    <w:rsid w:val="00E70A18"/>
    <w:rsid w:val="00E70BF9"/>
    <w:rsid w:val="00E724C5"/>
    <w:rsid w:val="00E72B3C"/>
    <w:rsid w:val="00E73100"/>
    <w:rsid w:val="00E7332D"/>
    <w:rsid w:val="00E73AFE"/>
    <w:rsid w:val="00E73C5F"/>
    <w:rsid w:val="00E73DEB"/>
    <w:rsid w:val="00E73E4C"/>
    <w:rsid w:val="00E74019"/>
    <w:rsid w:val="00E7429E"/>
    <w:rsid w:val="00E74BD7"/>
    <w:rsid w:val="00E751E6"/>
    <w:rsid w:val="00E7586F"/>
    <w:rsid w:val="00E762A0"/>
    <w:rsid w:val="00E766FD"/>
    <w:rsid w:val="00E768AC"/>
    <w:rsid w:val="00E76B4B"/>
    <w:rsid w:val="00E76B78"/>
    <w:rsid w:val="00E76DED"/>
    <w:rsid w:val="00E7712C"/>
    <w:rsid w:val="00E7730F"/>
    <w:rsid w:val="00E77537"/>
    <w:rsid w:val="00E77C0B"/>
    <w:rsid w:val="00E77C3C"/>
    <w:rsid w:val="00E8084A"/>
    <w:rsid w:val="00E8085C"/>
    <w:rsid w:val="00E8086F"/>
    <w:rsid w:val="00E81F95"/>
    <w:rsid w:val="00E821EF"/>
    <w:rsid w:val="00E822F4"/>
    <w:rsid w:val="00E82400"/>
    <w:rsid w:val="00E82B45"/>
    <w:rsid w:val="00E8357D"/>
    <w:rsid w:val="00E837EF"/>
    <w:rsid w:val="00E83AB9"/>
    <w:rsid w:val="00E844C9"/>
    <w:rsid w:val="00E84BA9"/>
    <w:rsid w:val="00E84C6B"/>
    <w:rsid w:val="00E84CA7"/>
    <w:rsid w:val="00E84D13"/>
    <w:rsid w:val="00E84D7B"/>
    <w:rsid w:val="00E856F7"/>
    <w:rsid w:val="00E85CD7"/>
    <w:rsid w:val="00E85D84"/>
    <w:rsid w:val="00E85D92"/>
    <w:rsid w:val="00E85F22"/>
    <w:rsid w:val="00E8612A"/>
    <w:rsid w:val="00E862B2"/>
    <w:rsid w:val="00E86360"/>
    <w:rsid w:val="00E8671F"/>
    <w:rsid w:val="00E86890"/>
    <w:rsid w:val="00E86B70"/>
    <w:rsid w:val="00E86D10"/>
    <w:rsid w:val="00E9039F"/>
    <w:rsid w:val="00E90A8B"/>
    <w:rsid w:val="00E90BF9"/>
    <w:rsid w:val="00E91071"/>
    <w:rsid w:val="00E91C70"/>
    <w:rsid w:val="00E925E5"/>
    <w:rsid w:val="00E92607"/>
    <w:rsid w:val="00E9271B"/>
    <w:rsid w:val="00E9279F"/>
    <w:rsid w:val="00E92FF1"/>
    <w:rsid w:val="00E931FA"/>
    <w:rsid w:val="00E938E9"/>
    <w:rsid w:val="00E94078"/>
    <w:rsid w:val="00E9427B"/>
    <w:rsid w:val="00E945F5"/>
    <w:rsid w:val="00E94853"/>
    <w:rsid w:val="00E94C6A"/>
    <w:rsid w:val="00E94DF8"/>
    <w:rsid w:val="00E9505C"/>
    <w:rsid w:val="00E95842"/>
    <w:rsid w:val="00E95975"/>
    <w:rsid w:val="00E95CA6"/>
    <w:rsid w:val="00E96089"/>
    <w:rsid w:val="00E9612C"/>
    <w:rsid w:val="00E9690B"/>
    <w:rsid w:val="00E96AB3"/>
    <w:rsid w:val="00E96E2F"/>
    <w:rsid w:val="00E97469"/>
    <w:rsid w:val="00E97E2B"/>
    <w:rsid w:val="00EA0EFE"/>
    <w:rsid w:val="00EA1786"/>
    <w:rsid w:val="00EA20EC"/>
    <w:rsid w:val="00EA20F6"/>
    <w:rsid w:val="00EA2222"/>
    <w:rsid w:val="00EA262C"/>
    <w:rsid w:val="00EA2A6B"/>
    <w:rsid w:val="00EA3563"/>
    <w:rsid w:val="00EA372C"/>
    <w:rsid w:val="00EA3944"/>
    <w:rsid w:val="00EA3D58"/>
    <w:rsid w:val="00EA3DD1"/>
    <w:rsid w:val="00EA3ECC"/>
    <w:rsid w:val="00EA3F50"/>
    <w:rsid w:val="00EA3FB3"/>
    <w:rsid w:val="00EA4202"/>
    <w:rsid w:val="00EA4427"/>
    <w:rsid w:val="00EA4D95"/>
    <w:rsid w:val="00EA4E86"/>
    <w:rsid w:val="00EA4ED8"/>
    <w:rsid w:val="00EA52DB"/>
    <w:rsid w:val="00EA57A2"/>
    <w:rsid w:val="00EA5E04"/>
    <w:rsid w:val="00EA5E5D"/>
    <w:rsid w:val="00EA62B8"/>
    <w:rsid w:val="00EA6D95"/>
    <w:rsid w:val="00EA7547"/>
    <w:rsid w:val="00EA7D96"/>
    <w:rsid w:val="00EB01EF"/>
    <w:rsid w:val="00EB0894"/>
    <w:rsid w:val="00EB08C5"/>
    <w:rsid w:val="00EB0E67"/>
    <w:rsid w:val="00EB0FEB"/>
    <w:rsid w:val="00EB1221"/>
    <w:rsid w:val="00EB17B7"/>
    <w:rsid w:val="00EB2288"/>
    <w:rsid w:val="00EB25E2"/>
    <w:rsid w:val="00EB29AE"/>
    <w:rsid w:val="00EB3015"/>
    <w:rsid w:val="00EB33BF"/>
    <w:rsid w:val="00EB3D2D"/>
    <w:rsid w:val="00EB41C5"/>
    <w:rsid w:val="00EB4929"/>
    <w:rsid w:val="00EB4A14"/>
    <w:rsid w:val="00EB4DE7"/>
    <w:rsid w:val="00EB505B"/>
    <w:rsid w:val="00EB507A"/>
    <w:rsid w:val="00EB50AC"/>
    <w:rsid w:val="00EB558B"/>
    <w:rsid w:val="00EB560C"/>
    <w:rsid w:val="00EB66F9"/>
    <w:rsid w:val="00EB6772"/>
    <w:rsid w:val="00EB6E80"/>
    <w:rsid w:val="00EB7A74"/>
    <w:rsid w:val="00EB7AC4"/>
    <w:rsid w:val="00EB7B49"/>
    <w:rsid w:val="00EB7BB6"/>
    <w:rsid w:val="00EC001C"/>
    <w:rsid w:val="00EC02C4"/>
    <w:rsid w:val="00EC0D22"/>
    <w:rsid w:val="00EC0DCB"/>
    <w:rsid w:val="00EC192D"/>
    <w:rsid w:val="00EC1F19"/>
    <w:rsid w:val="00EC1F9B"/>
    <w:rsid w:val="00EC23B9"/>
    <w:rsid w:val="00EC2B33"/>
    <w:rsid w:val="00EC3789"/>
    <w:rsid w:val="00EC37C4"/>
    <w:rsid w:val="00EC3FF1"/>
    <w:rsid w:val="00EC49AB"/>
    <w:rsid w:val="00EC4B99"/>
    <w:rsid w:val="00EC4E90"/>
    <w:rsid w:val="00EC5253"/>
    <w:rsid w:val="00EC5972"/>
    <w:rsid w:val="00EC5C12"/>
    <w:rsid w:val="00EC6067"/>
    <w:rsid w:val="00EC6209"/>
    <w:rsid w:val="00EC6221"/>
    <w:rsid w:val="00EC6542"/>
    <w:rsid w:val="00EC6624"/>
    <w:rsid w:val="00EC6AA7"/>
    <w:rsid w:val="00EC6D75"/>
    <w:rsid w:val="00EC6FE6"/>
    <w:rsid w:val="00EC728B"/>
    <w:rsid w:val="00EC72E4"/>
    <w:rsid w:val="00EC75E5"/>
    <w:rsid w:val="00EC76AD"/>
    <w:rsid w:val="00EC78AB"/>
    <w:rsid w:val="00EC7C83"/>
    <w:rsid w:val="00ED0C97"/>
    <w:rsid w:val="00ED0D03"/>
    <w:rsid w:val="00ED1317"/>
    <w:rsid w:val="00ED17D9"/>
    <w:rsid w:val="00ED1CC4"/>
    <w:rsid w:val="00ED1D20"/>
    <w:rsid w:val="00ED1DD2"/>
    <w:rsid w:val="00ED2CA3"/>
    <w:rsid w:val="00ED34B6"/>
    <w:rsid w:val="00ED34C4"/>
    <w:rsid w:val="00ED37F4"/>
    <w:rsid w:val="00ED38F7"/>
    <w:rsid w:val="00ED45AD"/>
    <w:rsid w:val="00ED49F1"/>
    <w:rsid w:val="00ED4ABE"/>
    <w:rsid w:val="00ED4D50"/>
    <w:rsid w:val="00ED5280"/>
    <w:rsid w:val="00ED5B6E"/>
    <w:rsid w:val="00ED6B64"/>
    <w:rsid w:val="00ED70BB"/>
    <w:rsid w:val="00ED71FB"/>
    <w:rsid w:val="00ED7984"/>
    <w:rsid w:val="00ED7FA6"/>
    <w:rsid w:val="00EE0673"/>
    <w:rsid w:val="00EE0B9F"/>
    <w:rsid w:val="00EE0C7F"/>
    <w:rsid w:val="00EE10B7"/>
    <w:rsid w:val="00EE1CF3"/>
    <w:rsid w:val="00EE2029"/>
    <w:rsid w:val="00EE220F"/>
    <w:rsid w:val="00EE37DF"/>
    <w:rsid w:val="00EE3BB0"/>
    <w:rsid w:val="00EE3ED5"/>
    <w:rsid w:val="00EE3F9F"/>
    <w:rsid w:val="00EE4794"/>
    <w:rsid w:val="00EE47B8"/>
    <w:rsid w:val="00EE4B92"/>
    <w:rsid w:val="00EE4CFE"/>
    <w:rsid w:val="00EE4F89"/>
    <w:rsid w:val="00EE645C"/>
    <w:rsid w:val="00EE6E99"/>
    <w:rsid w:val="00EE7339"/>
    <w:rsid w:val="00EE7405"/>
    <w:rsid w:val="00EE742E"/>
    <w:rsid w:val="00EE77CC"/>
    <w:rsid w:val="00EE7F16"/>
    <w:rsid w:val="00EF0113"/>
    <w:rsid w:val="00EF0220"/>
    <w:rsid w:val="00EF088C"/>
    <w:rsid w:val="00EF0B24"/>
    <w:rsid w:val="00EF0BAE"/>
    <w:rsid w:val="00EF1190"/>
    <w:rsid w:val="00EF1433"/>
    <w:rsid w:val="00EF1EAF"/>
    <w:rsid w:val="00EF2250"/>
    <w:rsid w:val="00EF2C92"/>
    <w:rsid w:val="00EF31B5"/>
    <w:rsid w:val="00EF37E9"/>
    <w:rsid w:val="00EF44B9"/>
    <w:rsid w:val="00EF44DF"/>
    <w:rsid w:val="00EF4CB6"/>
    <w:rsid w:val="00EF54E1"/>
    <w:rsid w:val="00EF5634"/>
    <w:rsid w:val="00EF5EFD"/>
    <w:rsid w:val="00EF6708"/>
    <w:rsid w:val="00EF702D"/>
    <w:rsid w:val="00EF78D1"/>
    <w:rsid w:val="00F008CB"/>
    <w:rsid w:val="00F01F27"/>
    <w:rsid w:val="00F02595"/>
    <w:rsid w:val="00F02638"/>
    <w:rsid w:val="00F027C8"/>
    <w:rsid w:val="00F02A3F"/>
    <w:rsid w:val="00F02E17"/>
    <w:rsid w:val="00F035F1"/>
    <w:rsid w:val="00F039EA"/>
    <w:rsid w:val="00F0425D"/>
    <w:rsid w:val="00F042B9"/>
    <w:rsid w:val="00F045C0"/>
    <w:rsid w:val="00F04831"/>
    <w:rsid w:val="00F0491E"/>
    <w:rsid w:val="00F04EBB"/>
    <w:rsid w:val="00F054DB"/>
    <w:rsid w:val="00F0572F"/>
    <w:rsid w:val="00F05827"/>
    <w:rsid w:val="00F0641F"/>
    <w:rsid w:val="00F0750C"/>
    <w:rsid w:val="00F0769B"/>
    <w:rsid w:val="00F0799C"/>
    <w:rsid w:val="00F07DE3"/>
    <w:rsid w:val="00F07E55"/>
    <w:rsid w:val="00F07E85"/>
    <w:rsid w:val="00F105D3"/>
    <w:rsid w:val="00F1075E"/>
    <w:rsid w:val="00F10957"/>
    <w:rsid w:val="00F1116A"/>
    <w:rsid w:val="00F112BD"/>
    <w:rsid w:val="00F117C3"/>
    <w:rsid w:val="00F11CBF"/>
    <w:rsid w:val="00F11DAB"/>
    <w:rsid w:val="00F11FA9"/>
    <w:rsid w:val="00F12017"/>
    <w:rsid w:val="00F123D8"/>
    <w:rsid w:val="00F1284D"/>
    <w:rsid w:val="00F12EF0"/>
    <w:rsid w:val="00F13173"/>
    <w:rsid w:val="00F13347"/>
    <w:rsid w:val="00F1336E"/>
    <w:rsid w:val="00F13A39"/>
    <w:rsid w:val="00F13CF8"/>
    <w:rsid w:val="00F1506A"/>
    <w:rsid w:val="00F15111"/>
    <w:rsid w:val="00F1547C"/>
    <w:rsid w:val="00F15B21"/>
    <w:rsid w:val="00F16984"/>
    <w:rsid w:val="00F16C12"/>
    <w:rsid w:val="00F17C07"/>
    <w:rsid w:val="00F20187"/>
    <w:rsid w:val="00F202D8"/>
    <w:rsid w:val="00F2043C"/>
    <w:rsid w:val="00F20F98"/>
    <w:rsid w:val="00F21058"/>
    <w:rsid w:val="00F21995"/>
    <w:rsid w:val="00F22A3F"/>
    <w:rsid w:val="00F22D54"/>
    <w:rsid w:val="00F233CB"/>
    <w:rsid w:val="00F234C5"/>
    <w:rsid w:val="00F23CEE"/>
    <w:rsid w:val="00F24090"/>
    <w:rsid w:val="00F24475"/>
    <w:rsid w:val="00F24736"/>
    <w:rsid w:val="00F24B07"/>
    <w:rsid w:val="00F2534E"/>
    <w:rsid w:val="00F2573E"/>
    <w:rsid w:val="00F2595E"/>
    <w:rsid w:val="00F25BB5"/>
    <w:rsid w:val="00F25CEA"/>
    <w:rsid w:val="00F261C0"/>
    <w:rsid w:val="00F26260"/>
    <w:rsid w:val="00F265E9"/>
    <w:rsid w:val="00F2690E"/>
    <w:rsid w:val="00F30218"/>
    <w:rsid w:val="00F306B7"/>
    <w:rsid w:val="00F30D85"/>
    <w:rsid w:val="00F30EFC"/>
    <w:rsid w:val="00F3171C"/>
    <w:rsid w:val="00F319A7"/>
    <w:rsid w:val="00F3207F"/>
    <w:rsid w:val="00F3284E"/>
    <w:rsid w:val="00F32AF8"/>
    <w:rsid w:val="00F32BE7"/>
    <w:rsid w:val="00F32C36"/>
    <w:rsid w:val="00F32E20"/>
    <w:rsid w:val="00F332E8"/>
    <w:rsid w:val="00F33332"/>
    <w:rsid w:val="00F33CB2"/>
    <w:rsid w:val="00F349FA"/>
    <w:rsid w:val="00F34CEA"/>
    <w:rsid w:val="00F35175"/>
    <w:rsid w:val="00F35577"/>
    <w:rsid w:val="00F35C56"/>
    <w:rsid w:val="00F35FCF"/>
    <w:rsid w:val="00F36C21"/>
    <w:rsid w:val="00F400FF"/>
    <w:rsid w:val="00F409DF"/>
    <w:rsid w:val="00F40C1E"/>
    <w:rsid w:val="00F40EF1"/>
    <w:rsid w:val="00F42523"/>
    <w:rsid w:val="00F429C0"/>
    <w:rsid w:val="00F42A3B"/>
    <w:rsid w:val="00F43D8A"/>
    <w:rsid w:val="00F4422B"/>
    <w:rsid w:val="00F444D0"/>
    <w:rsid w:val="00F44866"/>
    <w:rsid w:val="00F4499C"/>
    <w:rsid w:val="00F44CF4"/>
    <w:rsid w:val="00F45A9D"/>
    <w:rsid w:val="00F45AC4"/>
    <w:rsid w:val="00F45D88"/>
    <w:rsid w:val="00F45E91"/>
    <w:rsid w:val="00F460C2"/>
    <w:rsid w:val="00F462DD"/>
    <w:rsid w:val="00F46A0C"/>
    <w:rsid w:val="00F46AF8"/>
    <w:rsid w:val="00F46CD8"/>
    <w:rsid w:val="00F47CB6"/>
    <w:rsid w:val="00F50450"/>
    <w:rsid w:val="00F50539"/>
    <w:rsid w:val="00F5119D"/>
    <w:rsid w:val="00F514F9"/>
    <w:rsid w:val="00F5173D"/>
    <w:rsid w:val="00F51971"/>
    <w:rsid w:val="00F51CED"/>
    <w:rsid w:val="00F52502"/>
    <w:rsid w:val="00F52753"/>
    <w:rsid w:val="00F52B62"/>
    <w:rsid w:val="00F52D14"/>
    <w:rsid w:val="00F52EDE"/>
    <w:rsid w:val="00F53070"/>
    <w:rsid w:val="00F530DB"/>
    <w:rsid w:val="00F5347C"/>
    <w:rsid w:val="00F5354C"/>
    <w:rsid w:val="00F5379F"/>
    <w:rsid w:val="00F53FCA"/>
    <w:rsid w:val="00F544F0"/>
    <w:rsid w:val="00F547ED"/>
    <w:rsid w:val="00F54B9B"/>
    <w:rsid w:val="00F54FBA"/>
    <w:rsid w:val="00F5519C"/>
    <w:rsid w:val="00F557FC"/>
    <w:rsid w:val="00F55FE5"/>
    <w:rsid w:val="00F5616F"/>
    <w:rsid w:val="00F564B7"/>
    <w:rsid w:val="00F56D53"/>
    <w:rsid w:val="00F57BB1"/>
    <w:rsid w:val="00F57EF1"/>
    <w:rsid w:val="00F60474"/>
    <w:rsid w:val="00F61294"/>
    <w:rsid w:val="00F61DCD"/>
    <w:rsid w:val="00F61DD6"/>
    <w:rsid w:val="00F621E4"/>
    <w:rsid w:val="00F62A98"/>
    <w:rsid w:val="00F62FCA"/>
    <w:rsid w:val="00F63954"/>
    <w:rsid w:val="00F6427A"/>
    <w:rsid w:val="00F6444D"/>
    <w:rsid w:val="00F646CD"/>
    <w:rsid w:val="00F6509F"/>
    <w:rsid w:val="00F65328"/>
    <w:rsid w:val="00F65A1C"/>
    <w:rsid w:val="00F65B57"/>
    <w:rsid w:val="00F65F6A"/>
    <w:rsid w:val="00F6674C"/>
    <w:rsid w:val="00F66B80"/>
    <w:rsid w:val="00F66CBE"/>
    <w:rsid w:val="00F67A94"/>
    <w:rsid w:val="00F67BB3"/>
    <w:rsid w:val="00F70006"/>
    <w:rsid w:val="00F70968"/>
    <w:rsid w:val="00F711F0"/>
    <w:rsid w:val="00F71791"/>
    <w:rsid w:val="00F71A8C"/>
    <w:rsid w:val="00F7269C"/>
    <w:rsid w:val="00F728B5"/>
    <w:rsid w:val="00F729AC"/>
    <w:rsid w:val="00F72E45"/>
    <w:rsid w:val="00F73AA4"/>
    <w:rsid w:val="00F73CEE"/>
    <w:rsid w:val="00F740C8"/>
    <w:rsid w:val="00F745F9"/>
    <w:rsid w:val="00F7488C"/>
    <w:rsid w:val="00F748E4"/>
    <w:rsid w:val="00F749EF"/>
    <w:rsid w:val="00F75527"/>
    <w:rsid w:val="00F75599"/>
    <w:rsid w:val="00F75EFD"/>
    <w:rsid w:val="00F76077"/>
    <w:rsid w:val="00F76226"/>
    <w:rsid w:val="00F765DE"/>
    <w:rsid w:val="00F767F2"/>
    <w:rsid w:val="00F76CD8"/>
    <w:rsid w:val="00F7707D"/>
    <w:rsid w:val="00F77873"/>
    <w:rsid w:val="00F779C3"/>
    <w:rsid w:val="00F77C15"/>
    <w:rsid w:val="00F77D58"/>
    <w:rsid w:val="00F8003E"/>
    <w:rsid w:val="00F80045"/>
    <w:rsid w:val="00F8030D"/>
    <w:rsid w:val="00F808A3"/>
    <w:rsid w:val="00F80D96"/>
    <w:rsid w:val="00F815E7"/>
    <w:rsid w:val="00F8164C"/>
    <w:rsid w:val="00F817A3"/>
    <w:rsid w:val="00F81876"/>
    <w:rsid w:val="00F8199C"/>
    <w:rsid w:val="00F81CC3"/>
    <w:rsid w:val="00F81D28"/>
    <w:rsid w:val="00F81E63"/>
    <w:rsid w:val="00F821CE"/>
    <w:rsid w:val="00F82516"/>
    <w:rsid w:val="00F82A02"/>
    <w:rsid w:val="00F82DCE"/>
    <w:rsid w:val="00F82DF3"/>
    <w:rsid w:val="00F8348B"/>
    <w:rsid w:val="00F83839"/>
    <w:rsid w:val="00F83AF0"/>
    <w:rsid w:val="00F83F93"/>
    <w:rsid w:val="00F847F0"/>
    <w:rsid w:val="00F84E1F"/>
    <w:rsid w:val="00F8515D"/>
    <w:rsid w:val="00F86735"/>
    <w:rsid w:val="00F86D12"/>
    <w:rsid w:val="00F86E83"/>
    <w:rsid w:val="00F86F1E"/>
    <w:rsid w:val="00F87295"/>
    <w:rsid w:val="00F87AF9"/>
    <w:rsid w:val="00F87CF5"/>
    <w:rsid w:val="00F901E5"/>
    <w:rsid w:val="00F90770"/>
    <w:rsid w:val="00F9092E"/>
    <w:rsid w:val="00F9123E"/>
    <w:rsid w:val="00F9145F"/>
    <w:rsid w:val="00F91930"/>
    <w:rsid w:val="00F91AA5"/>
    <w:rsid w:val="00F91EFC"/>
    <w:rsid w:val="00F9250D"/>
    <w:rsid w:val="00F92C67"/>
    <w:rsid w:val="00F933EC"/>
    <w:rsid w:val="00F942DB"/>
    <w:rsid w:val="00F94612"/>
    <w:rsid w:val="00F94B1D"/>
    <w:rsid w:val="00F94DA0"/>
    <w:rsid w:val="00F94F83"/>
    <w:rsid w:val="00F95E04"/>
    <w:rsid w:val="00F95E78"/>
    <w:rsid w:val="00F96D64"/>
    <w:rsid w:val="00F97448"/>
    <w:rsid w:val="00F9770D"/>
    <w:rsid w:val="00F97DA7"/>
    <w:rsid w:val="00FA008A"/>
    <w:rsid w:val="00FA00D3"/>
    <w:rsid w:val="00FA0108"/>
    <w:rsid w:val="00FA07E0"/>
    <w:rsid w:val="00FA0C6B"/>
    <w:rsid w:val="00FA0F3F"/>
    <w:rsid w:val="00FA232C"/>
    <w:rsid w:val="00FA2C9F"/>
    <w:rsid w:val="00FA2F75"/>
    <w:rsid w:val="00FA3336"/>
    <w:rsid w:val="00FA374D"/>
    <w:rsid w:val="00FA39B3"/>
    <w:rsid w:val="00FA3F33"/>
    <w:rsid w:val="00FA3FB9"/>
    <w:rsid w:val="00FA499D"/>
    <w:rsid w:val="00FA50AC"/>
    <w:rsid w:val="00FA52BE"/>
    <w:rsid w:val="00FA57F6"/>
    <w:rsid w:val="00FA5802"/>
    <w:rsid w:val="00FA59FF"/>
    <w:rsid w:val="00FA700B"/>
    <w:rsid w:val="00FA708B"/>
    <w:rsid w:val="00FA73B4"/>
    <w:rsid w:val="00FA7EAD"/>
    <w:rsid w:val="00FB0782"/>
    <w:rsid w:val="00FB0820"/>
    <w:rsid w:val="00FB107D"/>
    <w:rsid w:val="00FB115E"/>
    <w:rsid w:val="00FB12F2"/>
    <w:rsid w:val="00FB1B80"/>
    <w:rsid w:val="00FB286D"/>
    <w:rsid w:val="00FB2C5E"/>
    <w:rsid w:val="00FB2F83"/>
    <w:rsid w:val="00FB30F2"/>
    <w:rsid w:val="00FB330E"/>
    <w:rsid w:val="00FB3428"/>
    <w:rsid w:val="00FB35F8"/>
    <w:rsid w:val="00FB3D02"/>
    <w:rsid w:val="00FB405B"/>
    <w:rsid w:val="00FB4482"/>
    <w:rsid w:val="00FB44E2"/>
    <w:rsid w:val="00FB5CD0"/>
    <w:rsid w:val="00FB7259"/>
    <w:rsid w:val="00FB72EA"/>
    <w:rsid w:val="00FB73C0"/>
    <w:rsid w:val="00FB7BD2"/>
    <w:rsid w:val="00FB7ECE"/>
    <w:rsid w:val="00FC01DA"/>
    <w:rsid w:val="00FC0214"/>
    <w:rsid w:val="00FC0814"/>
    <w:rsid w:val="00FC0ECC"/>
    <w:rsid w:val="00FC124A"/>
    <w:rsid w:val="00FC1C7D"/>
    <w:rsid w:val="00FC1F4F"/>
    <w:rsid w:val="00FC23B4"/>
    <w:rsid w:val="00FC2567"/>
    <w:rsid w:val="00FC2D6E"/>
    <w:rsid w:val="00FC366A"/>
    <w:rsid w:val="00FC3956"/>
    <w:rsid w:val="00FC3A2B"/>
    <w:rsid w:val="00FC3E6E"/>
    <w:rsid w:val="00FC3F82"/>
    <w:rsid w:val="00FC402F"/>
    <w:rsid w:val="00FC4822"/>
    <w:rsid w:val="00FC4987"/>
    <w:rsid w:val="00FC4A17"/>
    <w:rsid w:val="00FC507E"/>
    <w:rsid w:val="00FC5354"/>
    <w:rsid w:val="00FC553A"/>
    <w:rsid w:val="00FC5592"/>
    <w:rsid w:val="00FC5774"/>
    <w:rsid w:val="00FC5A71"/>
    <w:rsid w:val="00FC5E1B"/>
    <w:rsid w:val="00FC62F3"/>
    <w:rsid w:val="00FC65AB"/>
    <w:rsid w:val="00FC695D"/>
    <w:rsid w:val="00FC6A73"/>
    <w:rsid w:val="00FC6DCF"/>
    <w:rsid w:val="00FC6E2C"/>
    <w:rsid w:val="00FC6EE0"/>
    <w:rsid w:val="00FC7349"/>
    <w:rsid w:val="00FC755F"/>
    <w:rsid w:val="00FC7673"/>
    <w:rsid w:val="00FC7FDF"/>
    <w:rsid w:val="00FD0817"/>
    <w:rsid w:val="00FD0860"/>
    <w:rsid w:val="00FD08DA"/>
    <w:rsid w:val="00FD096F"/>
    <w:rsid w:val="00FD0A8A"/>
    <w:rsid w:val="00FD1E01"/>
    <w:rsid w:val="00FD2085"/>
    <w:rsid w:val="00FD2673"/>
    <w:rsid w:val="00FD285C"/>
    <w:rsid w:val="00FD29D5"/>
    <w:rsid w:val="00FD30C7"/>
    <w:rsid w:val="00FD3211"/>
    <w:rsid w:val="00FD32AA"/>
    <w:rsid w:val="00FD3947"/>
    <w:rsid w:val="00FD3A4E"/>
    <w:rsid w:val="00FD3B2E"/>
    <w:rsid w:val="00FD3BB2"/>
    <w:rsid w:val="00FD41F8"/>
    <w:rsid w:val="00FD43D7"/>
    <w:rsid w:val="00FD4572"/>
    <w:rsid w:val="00FD5550"/>
    <w:rsid w:val="00FD55E1"/>
    <w:rsid w:val="00FD56C5"/>
    <w:rsid w:val="00FD590F"/>
    <w:rsid w:val="00FD5E79"/>
    <w:rsid w:val="00FD7D3D"/>
    <w:rsid w:val="00FD7F22"/>
    <w:rsid w:val="00FD7F89"/>
    <w:rsid w:val="00FE03EA"/>
    <w:rsid w:val="00FE04D0"/>
    <w:rsid w:val="00FE0955"/>
    <w:rsid w:val="00FE0FB3"/>
    <w:rsid w:val="00FE11E2"/>
    <w:rsid w:val="00FE1919"/>
    <w:rsid w:val="00FE1D68"/>
    <w:rsid w:val="00FE2133"/>
    <w:rsid w:val="00FE2447"/>
    <w:rsid w:val="00FE275E"/>
    <w:rsid w:val="00FE2E60"/>
    <w:rsid w:val="00FE3254"/>
    <w:rsid w:val="00FE40AC"/>
    <w:rsid w:val="00FE4395"/>
    <w:rsid w:val="00FE505A"/>
    <w:rsid w:val="00FE5820"/>
    <w:rsid w:val="00FE5D8C"/>
    <w:rsid w:val="00FE5DBF"/>
    <w:rsid w:val="00FE5DFF"/>
    <w:rsid w:val="00FE5E61"/>
    <w:rsid w:val="00FE604B"/>
    <w:rsid w:val="00FE64C4"/>
    <w:rsid w:val="00FE68B4"/>
    <w:rsid w:val="00FE6C85"/>
    <w:rsid w:val="00FE6CEA"/>
    <w:rsid w:val="00FE6D7F"/>
    <w:rsid w:val="00FE7210"/>
    <w:rsid w:val="00FE76B6"/>
    <w:rsid w:val="00FE7836"/>
    <w:rsid w:val="00FE7FF5"/>
    <w:rsid w:val="00FF0266"/>
    <w:rsid w:val="00FF03D0"/>
    <w:rsid w:val="00FF0954"/>
    <w:rsid w:val="00FF0DCB"/>
    <w:rsid w:val="00FF10ED"/>
    <w:rsid w:val="00FF11F4"/>
    <w:rsid w:val="00FF1555"/>
    <w:rsid w:val="00FF194E"/>
    <w:rsid w:val="00FF1D8D"/>
    <w:rsid w:val="00FF1EF5"/>
    <w:rsid w:val="00FF2740"/>
    <w:rsid w:val="00FF2984"/>
    <w:rsid w:val="00FF3605"/>
    <w:rsid w:val="00FF37B8"/>
    <w:rsid w:val="00FF3D09"/>
    <w:rsid w:val="00FF3DD0"/>
    <w:rsid w:val="00FF3EB5"/>
    <w:rsid w:val="00FF4185"/>
    <w:rsid w:val="00FF41F5"/>
    <w:rsid w:val="00FF43CF"/>
    <w:rsid w:val="00FF4CBF"/>
    <w:rsid w:val="00FF5646"/>
    <w:rsid w:val="00FF6579"/>
    <w:rsid w:val="00FF6C2D"/>
    <w:rsid w:val="00FF72DD"/>
    <w:rsid w:val="00FF7316"/>
    <w:rsid w:val="00FF7EE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country-region"/>
  <w:smartTagType w:namespaceuri="urn:schemas-microsoft-com:office:smarttags" w:name="City"/>
  <w:smartTagType w:namespaceuri="urn:schemas-microsoft-com:office:smarttags" w:name="PostalCode"/>
  <w:smartTagType w:namespaceuri="urn:schemas-microsoft-com:office:smarttags" w:name="place"/>
  <w:smartTagType w:namespaceuri="urn:schemas-microsoft-com:office:smarttags" w:name="address"/>
  <w:smartTagType w:namespaceuri="urn:schemas-microsoft-com:office:smarttags" w:name="Street"/>
  <w:smartTagType w:namespaceuri="urn:schemas-microsoft-com:office:smarttags" w:name="State"/>
  <w:shapeDefaults>
    <o:shapedefaults v:ext="edit" spidmax="2053">
      <o:colormenu v:ext="edit" strokecolor="none"/>
    </o:shapedefaults>
    <o:shapelayout v:ext="edit">
      <o:idmap v:ext="edit" data="1"/>
      <o:rules v:ext="edit">
        <o:r id="V:Rule3" type="connector" idref="#_x0000_s1075"/>
        <o:r id="V:Rule4" type="connector" idref="#_x0000_s107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9" w:qFormat="1"/>
    <w:lsdException w:name="heading 3" w:uiPriority="9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footer" w:uiPriority="99"/>
    <w:lsdException w:name="caption" w:uiPriority="99" w:qFormat="1"/>
    <w:lsdException w:name="table of figures" w:uiPriority="99" w:qFormat="1"/>
    <w:lsdException w:name="footnote reference" w:uiPriority="99"/>
    <w:lsdException w:name="annotation reference" w:uiPriority="99"/>
    <w:lsdException w:name="endnote reference" w:uiPriority="99"/>
    <w:lsdException w:name="toa heading" w:uiPriority="99"/>
    <w:lsdException w:name="List Bullet" w:qFormat="1"/>
    <w:lsdException w:name="List Bullet 2" w:uiPriority="99"/>
    <w:lsdException w:name="Title" w:uiPriority="99" w:qFormat="1"/>
    <w:lsdException w:name="Default Paragraph Font" w:uiPriority="1"/>
    <w:lsdException w:name="Body Text" w:uiPriority="99"/>
    <w:lsdException w:name="Body Text Indent" w:uiPriority="99"/>
    <w:lsdException w:name="Subtitle" w:uiPriority="99"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22" w:qFormat="1"/>
    <w:lsdException w:name="Emphasis" w:uiPriority="20" w:qFormat="1"/>
    <w:lsdException w:name="Plain Text" w:uiPriority="99"/>
    <w:lsdException w:name="Normal (Web)" w:uiPriority="99"/>
    <w:lsdException w:name="annotation subject" w:uiPriority="99"/>
    <w:lsdException w:name="No List" w:uiPriority="99"/>
    <w:lsdException w:name="Outline List 2" w:uiPriority="99"/>
    <w:lsdException w:name="Table Elegant" w:uiPriority="99"/>
    <w:lsdException w:name="Table Professional"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5508B0"/>
    <w:rPr>
      <w:sz w:val="24"/>
      <w:szCs w:val="24"/>
    </w:rPr>
  </w:style>
  <w:style w:type="paragraph" w:styleId="Heading1">
    <w:name w:val="heading 1"/>
    <w:basedOn w:val="Normal"/>
    <w:next w:val="Normal"/>
    <w:link w:val="Heading1Char"/>
    <w:uiPriority w:val="9"/>
    <w:qFormat/>
    <w:rsid w:val="001C760A"/>
    <w:pPr>
      <w:keepNext/>
      <w:spacing w:before="240" w:after="60"/>
      <w:jc w:val="center"/>
      <w:outlineLvl w:val="0"/>
    </w:pPr>
    <w:rPr>
      <w:rFonts w:ascii="Arial" w:hAnsi="Arial"/>
      <w:b/>
      <w:caps/>
      <w:kern w:val="32"/>
      <w:sz w:val="48"/>
      <w:szCs w:val="48"/>
    </w:rPr>
  </w:style>
  <w:style w:type="paragraph" w:styleId="Heading2">
    <w:name w:val="heading 2"/>
    <w:basedOn w:val="Normal"/>
    <w:next w:val="Normal"/>
    <w:link w:val="Heading2Char"/>
    <w:uiPriority w:val="99"/>
    <w:qFormat/>
    <w:rsid w:val="00DF3904"/>
    <w:pPr>
      <w:keepNext/>
      <w:spacing w:before="120" w:after="120"/>
      <w:outlineLvl w:val="1"/>
    </w:pPr>
    <w:rPr>
      <w:rFonts w:ascii="Arial" w:hAnsi="Arial"/>
      <w:b/>
      <w:sz w:val="32"/>
      <w:szCs w:val="20"/>
    </w:rPr>
  </w:style>
  <w:style w:type="paragraph" w:styleId="Heading3">
    <w:name w:val="heading 3"/>
    <w:basedOn w:val="Normal"/>
    <w:next w:val="Normal"/>
    <w:link w:val="Heading3Char"/>
    <w:uiPriority w:val="99"/>
    <w:qFormat/>
    <w:rsid w:val="006F7EFE"/>
    <w:pPr>
      <w:keepNext/>
      <w:spacing w:before="120" w:after="120"/>
      <w:outlineLvl w:val="2"/>
    </w:pPr>
    <w:rPr>
      <w:rFonts w:ascii="Arial" w:hAnsi="Arial" w:cs="Arial"/>
      <w:b/>
      <w:bCs/>
      <w:i/>
      <w:szCs w:val="26"/>
    </w:rPr>
  </w:style>
  <w:style w:type="paragraph" w:styleId="Heading4">
    <w:name w:val="heading 4"/>
    <w:aliases w:val="Heading 4 Char"/>
    <w:basedOn w:val="Normal"/>
    <w:next w:val="Normal"/>
    <w:link w:val="Heading4Char1"/>
    <w:uiPriority w:val="9"/>
    <w:qFormat/>
    <w:rsid w:val="00492CE5"/>
    <w:pPr>
      <w:keepNext/>
      <w:spacing w:before="120" w:after="120"/>
      <w:outlineLvl w:val="3"/>
    </w:pPr>
    <w:rPr>
      <w:rFonts w:ascii="Arial" w:hAnsi="Arial"/>
      <w:b/>
      <w:szCs w:val="20"/>
    </w:rPr>
  </w:style>
  <w:style w:type="paragraph" w:styleId="Heading5">
    <w:name w:val="heading 5"/>
    <w:basedOn w:val="Normal"/>
    <w:next w:val="Normal"/>
    <w:link w:val="Heading5Char"/>
    <w:uiPriority w:val="9"/>
    <w:qFormat/>
    <w:rsid w:val="00456F87"/>
    <w:pPr>
      <w:spacing w:before="60" w:after="60"/>
      <w:outlineLvl w:val="4"/>
    </w:pPr>
    <w:rPr>
      <w:rFonts w:ascii="Arial" w:hAnsi="Arial"/>
      <w:b/>
      <w:sz w:val="22"/>
      <w:szCs w:val="20"/>
    </w:rPr>
  </w:style>
  <w:style w:type="paragraph" w:styleId="Heading6">
    <w:name w:val="heading 6"/>
    <w:basedOn w:val="Normal"/>
    <w:next w:val="Normal"/>
    <w:link w:val="Heading6Char"/>
    <w:uiPriority w:val="9"/>
    <w:qFormat/>
    <w:rsid w:val="006F7EFE"/>
    <w:pPr>
      <w:keepNext/>
      <w:spacing w:after="60"/>
      <w:outlineLvl w:val="5"/>
    </w:pPr>
    <w:rPr>
      <w:rFonts w:ascii="Arial" w:hAnsi="Arial"/>
      <w:b/>
      <w:i/>
      <w:color w:val="000000"/>
      <w:sz w:val="20"/>
      <w:szCs w:val="20"/>
    </w:rPr>
  </w:style>
  <w:style w:type="paragraph" w:styleId="Heading7">
    <w:name w:val="heading 7"/>
    <w:basedOn w:val="Normal"/>
    <w:next w:val="Normal"/>
    <w:link w:val="Heading7Char"/>
    <w:uiPriority w:val="9"/>
    <w:qFormat/>
    <w:rsid w:val="001C760A"/>
    <w:pPr>
      <w:keepNext/>
      <w:autoSpaceDE w:val="0"/>
      <w:autoSpaceDN w:val="0"/>
      <w:adjustRightInd w:val="0"/>
      <w:outlineLvl w:val="6"/>
    </w:pPr>
    <w:rPr>
      <w:rFonts w:ascii="Arial" w:hAnsi="Arial"/>
      <w:b/>
      <w:szCs w:val="20"/>
    </w:rPr>
  </w:style>
  <w:style w:type="paragraph" w:styleId="Heading8">
    <w:name w:val="heading 8"/>
    <w:basedOn w:val="Normal"/>
    <w:next w:val="Normal"/>
    <w:link w:val="Heading8Char"/>
    <w:uiPriority w:val="9"/>
    <w:qFormat/>
    <w:rsid w:val="001C760A"/>
    <w:pPr>
      <w:keepNext/>
      <w:ind w:left="2160" w:hanging="1440"/>
      <w:outlineLvl w:val="7"/>
    </w:pPr>
    <w:rPr>
      <w:rFonts w:ascii="Arial" w:hAnsi="Arial"/>
      <w:b/>
      <w:i/>
      <w:szCs w:val="20"/>
    </w:rPr>
  </w:style>
  <w:style w:type="paragraph" w:styleId="Heading9">
    <w:name w:val="heading 9"/>
    <w:basedOn w:val="Normal"/>
    <w:next w:val="Normal"/>
    <w:link w:val="Heading9Char"/>
    <w:uiPriority w:val="9"/>
    <w:qFormat/>
    <w:rsid w:val="001C760A"/>
    <w:pPr>
      <w:keepNext/>
      <w:outlineLvl w:val="8"/>
    </w:pPr>
    <w:rPr>
      <w:rFonts w:ascii="Arial" w:hAnsi="Arial"/>
      <w:b/>
      <w:i/>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3B37D3"/>
    <w:rPr>
      <w:rFonts w:ascii="Arial" w:hAnsi="Arial" w:cs="Times New Roman"/>
      <w:b/>
      <w:caps/>
      <w:kern w:val="32"/>
      <w:sz w:val="48"/>
      <w:szCs w:val="48"/>
    </w:rPr>
  </w:style>
  <w:style w:type="character" w:customStyle="1" w:styleId="Heading2Char">
    <w:name w:val="Heading 2 Char"/>
    <w:basedOn w:val="DefaultParagraphFont"/>
    <w:link w:val="Heading2"/>
    <w:uiPriority w:val="99"/>
    <w:rsid w:val="001C760A"/>
    <w:rPr>
      <w:rFonts w:ascii="Arial" w:hAnsi="Arial" w:cs="Times New Roman"/>
      <w:b/>
      <w:sz w:val="36"/>
      <w:lang w:val="en-US" w:eastAsia="en-US" w:bidi="ar-SA"/>
    </w:rPr>
  </w:style>
  <w:style w:type="character" w:customStyle="1" w:styleId="Heading3Char">
    <w:name w:val="Heading 3 Char"/>
    <w:basedOn w:val="DefaultParagraphFont"/>
    <w:link w:val="Heading3"/>
    <w:uiPriority w:val="99"/>
    <w:locked/>
    <w:rsid w:val="006F7EFE"/>
    <w:rPr>
      <w:rFonts w:ascii="Arial" w:hAnsi="Arial" w:cs="Arial"/>
      <w:b/>
      <w:bCs/>
      <w:i/>
      <w:sz w:val="24"/>
      <w:szCs w:val="26"/>
    </w:rPr>
  </w:style>
  <w:style w:type="character" w:customStyle="1" w:styleId="Heading4Char1">
    <w:name w:val="Heading 4 Char1"/>
    <w:aliases w:val="Heading 4 Char Char"/>
    <w:basedOn w:val="DefaultParagraphFont"/>
    <w:link w:val="Heading4"/>
    <w:uiPriority w:val="9"/>
    <w:locked/>
    <w:rsid w:val="00492CE5"/>
    <w:rPr>
      <w:rFonts w:ascii="Arial" w:hAnsi="Arial" w:cs="Times New Roman"/>
      <w:b/>
      <w:sz w:val="24"/>
      <w:lang w:val="en-US" w:eastAsia="en-US" w:bidi="ar-SA"/>
    </w:rPr>
  </w:style>
  <w:style w:type="character" w:customStyle="1" w:styleId="Heading5Char">
    <w:name w:val="Heading 5 Char"/>
    <w:basedOn w:val="DefaultParagraphFont"/>
    <w:link w:val="Heading5"/>
    <w:uiPriority w:val="9"/>
    <w:locked/>
    <w:rsid w:val="00456F87"/>
    <w:rPr>
      <w:rFonts w:ascii="Arial" w:hAnsi="Arial" w:cs="Times New Roman"/>
      <w:b/>
      <w:sz w:val="22"/>
    </w:rPr>
  </w:style>
  <w:style w:type="character" w:customStyle="1" w:styleId="Heading6Char">
    <w:name w:val="Heading 6 Char"/>
    <w:basedOn w:val="DefaultParagraphFont"/>
    <w:link w:val="Heading6"/>
    <w:uiPriority w:val="9"/>
    <w:locked/>
    <w:rsid w:val="006F7EFE"/>
    <w:rPr>
      <w:rFonts w:ascii="Arial" w:hAnsi="Arial"/>
      <w:b/>
      <w:i/>
      <w:color w:val="000000"/>
    </w:rPr>
  </w:style>
  <w:style w:type="character" w:customStyle="1" w:styleId="Heading7Char">
    <w:name w:val="Heading 7 Char"/>
    <w:basedOn w:val="DefaultParagraphFont"/>
    <w:link w:val="Heading7"/>
    <w:uiPriority w:val="9"/>
    <w:locked/>
    <w:rsid w:val="003B37D3"/>
    <w:rPr>
      <w:rFonts w:ascii="Arial" w:hAnsi="Arial" w:cs="Times New Roman"/>
      <w:b/>
      <w:sz w:val="24"/>
    </w:rPr>
  </w:style>
  <w:style w:type="character" w:customStyle="1" w:styleId="Heading8Char">
    <w:name w:val="Heading 8 Char"/>
    <w:basedOn w:val="DefaultParagraphFont"/>
    <w:link w:val="Heading8"/>
    <w:uiPriority w:val="9"/>
    <w:locked/>
    <w:rsid w:val="003B37D3"/>
    <w:rPr>
      <w:rFonts w:ascii="Arial" w:hAnsi="Arial" w:cs="Times New Roman"/>
      <w:b/>
      <w:i/>
      <w:snapToGrid w:val="0"/>
      <w:sz w:val="24"/>
    </w:rPr>
  </w:style>
  <w:style w:type="character" w:customStyle="1" w:styleId="Heading9Char">
    <w:name w:val="Heading 9 Char"/>
    <w:basedOn w:val="DefaultParagraphFont"/>
    <w:link w:val="Heading9"/>
    <w:uiPriority w:val="9"/>
    <w:locked/>
    <w:rsid w:val="003B37D3"/>
    <w:rPr>
      <w:rFonts w:ascii="Arial" w:hAnsi="Arial" w:cs="Times New Roman"/>
      <w:b/>
      <w:i/>
    </w:rPr>
  </w:style>
  <w:style w:type="paragraph" w:styleId="TOC2">
    <w:name w:val="toc 2"/>
    <w:basedOn w:val="Normal"/>
    <w:next w:val="Normal"/>
    <w:autoRedefine/>
    <w:uiPriority w:val="39"/>
    <w:rsid w:val="00EB08C5"/>
    <w:pPr>
      <w:tabs>
        <w:tab w:val="right" w:leader="dot" w:pos="9350"/>
      </w:tabs>
      <w:spacing w:before="60" w:after="60"/>
      <w:ind w:left="432" w:right="1152"/>
    </w:pPr>
    <w:rPr>
      <w:rFonts w:ascii="Arial" w:hAnsi="Arial"/>
      <w:b/>
      <w:noProof/>
      <w:szCs w:val="20"/>
    </w:rPr>
  </w:style>
  <w:style w:type="paragraph" w:customStyle="1" w:styleId="Sidebartext">
    <w:name w:val="Sidebar text"/>
    <w:basedOn w:val="Normal"/>
    <w:autoRedefine/>
    <w:semiHidden/>
    <w:rsid w:val="0030757F"/>
    <w:rPr>
      <w:rFonts w:ascii="Arial" w:hAnsi="Arial"/>
      <w:i/>
      <w:color w:val="000000"/>
      <w:sz w:val="20"/>
      <w:szCs w:val="20"/>
    </w:rPr>
  </w:style>
  <w:style w:type="paragraph" w:styleId="ListBullet">
    <w:name w:val="List Bullet"/>
    <w:basedOn w:val="Normal"/>
    <w:link w:val="ListBulletChar"/>
    <w:uiPriority w:val="99"/>
    <w:qFormat/>
    <w:rsid w:val="0081133F"/>
    <w:pPr>
      <w:numPr>
        <w:numId w:val="10"/>
      </w:numPr>
      <w:spacing w:after="120"/>
      <w:ind w:right="864"/>
    </w:pPr>
    <w:rPr>
      <w:rFonts w:ascii="Arial" w:hAnsi="Arial"/>
      <w:i/>
      <w:sz w:val="22"/>
    </w:rPr>
  </w:style>
  <w:style w:type="paragraph" w:customStyle="1" w:styleId="Listbulletsubhead">
    <w:name w:val="List bullet subhead"/>
    <w:basedOn w:val="Normal"/>
    <w:semiHidden/>
    <w:rsid w:val="00617E31"/>
    <w:pPr>
      <w:numPr>
        <w:numId w:val="4"/>
      </w:numPr>
      <w:tabs>
        <w:tab w:val="clear" w:pos="720"/>
        <w:tab w:val="num" w:pos="360"/>
      </w:tabs>
      <w:ind w:left="0" w:firstLine="0"/>
    </w:pPr>
  </w:style>
  <w:style w:type="table" w:styleId="TableGrid">
    <w:name w:val="Table Grid"/>
    <w:basedOn w:val="TableNormal"/>
    <w:uiPriority w:val="59"/>
    <w:rsid w:val="00617E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Bullet2">
    <w:name w:val="List Bullet 2"/>
    <w:basedOn w:val="Normal"/>
    <w:uiPriority w:val="99"/>
    <w:semiHidden/>
    <w:rsid w:val="00882A09"/>
    <w:pPr>
      <w:numPr>
        <w:numId w:val="3"/>
      </w:numPr>
      <w:ind w:left="1728" w:hanging="1008"/>
    </w:pPr>
  </w:style>
  <w:style w:type="paragraph" w:styleId="Footer">
    <w:name w:val="footer"/>
    <w:basedOn w:val="Normal"/>
    <w:link w:val="FooterChar"/>
    <w:uiPriority w:val="99"/>
    <w:rsid w:val="00AB38EB"/>
    <w:pPr>
      <w:tabs>
        <w:tab w:val="center" w:pos="4320"/>
        <w:tab w:val="right" w:pos="8640"/>
      </w:tabs>
    </w:pPr>
  </w:style>
  <w:style w:type="character" w:customStyle="1" w:styleId="FooterChar">
    <w:name w:val="Footer Char"/>
    <w:basedOn w:val="DefaultParagraphFont"/>
    <w:link w:val="Footer"/>
    <w:uiPriority w:val="99"/>
    <w:locked/>
    <w:rsid w:val="00200ACD"/>
    <w:rPr>
      <w:rFonts w:cs="Times New Roman"/>
      <w:sz w:val="24"/>
      <w:szCs w:val="24"/>
    </w:rPr>
  </w:style>
  <w:style w:type="character" w:styleId="PageNumber">
    <w:name w:val="page number"/>
    <w:basedOn w:val="DefaultParagraphFont"/>
    <w:uiPriority w:val="99"/>
    <w:rsid w:val="00AB38EB"/>
    <w:rPr>
      <w:rFonts w:cs="Times New Roman"/>
    </w:rPr>
  </w:style>
  <w:style w:type="paragraph" w:styleId="Header">
    <w:name w:val="header"/>
    <w:basedOn w:val="Normal"/>
    <w:link w:val="HeaderChar"/>
    <w:uiPriority w:val="99"/>
    <w:rsid w:val="001B3355"/>
    <w:pPr>
      <w:tabs>
        <w:tab w:val="center" w:pos="4320"/>
        <w:tab w:val="right" w:pos="8640"/>
      </w:tabs>
    </w:pPr>
  </w:style>
  <w:style w:type="character" w:customStyle="1" w:styleId="HeaderChar">
    <w:name w:val="Header Char"/>
    <w:basedOn w:val="DefaultParagraphFont"/>
    <w:link w:val="Header"/>
    <w:uiPriority w:val="99"/>
    <w:locked/>
    <w:rsid w:val="008256F3"/>
    <w:rPr>
      <w:rFonts w:cs="Times New Roman"/>
      <w:sz w:val="24"/>
      <w:szCs w:val="24"/>
      <w:lang w:val="en-US" w:eastAsia="en-US" w:bidi="ar-SA"/>
    </w:rPr>
  </w:style>
  <w:style w:type="character" w:customStyle="1" w:styleId="ListBulletChar">
    <w:name w:val="List Bullet Char"/>
    <w:basedOn w:val="DefaultParagraphFont"/>
    <w:link w:val="ListBullet"/>
    <w:uiPriority w:val="99"/>
    <w:locked/>
    <w:rsid w:val="0081133F"/>
    <w:rPr>
      <w:rFonts w:ascii="Arial" w:hAnsi="Arial"/>
      <w:i/>
      <w:sz w:val="22"/>
      <w:szCs w:val="24"/>
    </w:rPr>
  </w:style>
  <w:style w:type="character" w:styleId="Hyperlink">
    <w:name w:val="Hyperlink"/>
    <w:basedOn w:val="DefaultParagraphFont"/>
    <w:uiPriority w:val="99"/>
    <w:rsid w:val="007361AE"/>
    <w:rPr>
      <w:rFonts w:cs="Times New Roman"/>
      <w:color w:val="0000FF"/>
      <w:u w:val="single"/>
    </w:rPr>
  </w:style>
  <w:style w:type="paragraph" w:styleId="FootnoteText">
    <w:name w:val="footnote text"/>
    <w:basedOn w:val="Normal"/>
    <w:link w:val="FootnoteTextChar"/>
    <w:uiPriority w:val="99"/>
    <w:rsid w:val="00537EFE"/>
    <w:rPr>
      <w:rFonts w:ascii="Arial" w:hAnsi="Arial"/>
      <w:sz w:val="16"/>
      <w:szCs w:val="20"/>
    </w:rPr>
  </w:style>
  <w:style w:type="character" w:customStyle="1" w:styleId="FootnoteTextChar">
    <w:name w:val="Footnote Text Char"/>
    <w:basedOn w:val="DefaultParagraphFont"/>
    <w:link w:val="FootnoteText"/>
    <w:uiPriority w:val="99"/>
    <w:rsid w:val="001C760A"/>
    <w:rPr>
      <w:rFonts w:ascii="Arial" w:hAnsi="Arial" w:cs="Arial"/>
      <w:i/>
      <w:iCs/>
      <w:sz w:val="16"/>
      <w:lang w:val="en-US" w:eastAsia="en-US" w:bidi="ar-SA"/>
    </w:rPr>
  </w:style>
  <w:style w:type="character" w:styleId="FootnoteReference">
    <w:name w:val="footnote reference"/>
    <w:basedOn w:val="DefaultParagraphFont"/>
    <w:uiPriority w:val="99"/>
    <w:semiHidden/>
    <w:rsid w:val="008805C9"/>
    <w:rPr>
      <w:rFonts w:cs="Times New Roman"/>
      <w:vertAlign w:val="superscript"/>
    </w:rPr>
  </w:style>
  <w:style w:type="paragraph" w:styleId="TOAHeading">
    <w:name w:val="toa heading"/>
    <w:basedOn w:val="Normal"/>
    <w:next w:val="Normal"/>
    <w:uiPriority w:val="99"/>
    <w:semiHidden/>
    <w:rsid w:val="0087219B"/>
    <w:pPr>
      <w:spacing w:before="120"/>
    </w:pPr>
    <w:rPr>
      <w:rFonts w:ascii="Arial" w:hAnsi="Arial"/>
      <w:b/>
      <w:szCs w:val="20"/>
    </w:rPr>
  </w:style>
  <w:style w:type="paragraph" w:customStyle="1" w:styleId="Bodytext">
    <w:name w:val="Body text"/>
    <w:basedOn w:val="BodyTextIndent"/>
    <w:link w:val="BodytextChar1"/>
    <w:uiPriority w:val="99"/>
    <w:qFormat/>
    <w:rsid w:val="00AB461D"/>
    <w:pPr>
      <w:spacing w:after="0"/>
      <w:ind w:left="0"/>
    </w:pPr>
    <w:rPr>
      <w:rFonts w:ascii="Arial" w:hAnsi="Arial"/>
      <w:sz w:val="22"/>
      <w:szCs w:val="20"/>
    </w:rPr>
  </w:style>
  <w:style w:type="paragraph" w:styleId="BodyTextIndent">
    <w:name w:val="Body Text Indent"/>
    <w:basedOn w:val="Normal"/>
    <w:link w:val="BodyTextIndentChar"/>
    <w:uiPriority w:val="99"/>
    <w:rsid w:val="0087219B"/>
    <w:pPr>
      <w:spacing w:after="120"/>
      <w:ind w:left="360"/>
    </w:pPr>
  </w:style>
  <w:style w:type="character" w:customStyle="1" w:styleId="BodyTextIndentChar">
    <w:name w:val="Body Text Indent Char"/>
    <w:basedOn w:val="DefaultParagraphFont"/>
    <w:link w:val="BodyTextIndent"/>
    <w:uiPriority w:val="99"/>
    <w:locked/>
    <w:rsid w:val="000C7359"/>
    <w:rPr>
      <w:rFonts w:cs="Times New Roman"/>
      <w:sz w:val="24"/>
      <w:szCs w:val="24"/>
      <w:lang w:val="en-US" w:eastAsia="en-US" w:bidi="ar-SA"/>
    </w:rPr>
  </w:style>
  <w:style w:type="paragraph" w:styleId="TableofFigures">
    <w:name w:val="table of figures"/>
    <w:basedOn w:val="Caption"/>
    <w:next w:val="Normal"/>
    <w:autoRedefine/>
    <w:uiPriority w:val="99"/>
    <w:qFormat/>
    <w:rsid w:val="00FE7836"/>
    <w:pPr>
      <w:tabs>
        <w:tab w:val="right" w:leader="dot" w:pos="9360"/>
      </w:tabs>
      <w:spacing w:after="80"/>
      <w:ind w:left="1296" w:right="1440" w:hanging="1296"/>
      <w:jc w:val="left"/>
    </w:pPr>
    <w:rPr>
      <w:bCs/>
      <w:noProof/>
      <w:sz w:val="22"/>
      <w:szCs w:val="22"/>
    </w:rPr>
  </w:style>
  <w:style w:type="paragraph" w:styleId="NormalWeb">
    <w:name w:val="Normal (Web)"/>
    <w:basedOn w:val="Normal"/>
    <w:uiPriority w:val="99"/>
    <w:rsid w:val="001C760A"/>
    <w:pPr>
      <w:spacing w:before="100" w:after="100"/>
    </w:pPr>
    <w:rPr>
      <w:szCs w:val="20"/>
    </w:rPr>
  </w:style>
  <w:style w:type="paragraph" w:styleId="BodyText0">
    <w:name w:val="Body Text"/>
    <w:aliases w:val="Body Text Char,Body Text Char Char Char Char,Body Text Char Char Char"/>
    <w:basedOn w:val="Normal"/>
    <w:link w:val="BodyTextChar2"/>
    <w:uiPriority w:val="99"/>
    <w:rsid w:val="001C760A"/>
    <w:pPr>
      <w:tabs>
        <w:tab w:val="left" w:pos="720"/>
      </w:tabs>
    </w:pPr>
    <w:rPr>
      <w:rFonts w:ascii="Arial" w:hAnsi="Arial"/>
      <w:sz w:val="20"/>
      <w:szCs w:val="20"/>
    </w:rPr>
  </w:style>
  <w:style w:type="character" w:customStyle="1" w:styleId="BodyTextChar10">
    <w:name w:val="Body Text Char1"/>
    <w:aliases w:val="Body Text Char Char,Body Text Char Char Char Char Char,Body Text Char Char Char Char1"/>
    <w:basedOn w:val="DefaultParagraphFont"/>
    <w:link w:val="BodyText0"/>
    <w:uiPriority w:val="99"/>
    <w:semiHidden/>
    <w:rsid w:val="001C760A"/>
    <w:rPr>
      <w:rFonts w:ascii="Arial" w:hAnsi="Arial" w:cs="Times New Roman"/>
      <w:lang w:val="en-US" w:eastAsia="en-US" w:bidi="ar-SA"/>
    </w:rPr>
  </w:style>
  <w:style w:type="paragraph" w:styleId="Caption">
    <w:name w:val="caption"/>
    <w:basedOn w:val="Normal"/>
    <w:next w:val="Normal"/>
    <w:link w:val="CaptionChar"/>
    <w:uiPriority w:val="99"/>
    <w:qFormat/>
    <w:rsid w:val="001C760A"/>
    <w:pPr>
      <w:jc w:val="center"/>
    </w:pPr>
    <w:rPr>
      <w:rFonts w:ascii="Arial" w:hAnsi="Arial"/>
      <w:b/>
      <w:i/>
      <w:sz w:val="20"/>
      <w:szCs w:val="20"/>
    </w:rPr>
  </w:style>
  <w:style w:type="paragraph" w:styleId="PlainText">
    <w:name w:val="Plain Text"/>
    <w:basedOn w:val="Normal"/>
    <w:link w:val="PlainTextChar"/>
    <w:uiPriority w:val="99"/>
    <w:rsid w:val="001C760A"/>
    <w:rPr>
      <w:rFonts w:ascii="Courier New" w:hAnsi="Courier New"/>
      <w:sz w:val="20"/>
      <w:szCs w:val="20"/>
    </w:rPr>
  </w:style>
  <w:style w:type="character" w:customStyle="1" w:styleId="PlainTextChar">
    <w:name w:val="Plain Text Char"/>
    <w:basedOn w:val="DefaultParagraphFont"/>
    <w:link w:val="PlainText"/>
    <w:uiPriority w:val="99"/>
    <w:rsid w:val="001C760A"/>
    <w:rPr>
      <w:rFonts w:ascii="Courier New" w:hAnsi="Courier New" w:cs="Times New Roman"/>
      <w:lang w:val="en-US" w:eastAsia="en-US" w:bidi="ar-SA"/>
    </w:rPr>
  </w:style>
  <w:style w:type="character" w:styleId="EndnoteReference">
    <w:name w:val="endnote reference"/>
    <w:basedOn w:val="DefaultParagraphFont"/>
    <w:uiPriority w:val="99"/>
    <w:semiHidden/>
    <w:rsid w:val="001C760A"/>
    <w:rPr>
      <w:rFonts w:cs="Times New Roman"/>
      <w:vertAlign w:val="superscript"/>
    </w:rPr>
  </w:style>
  <w:style w:type="paragraph" w:styleId="BlockText">
    <w:name w:val="Block Text"/>
    <w:basedOn w:val="Normal"/>
    <w:uiPriority w:val="99"/>
    <w:semiHidden/>
    <w:rsid w:val="001C760A"/>
    <w:pPr>
      <w:ind w:left="990" w:right="1080"/>
    </w:pPr>
    <w:rPr>
      <w:rFonts w:ascii="Comic Sans MS" w:hAnsi="Comic Sans MS"/>
      <w:i/>
      <w:sz w:val="16"/>
      <w:szCs w:val="20"/>
    </w:rPr>
  </w:style>
  <w:style w:type="paragraph" w:customStyle="1" w:styleId="SIDEBARhead">
    <w:name w:val="SIDEBAR head"/>
    <w:basedOn w:val="BodyText2"/>
    <w:semiHidden/>
    <w:rsid w:val="001C760A"/>
    <w:pPr>
      <w:pBdr>
        <w:top w:val="single" w:sz="4" w:space="4" w:color="auto"/>
      </w:pBdr>
      <w:autoSpaceDE/>
      <w:autoSpaceDN/>
      <w:adjustRightInd/>
      <w:spacing w:after="100"/>
    </w:pPr>
    <w:rPr>
      <w:caps/>
      <w:sz w:val="22"/>
    </w:rPr>
  </w:style>
  <w:style w:type="paragraph" w:styleId="BodyText2">
    <w:name w:val="Body Text 2"/>
    <w:aliases w:val="Sidebar Text"/>
    <w:basedOn w:val="Normal"/>
    <w:link w:val="BodyText2Char"/>
    <w:uiPriority w:val="99"/>
    <w:rsid w:val="001C760A"/>
    <w:pPr>
      <w:autoSpaceDE w:val="0"/>
      <w:autoSpaceDN w:val="0"/>
      <w:adjustRightInd w:val="0"/>
    </w:pPr>
    <w:rPr>
      <w:rFonts w:ascii="Arial" w:hAnsi="Arial"/>
      <w:i/>
      <w:sz w:val="18"/>
      <w:szCs w:val="18"/>
    </w:rPr>
  </w:style>
  <w:style w:type="character" w:customStyle="1" w:styleId="BodyText2Char">
    <w:name w:val="Body Text 2 Char"/>
    <w:aliases w:val="Sidebar Text Char"/>
    <w:basedOn w:val="DefaultParagraphFont"/>
    <w:link w:val="BodyText2"/>
    <w:uiPriority w:val="99"/>
    <w:locked/>
    <w:rsid w:val="003B37D3"/>
    <w:rPr>
      <w:rFonts w:ascii="Arial" w:hAnsi="Arial" w:cs="Times New Roman"/>
      <w:i/>
      <w:sz w:val="18"/>
      <w:szCs w:val="18"/>
    </w:rPr>
  </w:style>
  <w:style w:type="paragraph" w:styleId="BodyText3">
    <w:name w:val="Body Text 3"/>
    <w:aliases w:val="sidebar bullet,sidebar bullet Char,Body Text 3 Char"/>
    <w:basedOn w:val="Normal"/>
    <w:link w:val="BodyText3Char1"/>
    <w:uiPriority w:val="99"/>
    <w:semiHidden/>
    <w:rsid w:val="001C760A"/>
    <w:pPr>
      <w:numPr>
        <w:numId w:val="7"/>
      </w:numPr>
      <w:spacing w:after="120"/>
    </w:pPr>
    <w:rPr>
      <w:rFonts w:ascii="Arial" w:hAnsi="Arial"/>
      <w:i/>
      <w:sz w:val="20"/>
      <w:szCs w:val="20"/>
    </w:rPr>
  </w:style>
  <w:style w:type="character" w:customStyle="1" w:styleId="BodyText3Char1">
    <w:name w:val="Body Text 3 Char1"/>
    <w:aliases w:val="sidebar bullet Char1,sidebar bullet Char Char,Body Text 3 Char Char"/>
    <w:basedOn w:val="DefaultParagraphFont"/>
    <w:link w:val="BodyText3"/>
    <w:uiPriority w:val="99"/>
    <w:semiHidden/>
    <w:locked/>
    <w:rsid w:val="00461D8E"/>
    <w:rPr>
      <w:rFonts w:ascii="Arial" w:hAnsi="Arial"/>
      <w:i/>
    </w:rPr>
  </w:style>
  <w:style w:type="paragraph" w:customStyle="1" w:styleId="Bullet">
    <w:name w:val="Bullet"/>
    <w:basedOn w:val="Normal"/>
    <w:rsid w:val="009B787F"/>
    <w:pPr>
      <w:numPr>
        <w:numId w:val="5"/>
      </w:numPr>
      <w:spacing w:after="120"/>
      <w:ind w:right="432"/>
    </w:pPr>
    <w:rPr>
      <w:rFonts w:ascii="Arial" w:hAnsi="Arial" w:cs="Arial"/>
      <w:i/>
      <w:sz w:val="20"/>
      <w:szCs w:val="20"/>
    </w:rPr>
  </w:style>
  <w:style w:type="paragraph" w:customStyle="1" w:styleId="Level1">
    <w:name w:val="Level 1"/>
    <w:basedOn w:val="Normal"/>
    <w:semiHidden/>
    <w:rsid w:val="001C760A"/>
    <w:pPr>
      <w:widowControl w:val="0"/>
      <w:tabs>
        <w:tab w:val="num" w:pos="720"/>
      </w:tabs>
      <w:autoSpaceDE w:val="0"/>
      <w:autoSpaceDN w:val="0"/>
      <w:adjustRightInd w:val="0"/>
      <w:ind w:left="1440" w:hanging="720"/>
      <w:outlineLvl w:val="0"/>
    </w:pPr>
    <w:rPr>
      <w:sz w:val="20"/>
      <w:szCs w:val="20"/>
    </w:rPr>
  </w:style>
  <w:style w:type="paragraph" w:styleId="BodyTextIndent3">
    <w:name w:val="Body Text Indent 3"/>
    <w:basedOn w:val="Normal"/>
    <w:link w:val="BodyTextIndent3Char"/>
    <w:uiPriority w:val="99"/>
    <w:semiHidden/>
    <w:rsid w:val="001C760A"/>
    <w:pPr>
      <w:tabs>
        <w:tab w:val="left" w:pos="1260"/>
      </w:tabs>
      <w:ind w:left="360"/>
    </w:pPr>
    <w:rPr>
      <w:rFonts w:ascii="Arial" w:hAnsi="Arial"/>
      <w:b/>
      <w:i/>
      <w:szCs w:val="20"/>
    </w:rPr>
  </w:style>
  <w:style w:type="character" w:customStyle="1" w:styleId="BodyTextIndent3Char">
    <w:name w:val="Body Text Indent 3 Char"/>
    <w:basedOn w:val="DefaultParagraphFont"/>
    <w:link w:val="BodyTextIndent3"/>
    <w:uiPriority w:val="99"/>
    <w:semiHidden/>
    <w:locked/>
    <w:rsid w:val="003B37D3"/>
    <w:rPr>
      <w:rFonts w:ascii="Arial" w:hAnsi="Arial" w:cs="Times New Roman"/>
      <w:b/>
      <w:i/>
      <w:sz w:val="24"/>
    </w:rPr>
  </w:style>
  <w:style w:type="paragraph" w:styleId="TOC1">
    <w:name w:val="toc 1"/>
    <w:basedOn w:val="Normal"/>
    <w:next w:val="Normal"/>
    <w:autoRedefine/>
    <w:uiPriority w:val="39"/>
    <w:rsid w:val="00EB08C5"/>
    <w:pPr>
      <w:tabs>
        <w:tab w:val="right" w:leader="dot" w:pos="9350"/>
      </w:tabs>
      <w:spacing w:before="180"/>
      <w:ind w:left="1584" w:right="1152" w:hanging="1584"/>
    </w:pPr>
    <w:rPr>
      <w:rFonts w:ascii="Arial Bold" w:hAnsi="Arial Bold"/>
      <w:b/>
      <w:bCs/>
      <w:iCs/>
      <w:caps/>
      <w:noProof/>
    </w:rPr>
  </w:style>
  <w:style w:type="paragraph" w:styleId="TOC3">
    <w:name w:val="toc 3"/>
    <w:basedOn w:val="Normal"/>
    <w:next w:val="Normal"/>
    <w:autoRedefine/>
    <w:uiPriority w:val="39"/>
    <w:rsid w:val="00992501"/>
    <w:pPr>
      <w:tabs>
        <w:tab w:val="right" w:leader="dot" w:pos="9350"/>
      </w:tabs>
      <w:spacing w:before="60" w:after="60"/>
      <w:ind w:left="1008" w:right="720"/>
    </w:pPr>
    <w:rPr>
      <w:rFonts w:ascii="Arial" w:hAnsi="Arial"/>
      <w:b/>
      <w:i/>
      <w:noProof/>
      <w:sz w:val="20"/>
      <w:szCs w:val="20"/>
    </w:rPr>
  </w:style>
  <w:style w:type="paragraph" w:styleId="TOC4">
    <w:name w:val="toc 4"/>
    <w:basedOn w:val="Normal"/>
    <w:next w:val="Normal"/>
    <w:autoRedefine/>
    <w:uiPriority w:val="39"/>
    <w:rsid w:val="002A79CF"/>
    <w:pPr>
      <w:tabs>
        <w:tab w:val="right" w:leader="dot" w:pos="9350"/>
      </w:tabs>
      <w:ind w:left="1872" w:right="907" w:hanging="432"/>
    </w:pPr>
    <w:rPr>
      <w:rFonts w:ascii="Arial" w:hAnsi="Arial"/>
      <w:noProof/>
      <w:sz w:val="22"/>
      <w:szCs w:val="20"/>
    </w:rPr>
  </w:style>
  <w:style w:type="paragraph" w:styleId="TOC5">
    <w:name w:val="toc 5"/>
    <w:basedOn w:val="Normal"/>
    <w:next w:val="Normal"/>
    <w:autoRedefine/>
    <w:uiPriority w:val="39"/>
    <w:rsid w:val="001C760A"/>
    <w:pPr>
      <w:ind w:left="800"/>
    </w:pPr>
    <w:rPr>
      <w:sz w:val="20"/>
      <w:szCs w:val="20"/>
    </w:rPr>
  </w:style>
  <w:style w:type="paragraph" w:styleId="TOC6">
    <w:name w:val="toc 6"/>
    <w:basedOn w:val="Normal"/>
    <w:next w:val="Normal"/>
    <w:autoRedefine/>
    <w:uiPriority w:val="39"/>
    <w:rsid w:val="001C760A"/>
    <w:pPr>
      <w:ind w:left="1000"/>
    </w:pPr>
    <w:rPr>
      <w:sz w:val="20"/>
      <w:szCs w:val="20"/>
    </w:rPr>
  </w:style>
  <w:style w:type="paragraph" w:styleId="TOC7">
    <w:name w:val="toc 7"/>
    <w:basedOn w:val="Normal"/>
    <w:next w:val="Normal"/>
    <w:autoRedefine/>
    <w:uiPriority w:val="39"/>
    <w:rsid w:val="001C760A"/>
    <w:pPr>
      <w:ind w:left="1200"/>
    </w:pPr>
    <w:rPr>
      <w:sz w:val="20"/>
      <w:szCs w:val="20"/>
    </w:rPr>
  </w:style>
  <w:style w:type="paragraph" w:styleId="TOC8">
    <w:name w:val="toc 8"/>
    <w:basedOn w:val="Normal"/>
    <w:next w:val="Normal"/>
    <w:autoRedefine/>
    <w:uiPriority w:val="39"/>
    <w:rsid w:val="001C760A"/>
    <w:pPr>
      <w:ind w:left="1400"/>
    </w:pPr>
    <w:rPr>
      <w:sz w:val="20"/>
      <w:szCs w:val="20"/>
    </w:rPr>
  </w:style>
  <w:style w:type="paragraph" w:styleId="TOC9">
    <w:name w:val="toc 9"/>
    <w:basedOn w:val="Normal"/>
    <w:next w:val="Normal"/>
    <w:autoRedefine/>
    <w:uiPriority w:val="39"/>
    <w:rsid w:val="001C760A"/>
    <w:pPr>
      <w:ind w:left="1600"/>
    </w:pPr>
    <w:rPr>
      <w:sz w:val="20"/>
      <w:szCs w:val="20"/>
    </w:rPr>
  </w:style>
  <w:style w:type="character" w:styleId="FollowedHyperlink">
    <w:name w:val="FollowedHyperlink"/>
    <w:basedOn w:val="DefaultParagraphFont"/>
    <w:uiPriority w:val="99"/>
    <w:rsid w:val="001C760A"/>
    <w:rPr>
      <w:rFonts w:cs="Times New Roman"/>
      <w:color w:val="800080"/>
      <w:u w:val="single"/>
    </w:rPr>
  </w:style>
  <w:style w:type="paragraph" w:styleId="BalloonText">
    <w:name w:val="Balloon Text"/>
    <w:basedOn w:val="Normal"/>
    <w:link w:val="BalloonTextChar"/>
    <w:uiPriority w:val="99"/>
    <w:semiHidden/>
    <w:rsid w:val="001C76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B37D3"/>
    <w:rPr>
      <w:rFonts w:ascii="Tahoma" w:hAnsi="Tahoma" w:cs="Tahoma"/>
      <w:sz w:val="16"/>
      <w:szCs w:val="16"/>
    </w:rPr>
  </w:style>
  <w:style w:type="paragraph" w:customStyle="1" w:styleId="StyleHeading1Italic">
    <w:name w:val="Style Heading 1 + Italic"/>
    <w:basedOn w:val="Heading1"/>
    <w:semiHidden/>
    <w:rsid w:val="001C760A"/>
    <w:rPr>
      <w:bCs/>
      <w:iCs/>
    </w:rPr>
  </w:style>
  <w:style w:type="paragraph" w:customStyle="1" w:styleId="StylenumberedbodytextBold">
    <w:name w:val="Style numbered body text + Bold"/>
    <w:basedOn w:val="Normal"/>
    <w:semiHidden/>
    <w:rsid w:val="001C760A"/>
    <w:pPr>
      <w:numPr>
        <w:numId w:val="6"/>
      </w:numPr>
    </w:pPr>
    <w:rPr>
      <w:sz w:val="20"/>
      <w:szCs w:val="20"/>
    </w:rPr>
  </w:style>
  <w:style w:type="paragraph" w:customStyle="1" w:styleId="StyleHeading3NotBoldItalic">
    <w:name w:val="Style Heading 3 + Not Bold Italic"/>
    <w:basedOn w:val="Heading3"/>
    <w:semiHidden/>
    <w:rsid w:val="001C760A"/>
    <w:pPr>
      <w:spacing w:after="180"/>
    </w:pPr>
    <w:rPr>
      <w:rFonts w:cs="Times New Roman"/>
      <w:bCs w:val="0"/>
      <w:iCs/>
      <w:szCs w:val="20"/>
    </w:rPr>
  </w:style>
  <w:style w:type="paragraph" w:customStyle="1" w:styleId="StyleHeading3NotBoldItalic1">
    <w:name w:val="Style Heading 3 + Not Bold Italic1"/>
    <w:basedOn w:val="Heading3"/>
    <w:semiHidden/>
    <w:rsid w:val="001C760A"/>
    <w:pPr>
      <w:spacing w:after="180"/>
    </w:pPr>
    <w:rPr>
      <w:rFonts w:cs="Times New Roman"/>
      <w:bCs w:val="0"/>
      <w:iCs/>
      <w:szCs w:val="20"/>
    </w:rPr>
  </w:style>
  <w:style w:type="paragraph" w:customStyle="1" w:styleId="StyleHeading3NotItalic">
    <w:name w:val="Style Heading 3 + Not Italic"/>
    <w:basedOn w:val="Heading3"/>
    <w:semiHidden/>
    <w:rsid w:val="001C760A"/>
    <w:pPr>
      <w:spacing w:after="180"/>
    </w:pPr>
    <w:rPr>
      <w:rFonts w:cs="Times New Roman"/>
      <w:b w:val="0"/>
      <w:bCs w:val="0"/>
      <w:i w:val="0"/>
      <w:sz w:val="32"/>
      <w:szCs w:val="20"/>
    </w:rPr>
  </w:style>
  <w:style w:type="character" w:customStyle="1" w:styleId="BodytextChar">
    <w:name w:val="Body text Char"/>
    <w:basedOn w:val="DefaultParagraphFont"/>
    <w:uiPriority w:val="99"/>
    <w:rsid w:val="001C760A"/>
    <w:rPr>
      <w:rFonts w:ascii="Arial" w:hAnsi="Arial" w:cs="Times New Roman"/>
      <w:lang w:val="en-US" w:eastAsia="en-US" w:bidi="ar-SA"/>
    </w:rPr>
  </w:style>
  <w:style w:type="paragraph" w:customStyle="1" w:styleId="Tableheading">
    <w:name w:val="Table heading"/>
    <w:basedOn w:val="Heading3"/>
    <w:link w:val="TableheadingChar"/>
    <w:uiPriority w:val="99"/>
    <w:qFormat/>
    <w:rsid w:val="003675DD"/>
    <w:pPr>
      <w:spacing w:before="0" w:after="0"/>
      <w:jc w:val="center"/>
    </w:pPr>
    <w:rPr>
      <w:rFonts w:cs="Times New Roman"/>
      <w:bCs w:val="0"/>
      <w:sz w:val="20"/>
      <w:szCs w:val="20"/>
    </w:rPr>
  </w:style>
  <w:style w:type="paragraph" w:customStyle="1" w:styleId="TableText">
    <w:name w:val="Table Text"/>
    <w:basedOn w:val="Header"/>
    <w:link w:val="TableTextChar"/>
    <w:uiPriority w:val="99"/>
    <w:qFormat/>
    <w:rsid w:val="00AB461D"/>
    <w:pPr>
      <w:tabs>
        <w:tab w:val="clear" w:pos="4320"/>
        <w:tab w:val="clear" w:pos="8640"/>
      </w:tabs>
    </w:pPr>
    <w:rPr>
      <w:rFonts w:ascii="Arial" w:hAnsi="Arial"/>
      <w:sz w:val="18"/>
      <w:szCs w:val="20"/>
    </w:rPr>
  </w:style>
  <w:style w:type="paragraph" w:customStyle="1" w:styleId="StyleBodyText2SidebarTextBoldLeft0Hanging1">
    <w:name w:val="Style Body Text 2Sidebar Text + Bold Left:  0&quot; Hanging:  1&quot;"/>
    <w:basedOn w:val="BodyText2"/>
    <w:semiHidden/>
    <w:rsid w:val="001C760A"/>
    <w:pPr>
      <w:autoSpaceDE/>
      <w:autoSpaceDN/>
      <w:adjustRightInd/>
    </w:pPr>
    <w:rPr>
      <w:bCs/>
      <w:iCs/>
      <w:sz w:val="20"/>
      <w:szCs w:val="20"/>
    </w:rPr>
  </w:style>
  <w:style w:type="paragraph" w:styleId="BodyTextIndent2">
    <w:name w:val="Body Text Indent 2"/>
    <w:basedOn w:val="Normal"/>
    <w:link w:val="BodyTextIndent2Char"/>
    <w:uiPriority w:val="99"/>
    <w:semiHidden/>
    <w:rsid w:val="001C760A"/>
    <w:pPr>
      <w:tabs>
        <w:tab w:val="left" w:pos="1300"/>
        <w:tab w:val="left" w:pos="3025"/>
        <w:tab w:val="left" w:pos="5034"/>
        <w:tab w:val="left" w:pos="6930"/>
      </w:tabs>
      <w:autoSpaceDE w:val="0"/>
      <w:autoSpaceDN w:val="0"/>
      <w:adjustRightInd w:val="0"/>
      <w:ind w:left="78"/>
    </w:pPr>
    <w:rPr>
      <w:rFonts w:ascii="Arial" w:hAnsi="Arial"/>
      <w:b/>
      <w:color w:val="000000"/>
      <w:sz w:val="20"/>
      <w:szCs w:val="20"/>
    </w:rPr>
  </w:style>
  <w:style w:type="character" w:customStyle="1" w:styleId="BodyTextIndent2Char">
    <w:name w:val="Body Text Indent 2 Char"/>
    <w:basedOn w:val="DefaultParagraphFont"/>
    <w:link w:val="BodyTextIndent2"/>
    <w:uiPriority w:val="99"/>
    <w:semiHidden/>
    <w:locked/>
    <w:rsid w:val="003B37D3"/>
    <w:rPr>
      <w:rFonts w:ascii="Arial" w:hAnsi="Arial" w:cs="Times New Roman"/>
      <w:b/>
      <w:color w:val="000000"/>
    </w:rPr>
  </w:style>
  <w:style w:type="paragraph" w:customStyle="1" w:styleId="References">
    <w:name w:val="References"/>
    <w:basedOn w:val="Normal"/>
    <w:link w:val="ReferencesChar"/>
    <w:rsid w:val="00A94548"/>
    <w:pPr>
      <w:spacing w:after="120"/>
      <w:ind w:left="432" w:hanging="432"/>
    </w:pPr>
    <w:rPr>
      <w:rFonts w:ascii="Arial" w:hAnsi="Arial"/>
      <w:sz w:val="22"/>
      <w:szCs w:val="20"/>
    </w:rPr>
  </w:style>
  <w:style w:type="character" w:styleId="CommentReference">
    <w:name w:val="annotation reference"/>
    <w:basedOn w:val="DefaultParagraphFont"/>
    <w:uiPriority w:val="99"/>
    <w:rsid w:val="001C760A"/>
    <w:rPr>
      <w:rFonts w:cs="Times New Roman"/>
      <w:sz w:val="16"/>
      <w:szCs w:val="16"/>
    </w:rPr>
  </w:style>
  <w:style w:type="paragraph" w:styleId="CommentText">
    <w:name w:val="annotation text"/>
    <w:basedOn w:val="Normal"/>
    <w:link w:val="CommentTextChar"/>
    <w:uiPriority w:val="99"/>
    <w:rsid w:val="001C760A"/>
    <w:rPr>
      <w:szCs w:val="20"/>
    </w:rPr>
  </w:style>
  <w:style w:type="character" w:customStyle="1" w:styleId="CommentTextChar">
    <w:name w:val="Comment Text Char"/>
    <w:basedOn w:val="DefaultParagraphFont"/>
    <w:link w:val="CommentText"/>
    <w:uiPriority w:val="99"/>
    <w:locked/>
    <w:rsid w:val="00986212"/>
    <w:rPr>
      <w:rFonts w:cs="Times New Roman"/>
      <w:sz w:val="24"/>
    </w:rPr>
  </w:style>
  <w:style w:type="paragraph" w:customStyle="1" w:styleId="StyleCaption9ptLeft0Hanging05">
    <w:name w:val="Style Caption + 9 pt Left:  0&quot; Hanging:  0.5&quot;"/>
    <w:basedOn w:val="Caption"/>
    <w:semiHidden/>
    <w:rsid w:val="001C760A"/>
    <w:rPr>
      <w:bCs/>
      <w:iCs/>
      <w:sz w:val="18"/>
    </w:rPr>
  </w:style>
  <w:style w:type="character" w:customStyle="1" w:styleId="BodyTextChar2">
    <w:name w:val="Body Text Char2"/>
    <w:aliases w:val="Body Text Char Char1,Body Text Char Char Char Char Char1,Body Text Char Char Char Char2"/>
    <w:basedOn w:val="DefaultParagraphFont"/>
    <w:link w:val="BodyText0"/>
    <w:locked/>
    <w:rsid w:val="003A4461"/>
    <w:rPr>
      <w:rFonts w:ascii="Arial" w:hAnsi="Arial" w:cs="Times New Roman"/>
      <w:lang w:val="en-US" w:eastAsia="en-US" w:bidi="ar-SA"/>
    </w:rPr>
  </w:style>
  <w:style w:type="character" w:styleId="Strong">
    <w:name w:val="Strong"/>
    <w:basedOn w:val="DefaultParagraphFont"/>
    <w:uiPriority w:val="22"/>
    <w:qFormat/>
    <w:rsid w:val="008C37FA"/>
    <w:rPr>
      <w:rFonts w:cs="Times New Roman"/>
      <w:b/>
      <w:sz w:val="16"/>
    </w:rPr>
  </w:style>
  <w:style w:type="table" w:customStyle="1" w:styleId="Tabletext0">
    <w:name w:val="Table text"/>
    <w:basedOn w:val="TableProfessional"/>
    <w:rsid w:val="00CE28DE"/>
    <w:pPr>
      <w:jc w:val="center"/>
    </w:pPr>
    <w:rPr>
      <w:rFonts w:ascii="Arial" w:hAnsi="Arial"/>
      <w:sz w:val="18"/>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Listwithnumbers">
    <w:name w:val="List with numbers"/>
    <w:basedOn w:val="Bullet"/>
    <w:uiPriority w:val="99"/>
    <w:rsid w:val="003F371D"/>
    <w:pPr>
      <w:numPr>
        <w:numId w:val="0"/>
      </w:numPr>
      <w:tabs>
        <w:tab w:val="num" w:pos="720"/>
      </w:tabs>
      <w:ind w:left="720" w:right="720" w:hanging="360"/>
    </w:pPr>
  </w:style>
  <w:style w:type="character" w:customStyle="1" w:styleId="TableheadingChar">
    <w:name w:val="Table heading Char"/>
    <w:basedOn w:val="DefaultParagraphFont"/>
    <w:link w:val="Tableheading"/>
    <w:uiPriority w:val="99"/>
    <w:locked/>
    <w:rsid w:val="003675DD"/>
    <w:rPr>
      <w:rFonts w:ascii="Arial" w:hAnsi="Arial" w:cs="Times New Roman"/>
      <w:b/>
      <w:i/>
      <w:lang w:val="en-US" w:eastAsia="en-US" w:bidi="ar-SA"/>
    </w:rPr>
  </w:style>
  <w:style w:type="table" w:styleId="TableProfessional">
    <w:name w:val="Table Professional"/>
    <w:basedOn w:val="TableNormal"/>
    <w:uiPriority w:val="99"/>
    <w:rsid w:val="00CE28DE"/>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character" w:customStyle="1" w:styleId="Heading3CharCharChar">
    <w:name w:val="Heading 3 Char Char Char"/>
    <w:basedOn w:val="DefaultParagraphFont"/>
    <w:rsid w:val="00461D8E"/>
    <w:rPr>
      <w:rFonts w:cs="Times New Roman"/>
      <w:b/>
      <w:sz w:val="26"/>
      <w:lang w:val="en-US" w:eastAsia="en-US" w:bidi="ar-SA"/>
    </w:rPr>
  </w:style>
  <w:style w:type="character" w:customStyle="1" w:styleId="CharChar1">
    <w:name w:val="Char Char1"/>
    <w:basedOn w:val="DefaultParagraphFont"/>
    <w:rsid w:val="00461D8E"/>
    <w:rPr>
      <w:rFonts w:cs="Times New Roman"/>
      <w:b/>
      <w:i/>
      <w:sz w:val="24"/>
      <w:lang w:val="en-US" w:eastAsia="en-US" w:bidi="ar-SA"/>
    </w:rPr>
  </w:style>
  <w:style w:type="character" w:customStyle="1" w:styleId="BodytextChar1">
    <w:name w:val="Body text Char1"/>
    <w:basedOn w:val="BodyTextIndentChar"/>
    <w:link w:val="Bodytext"/>
    <w:uiPriority w:val="99"/>
    <w:locked/>
    <w:rsid w:val="00AB461D"/>
    <w:rPr>
      <w:rFonts w:ascii="Arial" w:hAnsi="Arial"/>
    </w:rPr>
  </w:style>
  <w:style w:type="paragraph" w:customStyle="1" w:styleId="StyleBodytext11pt">
    <w:name w:val="Style Body text + 11 pt"/>
    <w:basedOn w:val="Bodytext"/>
    <w:link w:val="StyleBodytext11ptChar"/>
    <w:rsid w:val="000224D4"/>
  </w:style>
  <w:style w:type="character" w:customStyle="1" w:styleId="StyleBodytext11ptChar">
    <w:name w:val="Style Body text + 11 pt Char"/>
    <w:basedOn w:val="BodytextChar1"/>
    <w:link w:val="StyleBodytext11pt"/>
    <w:locked/>
    <w:rsid w:val="000224D4"/>
  </w:style>
  <w:style w:type="paragraph" w:customStyle="1" w:styleId="Heading1A">
    <w:name w:val="Heading 1A"/>
    <w:basedOn w:val="Heading1"/>
    <w:rsid w:val="00575B42"/>
    <w:rPr>
      <w:rFonts w:cs="Arial"/>
      <w:sz w:val="32"/>
      <w:szCs w:val="22"/>
    </w:rPr>
  </w:style>
  <w:style w:type="paragraph" w:customStyle="1" w:styleId="StyleListBulletPatternClearTan">
    <w:name w:val="Style List Bullet + Pattern: Clear (Tan)"/>
    <w:basedOn w:val="ListBullet"/>
    <w:rsid w:val="00492CE5"/>
    <w:pPr>
      <w:shd w:val="clear" w:color="auto" w:fill="FFCC99"/>
    </w:pPr>
    <w:rPr>
      <w:iCs/>
      <w:szCs w:val="20"/>
    </w:rPr>
  </w:style>
  <w:style w:type="paragraph" w:customStyle="1" w:styleId="StyleListBulletPatternClearTan1">
    <w:name w:val="Style List Bullet + Pattern: Clear (Tan)1"/>
    <w:basedOn w:val="ListBullet"/>
    <w:rsid w:val="00492CE5"/>
    <w:pPr>
      <w:shd w:val="clear" w:color="auto" w:fill="FFCC99"/>
    </w:pPr>
    <w:rPr>
      <w:iCs/>
      <w:szCs w:val="20"/>
    </w:rPr>
  </w:style>
  <w:style w:type="paragraph" w:customStyle="1" w:styleId="StyleListBulletPatternClearTan2">
    <w:name w:val="Style List Bullet + Pattern: Clear (Tan)2"/>
    <w:basedOn w:val="ListBullet"/>
    <w:rsid w:val="00492CE5"/>
    <w:pPr>
      <w:shd w:val="clear" w:color="auto" w:fill="FFCC99"/>
    </w:pPr>
    <w:rPr>
      <w:iCs/>
      <w:szCs w:val="20"/>
    </w:rPr>
  </w:style>
  <w:style w:type="paragraph" w:customStyle="1" w:styleId="Listbulletadditional">
    <w:name w:val="List bullet additional"/>
    <w:basedOn w:val="ListBullet"/>
    <w:rsid w:val="00D80E0E"/>
    <w:pPr>
      <w:numPr>
        <w:numId w:val="0"/>
      </w:numPr>
      <w:ind w:left="648"/>
    </w:pPr>
    <w:rPr>
      <w:szCs w:val="22"/>
    </w:rPr>
  </w:style>
  <w:style w:type="paragraph" w:customStyle="1" w:styleId="StyleListBulletBold">
    <w:name w:val="Style List Bullet + Bold"/>
    <w:basedOn w:val="ListBullet"/>
    <w:link w:val="StyleListBulletBoldChar"/>
    <w:rsid w:val="00D80E0E"/>
    <w:rPr>
      <w:b/>
      <w:bCs/>
      <w:iCs/>
    </w:rPr>
  </w:style>
  <w:style w:type="character" w:customStyle="1" w:styleId="StyleListBulletBoldChar">
    <w:name w:val="Style List Bullet + Bold Char"/>
    <w:basedOn w:val="ListBulletChar"/>
    <w:link w:val="StyleListBulletBold"/>
    <w:locked/>
    <w:rsid w:val="00D80E0E"/>
    <w:rPr>
      <w:b/>
      <w:bCs/>
      <w:iCs/>
    </w:rPr>
  </w:style>
  <w:style w:type="paragraph" w:customStyle="1" w:styleId="first">
    <w:name w:val="first"/>
    <w:basedOn w:val="Normal"/>
    <w:rsid w:val="008928B4"/>
    <w:pPr>
      <w:spacing w:after="160"/>
      <w:ind w:firstLine="160"/>
      <w:textAlignment w:val="top"/>
    </w:pPr>
    <w:rPr>
      <w:sz w:val="19"/>
      <w:szCs w:val="19"/>
    </w:rPr>
  </w:style>
  <w:style w:type="paragraph" w:customStyle="1" w:styleId="noindent">
    <w:name w:val="noindent"/>
    <w:basedOn w:val="Normal"/>
    <w:rsid w:val="008928B4"/>
    <w:pPr>
      <w:spacing w:after="160"/>
      <w:textAlignment w:val="top"/>
    </w:pPr>
    <w:rPr>
      <w:sz w:val="19"/>
      <w:szCs w:val="19"/>
    </w:rPr>
  </w:style>
  <w:style w:type="paragraph" w:customStyle="1" w:styleId="body">
    <w:name w:val="body"/>
    <w:basedOn w:val="Normal"/>
    <w:rsid w:val="00691ECF"/>
    <w:pPr>
      <w:spacing w:before="160"/>
      <w:ind w:left="80" w:right="80" w:firstLine="160"/>
      <w:textAlignment w:val="top"/>
    </w:pPr>
    <w:rPr>
      <w:sz w:val="19"/>
      <w:szCs w:val="19"/>
    </w:rPr>
  </w:style>
  <w:style w:type="table" w:styleId="TableElegant">
    <w:name w:val="Table Elegant"/>
    <w:basedOn w:val="TableNormal"/>
    <w:uiPriority w:val="99"/>
    <w:rsid w:val="0014571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paragraph" w:customStyle="1" w:styleId="bodytext1">
    <w:name w:val="bodytext"/>
    <w:basedOn w:val="Normal"/>
    <w:rsid w:val="00DC180D"/>
    <w:pPr>
      <w:spacing w:before="100" w:beforeAutospacing="1" w:after="100" w:afterAutospacing="1"/>
    </w:pPr>
  </w:style>
  <w:style w:type="character" w:customStyle="1" w:styleId="ReferencesChar">
    <w:name w:val="References Char"/>
    <w:basedOn w:val="DefaultParagraphFont"/>
    <w:link w:val="References"/>
    <w:locked/>
    <w:rsid w:val="00960D9A"/>
    <w:rPr>
      <w:rFonts w:ascii="Arial" w:hAnsi="Arial" w:cs="Times New Roman"/>
      <w:sz w:val="22"/>
      <w:lang w:val="en-US" w:eastAsia="en-US" w:bidi="ar-SA"/>
    </w:rPr>
  </w:style>
  <w:style w:type="character" w:customStyle="1" w:styleId="msoins0">
    <w:name w:val="msoins"/>
    <w:basedOn w:val="DefaultParagraphFont"/>
    <w:rsid w:val="00943AF3"/>
    <w:rPr>
      <w:rFonts w:cs="Times New Roman"/>
    </w:rPr>
  </w:style>
  <w:style w:type="paragraph" w:customStyle="1" w:styleId="Listbulletsub">
    <w:name w:val="List bullet sub"/>
    <w:basedOn w:val="Listbulletadditional"/>
    <w:rsid w:val="007718E6"/>
    <w:pPr>
      <w:numPr>
        <w:numId w:val="18"/>
      </w:numPr>
      <w:spacing w:before="60"/>
      <w:ind w:left="1080" w:right="1440"/>
    </w:pPr>
    <w:rPr>
      <w:i w:val="0"/>
      <w:sz w:val="20"/>
    </w:rPr>
  </w:style>
  <w:style w:type="character" w:customStyle="1" w:styleId="TableTextChar">
    <w:name w:val="Table Text Char"/>
    <w:basedOn w:val="HeaderChar"/>
    <w:link w:val="TableText"/>
    <w:uiPriority w:val="99"/>
    <w:locked/>
    <w:rsid w:val="00AB461D"/>
    <w:rPr>
      <w:rFonts w:ascii="Arial" w:hAnsi="Arial"/>
    </w:rPr>
  </w:style>
  <w:style w:type="character" w:styleId="Emphasis">
    <w:name w:val="Emphasis"/>
    <w:basedOn w:val="DefaultParagraphFont"/>
    <w:uiPriority w:val="20"/>
    <w:qFormat/>
    <w:rsid w:val="00C3722A"/>
    <w:rPr>
      <w:rFonts w:cs="Times New Roman"/>
      <w:i/>
      <w:iCs/>
    </w:rPr>
  </w:style>
  <w:style w:type="paragraph" w:customStyle="1" w:styleId="StyleListBullet11pt">
    <w:name w:val="Style List Bullet + 11 pt"/>
    <w:basedOn w:val="ListBullet"/>
    <w:link w:val="StyleListBullet11ptChar"/>
    <w:rsid w:val="00BF2AF9"/>
    <w:rPr>
      <w:iCs/>
    </w:rPr>
  </w:style>
  <w:style w:type="character" w:customStyle="1" w:styleId="StyleListBullet11ptChar">
    <w:name w:val="Style List Bullet + 11 pt Char"/>
    <w:basedOn w:val="ListBulletChar"/>
    <w:link w:val="StyleListBullet11pt"/>
    <w:locked/>
    <w:rsid w:val="00BF2AF9"/>
    <w:rPr>
      <w:iCs/>
    </w:rPr>
  </w:style>
  <w:style w:type="paragraph" w:customStyle="1" w:styleId="StyleListBullet11pt1">
    <w:name w:val="Style List Bullet + 11 pt1"/>
    <w:basedOn w:val="ListBullet"/>
    <w:rsid w:val="00BF2AF9"/>
    <w:rPr>
      <w:iCs/>
    </w:rPr>
  </w:style>
  <w:style w:type="paragraph" w:styleId="CommentSubject">
    <w:name w:val="annotation subject"/>
    <w:basedOn w:val="CommentText"/>
    <w:next w:val="CommentText"/>
    <w:link w:val="CommentSubjectChar"/>
    <w:uiPriority w:val="99"/>
    <w:semiHidden/>
    <w:rsid w:val="00923878"/>
    <w:pPr>
      <w:numPr>
        <w:numId w:val="11"/>
      </w:numPr>
      <w:tabs>
        <w:tab w:val="clear" w:pos="720"/>
      </w:tabs>
      <w:ind w:left="0" w:firstLine="0"/>
    </w:pPr>
    <w:rPr>
      <w:b/>
      <w:bCs/>
      <w:sz w:val="20"/>
    </w:rPr>
  </w:style>
  <w:style w:type="character" w:customStyle="1" w:styleId="CommentSubjectChar">
    <w:name w:val="Comment Subject Char"/>
    <w:basedOn w:val="CommentTextChar"/>
    <w:link w:val="CommentSubject"/>
    <w:uiPriority w:val="99"/>
    <w:semiHidden/>
    <w:locked/>
    <w:rsid w:val="003B37D3"/>
    <w:rPr>
      <w:b/>
      <w:bCs/>
    </w:rPr>
  </w:style>
  <w:style w:type="paragraph" w:customStyle="1" w:styleId="Bodytextreduced">
    <w:name w:val="Body text reduced"/>
    <w:basedOn w:val="TableText"/>
    <w:link w:val="BodytextreducedChar"/>
    <w:qFormat/>
    <w:rsid w:val="00923878"/>
    <w:rPr>
      <w:sz w:val="16"/>
    </w:rPr>
  </w:style>
  <w:style w:type="paragraph" w:customStyle="1" w:styleId="Default">
    <w:name w:val="Default"/>
    <w:rsid w:val="00DA39AE"/>
    <w:pPr>
      <w:autoSpaceDE w:val="0"/>
      <w:autoSpaceDN w:val="0"/>
      <w:adjustRightInd w:val="0"/>
    </w:pPr>
    <w:rPr>
      <w:rFonts w:ascii="Arial" w:hAnsi="Arial" w:cs="Arial"/>
      <w:color w:val="000000"/>
      <w:sz w:val="24"/>
      <w:szCs w:val="24"/>
    </w:rPr>
  </w:style>
  <w:style w:type="paragraph" w:customStyle="1" w:styleId="tableheading0">
    <w:name w:val="tableheading"/>
    <w:basedOn w:val="Normal"/>
    <w:rsid w:val="00316D0A"/>
    <w:pPr>
      <w:spacing w:before="100" w:beforeAutospacing="1" w:after="100" w:afterAutospacing="1"/>
    </w:pPr>
  </w:style>
  <w:style w:type="paragraph" w:customStyle="1" w:styleId="tabletext1">
    <w:name w:val="tabletext"/>
    <w:basedOn w:val="Normal"/>
    <w:rsid w:val="00C01A14"/>
    <w:pPr>
      <w:spacing w:before="100" w:beforeAutospacing="1" w:after="100" w:afterAutospacing="1"/>
    </w:pPr>
    <w:rPr>
      <w:rFonts w:ascii="Arial" w:hAnsi="Arial"/>
      <w:sz w:val="18"/>
    </w:rPr>
  </w:style>
  <w:style w:type="paragraph" w:styleId="ListParagraph">
    <w:name w:val="List Paragraph"/>
    <w:basedOn w:val="Normal"/>
    <w:uiPriority w:val="34"/>
    <w:qFormat/>
    <w:rsid w:val="00225196"/>
    <w:pPr>
      <w:ind w:left="720"/>
      <w:contextualSpacing/>
    </w:pPr>
  </w:style>
  <w:style w:type="paragraph" w:customStyle="1" w:styleId="CM9">
    <w:name w:val="CM9"/>
    <w:basedOn w:val="Normal"/>
    <w:next w:val="Normal"/>
    <w:uiPriority w:val="99"/>
    <w:rsid w:val="00200ACD"/>
    <w:pPr>
      <w:widowControl w:val="0"/>
      <w:autoSpaceDE w:val="0"/>
      <w:autoSpaceDN w:val="0"/>
      <w:adjustRightInd w:val="0"/>
      <w:spacing w:line="240" w:lineRule="atLeast"/>
    </w:pPr>
    <w:rPr>
      <w:rFonts w:ascii="HGHKB L+ Avant Garde" w:hAnsi="HGHKB L+ Avant Garde"/>
    </w:rPr>
  </w:style>
  <w:style w:type="paragraph" w:customStyle="1" w:styleId="CM5">
    <w:name w:val="CM5"/>
    <w:basedOn w:val="Normal"/>
    <w:next w:val="Normal"/>
    <w:uiPriority w:val="99"/>
    <w:rsid w:val="00200ACD"/>
    <w:pPr>
      <w:widowControl w:val="0"/>
      <w:autoSpaceDE w:val="0"/>
      <w:autoSpaceDN w:val="0"/>
      <w:adjustRightInd w:val="0"/>
      <w:spacing w:line="246" w:lineRule="atLeast"/>
    </w:pPr>
    <w:rPr>
      <w:rFonts w:ascii="HGHKB L+ Avant Garde" w:hAnsi="HGHKB L+ Avant Garde"/>
    </w:rPr>
  </w:style>
  <w:style w:type="paragraph" w:customStyle="1" w:styleId="CM72">
    <w:name w:val="CM72"/>
    <w:basedOn w:val="Default"/>
    <w:next w:val="Default"/>
    <w:uiPriority w:val="99"/>
    <w:rsid w:val="00200ACD"/>
    <w:pPr>
      <w:widowControl w:val="0"/>
    </w:pPr>
    <w:rPr>
      <w:rFonts w:ascii="HGHKB L+ Avant Garde" w:hAnsi="HGHKB L+ Avant Garde" w:cs="Times New Roman"/>
      <w:color w:val="auto"/>
    </w:rPr>
  </w:style>
  <w:style w:type="paragraph" w:customStyle="1" w:styleId="BodyECR">
    <w:name w:val="Body ECR"/>
    <w:link w:val="BodyECRChar"/>
    <w:rsid w:val="00320AD3"/>
    <w:pPr>
      <w:spacing w:before="120" w:after="120" w:line="250" w:lineRule="exact"/>
      <w:ind w:firstLine="360"/>
      <w:jc w:val="both"/>
    </w:pPr>
    <w:rPr>
      <w:color w:val="000000"/>
      <w:sz w:val="22"/>
    </w:rPr>
  </w:style>
  <w:style w:type="paragraph" w:customStyle="1" w:styleId="FigNoCaption">
    <w:name w:val="Fig. No./Caption"/>
    <w:link w:val="FigNoCaptionChar1"/>
    <w:rsid w:val="00320AD3"/>
    <w:pPr>
      <w:tabs>
        <w:tab w:val="left" w:pos="1440"/>
      </w:tabs>
      <w:jc w:val="center"/>
    </w:pPr>
    <w:rPr>
      <w:rFonts w:ascii="Verdana" w:hAnsi="Verdana"/>
      <w:color w:val="000000"/>
    </w:rPr>
  </w:style>
  <w:style w:type="character" w:customStyle="1" w:styleId="BodyECRChar">
    <w:name w:val="Body ECR Char"/>
    <w:basedOn w:val="DefaultParagraphFont"/>
    <w:link w:val="BodyECR"/>
    <w:locked/>
    <w:rsid w:val="00320AD3"/>
    <w:rPr>
      <w:color w:val="000000"/>
      <w:sz w:val="22"/>
      <w:lang w:val="en-US" w:eastAsia="en-US" w:bidi="ar-SA"/>
    </w:rPr>
  </w:style>
  <w:style w:type="character" w:customStyle="1" w:styleId="FigNoCaptionChar1">
    <w:name w:val="Fig. No./Caption Char1"/>
    <w:basedOn w:val="DefaultParagraphFont"/>
    <w:link w:val="FigNoCaption"/>
    <w:locked/>
    <w:rsid w:val="00320AD3"/>
    <w:rPr>
      <w:rFonts w:ascii="Verdana" w:hAnsi="Verdana"/>
      <w:color w:val="000000"/>
      <w:lang w:val="en-US" w:eastAsia="en-US" w:bidi="ar-SA"/>
    </w:rPr>
  </w:style>
  <w:style w:type="character" w:customStyle="1" w:styleId="CaptionChar">
    <w:name w:val="Caption Char"/>
    <w:basedOn w:val="DefaultParagraphFont"/>
    <w:link w:val="Caption"/>
    <w:uiPriority w:val="99"/>
    <w:locked/>
    <w:rsid w:val="003B37D3"/>
    <w:rPr>
      <w:rFonts w:ascii="Arial" w:hAnsi="Arial" w:cs="Times New Roman"/>
      <w:b/>
      <w:i/>
    </w:rPr>
  </w:style>
  <w:style w:type="paragraph" w:styleId="Subtitle">
    <w:name w:val="Subtitle"/>
    <w:basedOn w:val="Normal"/>
    <w:next w:val="Normal"/>
    <w:link w:val="SubtitleChar"/>
    <w:uiPriority w:val="99"/>
    <w:qFormat/>
    <w:rsid w:val="003B37D3"/>
    <w:pPr>
      <w:numPr>
        <w:ilvl w:val="1"/>
      </w:numPr>
    </w:pPr>
    <w:rPr>
      <w:rFonts w:ascii="Cambria" w:hAnsi="Cambria"/>
      <w:i/>
      <w:iCs/>
      <w:color w:val="4F81BD"/>
      <w:spacing w:val="15"/>
    </w:rPr>
  </w:style>
  <w:style w:type="character" w:customStyle="1" w:styleId="SubtitleChar">
    <w:name w:val="Subtitle Char"/>
    <w:basedOn w:val="DefaultParagraphFont"/>
    <w:link w:val="Subtitle"/>
    <w:uiPriority w:val="99"/>
    <w:locked/>
    <w:rsid w:val="003B37D3"/>
    <w:rPr>
      <w:rFonts w:ascii="Cambria" w:hAnsi="Cambria" w:cs="Times New Roman"/>
      <w:i/>
      <w:iCs/>
      <w:color w:val="4F81BD"/>
      <w:spacing w:val="15"/>
      <w:sz w:val="24"/>
      <w:szCs w:val="24"/>
    </w:rPr>
  </w:style>
  <w:style w:type="paragraph" w:styleId="Title">
    <w:name w:val="Title"/>
    <w:basedOn w:val="Normal"/>
    <w:link w:val="TitleChar"/>
    <w:uiPriority w:val="99"/>
    <w:qFormat/>
    <w:rsid w:val="003B37D3"/>
    <w:pPr>
      <w:jc w:val="center"/>
    </w:pPr>
    <w:rPr>
      <w:rFonts w:ascii="Arial" w:hAnsi="Arial"/>
      <w:b/>
      <w:sz w:val="36"/>
      <w:szCs w:val="20"/>
    </w:rPr>
  </w:style>
  <w:style w:type="character" w:customStyle="1" w:styleId="TitleChar">
    <w:name w:val="Title Char"/>
    <w:basedOn w:val="DefaultParagraphFont"/>
    <w:link w:val="Title"/>
    <w:uiPriority w:val="99"/>
    <w:locked/>
    <w:rsid w:val="003B37D3"/>
    <w:rPr>
      <w:rFonts w:ascii="Arial" w:hAnsi="Arial" w:cs="Times New Roman"/>
      <w:b/>
      <w:sz w:val="36"/>
    </w:rPr>
  </w:style>
  <w:style w:type="character" w:customStyle="1" w:styleId="CharChar">
    <w:name w:val="Char Char"/>
    <w:basedOn w:val="DefaultParagraphFont"/>
    <w:uiPriority w:val="99"/>
    <w:rsid w:val="003B37D3"/>
    <w:rPr>
      <w:rFonts w:ascii="Tahoma" w:hAnsi="Tahoma" w:cs="Tahoma"/>
      <w:b/>
      <w:bCs/>
      <w:shadow/>
      <w:color w:val="800080"/>
      <w:sz w:val="24"/>
      <w:szCs w:val="24"/>
      <w:lang w:val="en-US" w:eastAsia="en-US" w:bidi="ar-SA"/>
    </w:rPr>
  </w:style>
  <w:style w:type="paragraph" w:customStyle="1" w:styleId="Heading1-A">
    <w:name w:val="Heading 1-A"/>
    <w:basedOn w:val="Heading1"/>
    <w:uiPriority w:val="99"/>
    <w:rsid w:val="003B37D3"/>
    <w:pPr>
      <w:spacing w:before="0" w:after="360"/>
      <w:jc w:val="left"/>
    </w:pPr>
    <w:rPr>
      <w:rFonts w:cs="Tahoma"/>
      <w:color w:val="800080"/>
      <w:kern w:val="0"/>
      <w:sz w:val="32"/>
      <w:szCs w:val="24"/>
    </w:rPr>
  </w:style>
  <w:style w:type="character" w:customStyle="1" w:styleId="BodytextreducedChar">
    <w:name w:val="Body text reduced Char"/>
    <w:basedOn w:val="BodytextChar1"/>
    <w:link w:val="Bodytextreduced"/>
    <w:locked/>
    <w:rsid w:val="003B37D3"/>
  </w:style>
  <w:style w:type="paragraph" w:customStyle="1" w:styleId="Subbullet">
    <w:name w:val="Subbullet"/>
    <w:basedOn w:val="Normal"/>
    <w:uiPriority w:val="99"/>
    <w:rsid w:val="003B37D3"/>
    <w:pPr>
      <w:numPr>
        <w:ilvl w:val="1"/>
        <w:numId w:val="14"/>
      </w:numPr>
      <w:spacing w:after="60"/>
      <w:ind w:left="860"/>
    </w:pPr>
    <w:rPr>
      <w:rFonts w:ascii="Arial" w:hAnsi="Arial" w:cs="Arial"/>
      <w:sz w:val="20"/>
      <w:szCs w:val="22"/>
    </w:rPr>
  </w:style>
  <w:style w:type="paragraph" w:customStyle="1" w:styleId="Heading2-A">
    <w:name w:val="Heading 2-A"/>
    <w:basedOn w:val="Heading2"/>
    <w:uiPriority w:val="99"/>
    <w:rsid w:val="003B37D3"/>
    <w:pPr>
      <w:spacing w:before="0"/>
      <w:ind w:left="1300" w:hanging="1300"/>
    </w:pPr>
    <w:rPr>
      <w:rFonts w:ascii="Tahoma" w:hAnsi="Tahoma" w:cs="Tahoma"/>
      <w:bCs/>
      <w:shadow/>
      <w:color w:val="800080"/>
      <w:sz w:val="28"/>
      <w:szCs w:val="24"/>
    </w:rPr>
  </w:style>
  <w:style w:type="paragraph" w:customStyle="1" w:styleId="Numberedlist">
    <w:name w:val="Numbered list"/>
    <w:basedOn w:val="Normal"/>
    <w:uiPriority w:val="99"/>
    <w:rsid w:val="003B37D3"/>
    <w:pPr>
      <w:numPr>
        <w:numId w:val="13"/>
      </w:numPr>
      <w:spacing w:after="240"/>
    </w:pPr>
    <w:rPr>
      <w:rFonts w:ascii="Arial" w:hAnsi="Arial" w:cs="Arial"/>
      <w:i/>
      <w:sz w:val="22"/>
      <w:szCs w:val="22"/>
    </w:rPr>
  </w:style>
  <w:style w:type="paragraph" w:styleId="Revision">
    <w:name w:val="Revision"/>
    <w:hidden/>
    <w:uiPriority w:val="99"/>
    <w:semiHidden/>
    <w:rsid w:val="003B37D3"/>
    <w:rPr>
      <w:sz w:val="24"/>
      <w:szCs w:val="24"/>
    </w:rPr>
  </w:style>
  <w:style w:type="paragraph" w:customStyle="1" w:styleId="Tabledescription">
    <w:name w:val="Table description"/>
    <w:basedOn w:val="Normal"/>
    <w:qFormat/>
    <w:rsid w:val="00EE47B8"/>
    <w:pPr>
      <w:jc w:val="center"/>
    </w:pPr>
    <w:rPr>
      <w:rFonts w:ascii="Arial" w:hAnsi="Arial"/>
      <w:b/>
      <w:i/>
      <w:sz w:val="18"/>
      <w:szCs w:val="18"/>
    </w:rPr>
  </w:style>
  <w:style w:type="paragraph" w:customStyle="1" w:styleId="TabledescriptionBF">
    <w:name w:val="Table description BF"/>
    <w:basedOn w:val="Tabledescription"/>
    <w:qFormat/>
    <w:rsid w:val="00662D0D"/>
    <w:rPr>
      <w:b w:val="0"/>
    </w:rPr>
  </w:style>
  <w:style w:type="paragraph" w:customStyle="1" w:styleId="Tabletextreduced">
    <w:name w:val="Table text reduced"/>
    <w:basedOn w:val="Normal"/>
    <w:rsid w:val="00336540"/>
    <w:rPr>
      <w:rFonts w:cs="Arial"/>
      <w:sz w:val="16"/>
      <w:szCs w:val="16"/>
    </w:rPr>
  </w:style>
  <w:style w:type="paragraph" w:customStyle="1" w:styleId="Footnotetextbulleted">
    <w:name w:val="Footnote text bulleted"/>
    <w:basedOn w:val="FootnoteText"/>
    <w:qFormat/>
    <w:rsid w:val="00E96E2F"/>
    <w:pPr>
      <w:numPr>
        <w:numId w:val="17"/>
      </w:numPr>
      <w:spacing w:after="60"/>
    </w:pPr>
    <w:rPr>
      <w:i/>
    </w:rPr>
  </w:style>
  <w:style w:type="paragraph" w:styleId="NoSpacing">
    <w:name w:val="No Spacing"/>
    <w:uiPriority w:val="1"/>
    <w:qFormat/>
    <w:rsid w:val="00B13F40"/>
    <w:rPr>
      <w:sz w:val="24"/>
    </w:rPr>
  </w:style>
  <w:style w:type="paragraph" w:customStyle="1" w:styleId="Tableheading106">
    <w:name w:val="Table heading 106"/>
    <w:basedOn w:val="Normal"/>
    <w:link w:val="Tableheading106Char"/>
    <w:qFormat/>
    <w:rsid w:val="00FF4CBF"/>
    <w:pPr>
      <w:jc w:val="center"/>
    </w:pPr>
    <w:rPr>
      <w:rFonts w:ascii="Arial" w:hAnsi="Arial" w:cs="Arial"/>
      <w:b/>
      <w:i/>
      <w:sz w:val="20"/>
    </w:rPr>
  </w:style>
  <w:style w:type="character" w:customStyle="1" w:styleId="Tableheading106Char">
    <w:name w:val="Table heading 106 Char"/>
    <w:basedOn w:val="DefaultParagraphFont"/>
    <w:link w:val="Tableheading106"/>
    <w:locked/>
    <w:rsid w:val="00FF4CBF"/>
    <w:rPr>
      <w:rFonts w:ascii="Arial" w:hAnsi="Arial" w:cs="Arial"/>
      <w:b/>
      <w:i/>
      <w:sz w:val="24"/>
      <w:szCs w:val="24"/>
    </w:rPr>
  </w:style>
  <w:style w:type="paragraph" w:customStyle="1" w:styleId="Tablefootnote">
    <w:name w:val="Table footnote"/>
    <w:basedOn w:val="TableText"/>
    <w:rsid w:val="00E86B70"/>
    <w:rPr>
      <w:rFonts w:cs="Arial"/>
      <w:sz w:val="16"/>
      <w:szCs w:val="18"/>
    </w:rPr>
  </w:style>
  <w:style w:type="paragraph" w:customStyle="1" w:styleId="reference">
    <w:name w:val="reference"/>
    <w:basedOn w:val="Normal"/>
    <w:rsid w:val="00FA232C"/>
    <w:pPr>
      <w:spacing w:before="100" w:beforeAutospacing="1" w:after="120"/>
      <w:ind w:left="936" w:right="720" w:hanging="720"/>
    </w:pPr>
    <w:rPr>
      <w:sz w:val="22"/>
      <w:szCs w:val="22"/>
    </w:rPr>
  </w:style>
  <w:style w:type="numbering" w:styleId="111111">
    <w:name w:val="Outline List 2"/>
    <w:basedOn w:val="NoList"/>
    <w:uiPriority w:val="99"/>
    <w:semiHidden/>
    <w:unhideWhenUsed/>
    <w:rsid w:val="00F62F91"/>
    <w:pPr>
      <w:numPr>
        <w:numId w:val="12"/>
      </w:numPr>
    </w:pPr>
  </w:style>
</w:styles>
</file>

<file path=word/webSettings.xml><?xml version="1.0" encoding="utf-8"?>
<w:webSettings xmlns:r="http://schemas.openxmlformats.org/officeDocument/2006/relationships" xmlns:w="http://schemas.openxmlformats.org/wordprocessingml/2006/main">
  <w:divs>
    <w:div w:id="582372149">
      <w:marLeft w:val="0"/>
      <w:marRight w:val="0"/>
      <w:marTop w:val="0"/>
      <w:marBottom w:val="0"/>
      <w:divBdr>
        <w:top w:val="none" w:sz="0" w:space="0" w:color="auto"/>
        <w:left w:val="none" w:sz="0" w:space="0" w:color="auto"/>
        <w:bottom w:val="none" w:sz="0" w:space="0" w:color="auto"/>
        <w:right w:val="none" w:sz="0" w:space="0" w:color="auto"/>
      </w:divBdr>
      <w:divsChild>
        <w:div w:id="582372190">
          <w:marLeft w:val="0"/>
          <w:marRight w:val="0"/>
          <w:marTop w:val="0"/>
          <w:marBottom w:val="0"/>
          <w:divBdr>
            <w:top w:val="none" w:sz="0" w:space="0" w:color="auto"/>
            <w:left w:val="none" w:sz="0" w:space="0" w:color="auto"/>
            <w:bottom w:val="none" w:sz="0" w:space="0" w:color="auto"/>
            <w:right w:val="none" w:sz="0" w:space="0" w:color="auto"/>
          </w:divBdr>
          <w:divsChild>
            <w:div w:id="58237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51">
      <w:marLeft w:val="0"/>
      <w:marRight w:val="0"/>
      <w:marTop w:val="0"/>
      <w:marBottom w:val="0"/>
      <w:divBdr>
        <w:top w:val="none" w:sz="0" w:space="0" w:color="auto"/>
        <w:left w:val="none" w:sz="0" w:space="0" w:color="auto"/>
        <w:bottom w:val="none" w:sz="0" w:space="0" w:color="auto"/>
        <w:right w:val="none" w:sz="0" w:space="0" w:color="auto"/>
      </w:divBdr>
    </w:div>
    <w:div w:id="582372152">
      <w:marLeft w:val="0"/>
      <w:marRight w:val="0"/>
      <w:marTop w:val="0"/>
      <w:marBottom w:val="0"/>
      <w:divBdr>
        <w:top w:val="none" w:sz="0" w:space="0" w:color="auto"/>
        <w:left w:val="none" w:sz="0" w:space="0" w:color="auto"/>
        <w:bottom w:val="none" w:sz="0" w:space="0" w:color="auto"/>
        <w:right w:val="none" w:sz="0" w:space="0" w:color="auto"/>
      </w:divBdr>
    </w:div>
    <w:div w:id="582372153">
      <w:marLeft w:val="0"/>
      <w:marRight w:val="0"/>
      <w:marTop w:val="0"/>
      <w:marBottom w:val="0"/>
      <w:divBdr>
        <w:top w:val="none" w:sz="0" w:space="0" w:color="auto"/>
        <w:left w:val="none" w:sz="0" w:space="0" w:color="auto"/>
        <w:bottom w:val="none" w:sz="0" w:space="0" w:color="auto"/>
        <w:right w:val="none" w:sz="0" w:space="0" w:color="auto"/>
      </w:divBdr>
    </w:div>
    <w:div w:id="582372156">
      <w:marLeft w:val="0"/>
      <w:marRight w:val="0"/>
      <w:marTop w:val="0"/>
      <w:marBottom w:val="0"/>
      <w:divBdr>
        <w:top w:val="none" w:sz="0" w:space="0" w:color="auto"/>
        <w:left w:val="none" w:sz="0" w:space="0" w:color="auto"/>
        <w:bottom w:val="none" w:sz="0" w:space="0" w:color="auto"/>
        <w:right w:val="none" w:sz="0" w:space="0" w:color="auto"/>
      </w:divBdr>
    </w:div>
    <w:div w:id="582372160">
      <w:marLeft w:val="0"/>
      <w:marRight w:val="0"/>
      <w:marTop w:val="0"/>
      <w:marBottom w:val="0"/>
      <w:divBdr>
        <w:top w:val="none" w:sz="0" w:space="0" w:color="auto"/>
        <w:left w:val="none" w:sz="0" w:space="0" w:color="auto"/>
        <w:bottom w:val="none" w:sz="0" w:space="0" w:color="auto"/>
        <w:right w:val="none" w:sz="0" w:space="0" w:color="auto"/>
      </w:divBdr>
      <w:divsChild>
        <w:div w:id="582372155">
          <w:marLeft w:val="0"/>
          <w:marRight w:val="0"/>
          <w:marTop w:val="0"/>
          <w:marBottom w:val="0"/>
          <w:divBdr>
            <w:top w:val="none" w:sz="0" w:space="0" w:color="auto"/>
            <w:left w:val="none" w:sz="0" w:space="0" w:color="auto"/>
            <w:bottom w:val="none" w:sz="0" w:space="0" w:color="auto"/>
            <w:right w:val="none" w:sz="0" w:space="0" w:color="auto"/>
          </w:divBdr>
          <w:divsChild>
            <w:div w:id="58237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62">
      <w:marLeft w:val="0"/>
      <w:marRight w:val="0"/>
      <w:marTop w:val="0"/>
      <w:marBottom w:val="0"/>
      <w:divBdr>
        <w:top w:val="none" w:sz="0" w:space="0" w:color="auto"/>
        <w:left w:val="none" w:sz="0" w:space="0" w:color="auto"/>
        <w:bottom w:val="none" w:sz="0" w:space="0" w:color="auto"/>
        <w:right w:val="none" w:sz="0" w:space="0" w:color="auto"/>
      </w:divBdr>
    </w:div>
    <w:div w:id="582372165">
      <w:marLeft w:val="0"/>
      <w:marRight w:val="0"/>
      <w:marTop w:val="0"/>
      <w:marBottom w:val="0"/>
      <w:divBdr>
        <w:top w:val="none" w:sz="0" w:space="0" w:color="auto"/>
        <w:left w:val="none" w:sz="0" w:space="0" w:color="auto"/>
        <w:bottom w:val="none" w:sz="0" w:space="0" w:color="auto"/>
        <w:right w:val="none" w:sz="0" w:space="0" w:color="auto"/>
      </w:divBdr>
      <w:divsChild>
        <w:div w:id="582372163">
          <w:marLeft w:val="0"/>
          <w:marRight w:val="0"/>
          <w:marTop w:val="0"/>
          <w:marBottom w:val="0"/>
          <w:divBdr>
            <w:top w:val="none" w:sz="0" w:space="0" w:color="auto"/>
            <w:left w:val="none" w:sz="0" w:space="0" w:color="auto"/>
            <w:bottom w:val="none" w:sz="0" w:space="0" w:color="auto"/>
            <w:right w:val="none" w:sz="0" w:space="0" w:color="auto"/>
          </w:divBdr>
        </w:div>
        <w:div w:id="582372167">
          <w:marLeft w:val="0"/>
          <w:marRight w:val="0"/>
          <w:marTop w:val="0"/>
          <w:marBottom w:val="0"/>
          <w:divBdr>
            <w:top w:val="none" w:sz="0" w:space="0" w:color="auto"/>
            <w:left w:val="none" w:sz="0" w:space="0" w:color="auto"/>
            <w:bottom w:val="none" w:sz="0" w:space="0" w:color="auto"/>
            <w:right w:val="none" w:sz="0" w:space="0" w:color="auto"/>
          </w:divBdr>
        </w:div>
        <w:div w:id="582372178">
          <w:marLeft w:val="0"/>
          <w:marRight w:val="0"/>
          <w:marTop w:val="0"/>
          <w:marBottom w:val="0"/>
          <w:divBdr>
            <w:top w:val="none" w:sz="0" w:space="0" w:color="auto"/>
            <w:left w:val="none" w:sz="0" w:space="0" w:color="auto"/>
            <w:bottom w:val="none" w:sz="0" w:space="0" w:color="auto"/>
            <w:right w:val="none" w:sz="0" w:space="0" w:color="auto"/>
          </w:divBdr>
        </w:div>
        <w:div w:id="582372191">
          <w:marLeft w:val="0"/>
          <w:marRight w:val="0"/>
          <w:marTop w:val="0"/>
          <w:marBottom w:val="0"/>
          <w:divBdr>
            <w:top w:val="none" w:sz="0" w:space="0" w:color="auto"/>
            <w:left w:val="none" w:sz="0" w:space="0" w:color="auto"/>
            <w:bottom w:val="none" w:sz="0" w:space="0" w:color="auto"/>
            <w:right w:val="none" w:sz="0" w:space="0" w:color="auto"/>
          </w:divBdr>
        </w:div>
        <w:div w:id="582372192">
          <w:marLeft w:val="0"/>
          <w:marRight w:val="0"/>
          <w:marTop w:val="0"/>
          <w:marBottom w:val="0"/>
          <w:divBdr>
            <w:top w:val="none" w:sz="0" w:space="0" w:color="auto"/>
            <w:left w:val="none" w:sz="0" w:space="0" w:color="auto"/>
            <w:bottom w:val="none" w:sz="0" w:space="0" w:color="auto"/>
            <w:right w:val="none" w:sz="0" w:space="0" w:color="auto"/>
          </w:divBdr>
        </w:div>
      </w:divsChild>
    </w:div>
    <w:div w:id="582372170">
      <w:marLeft w:val="0"/>
      <w:marRight w:val="0"/>
      <w:marTop w:val="0"/>
      <w:marBottom w:val="0"/>
      <w:divBdr>
        <w:top w:val="none" w:sz="0" w:space="0" w:color="auto"/>
        <w:left w:val="none" w:sz="0" w:space="0" w:color="auto"/>
        <w:bottom w:val="none" w:sz="0" w:space="0" w:color="auto"/>
        <w:right w:val="none" w:sz="0" w:space="0" w:color="auto"/>
      </w:divBdr>
      <w:divsChild>
        <w:div w:id="582372171">
          <w:marLeft w:val="0"/>
          <w:marRight w:val="0"/>
          <w:marTop w:val="0"/>
          <w:marBottom w:val="0"/>
          <w:divBdr>
            <w:top w:val="none" w:sz="0" w:space="0" w:color="auto"/>
            <w:left w:val="none" w:sz="0" w:space="0" w:color="auto"/>
            <w:bottom w:val="none" w:sz="0" w:space="0" w:color="auto"/>
            <w:right w:val="none" w:sz="0" w:space="0" w:color="auto"/>
          </w:divBdr>
          <w:divsChild>
            <w:div w:id="582372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75">
      <w:marLeft w:val="0"/>
      <w:marRight w:val="0"/>
      <w:marTop w:val="0"/>
      <w:marBottom w:val="0"/>
      <w:divBdr>
        <w:top w:val="none" w:sz="0" w:space="0" w:color="auto"/>
        <w:left w:val="none" w:sz="0" w:space="0" w:color="auto"/>
        <w:bottom w:val="none" w:sz="0" w:space="0" w:color="auto"/>
        <w:right w:val="none" w:sz="0" w:space="0" w:color="auto"/>
      </w:divBdr>
    </w:div>
    <w:div w:id="582372176">
      <w:marLeft w:val="0"/>
      <w:marRight w:val="0"/>
      <w:marTop w:val="0"/>
      <w:marBottom w:val="0"/>
      <w:divBdr>
        <w:top w:val="none" w:sz="0" w:space="0" w:color="auto"/>
        <w:left w:val="none" w:sz="0" w:space="0" w:color="auto"/>
        <w:bottom w:val="none" w:sz="0" w:space="0" w:color="auto"/>
        <w:right w:val="none" w:sz="0" w:space="0" w:color="auto"/>
      </w:divBdr>
    </w:div>
    <w:div w:id="582372177">
      <w:marLeft w:val="0"/>
      <w:marRight w:val="0"/>
      <w:marTop w:val="0"/>
      <w:marBottom w:val="0"/>
      <w:divBdr>
        <w:top w:val="none" w:sz="0" w:space="0" w:color="auto"/>
        <w:left w:val="none" w:sz="0" w:space="0" w:color="auto"/>
        <w:bottom w:val="none" w:sz="0" w:space="0" w:color="auto"/>
        <w:right w:val="none" w:sz="0" w:space="0" w:color="auto"/>
      </w:divBdr>
    </w:div>
    <w:div w:id="582372180">
      <w:marLeft w:val="0"/>
      <w:marRight w:val="0"/>
      <w:marTop w:val="0"/>
      <w:marBottom w:val="0"/>
      <w:divBdr>
        <w:top w:val="none" w:sz="0" w:space="0" w:color="auto"/>
        <w:left w:val="none" w:sz="0" w:space="0" w:color="auto"/>
        <w:bottom w:val="none" w:sz="0" w:space="0" w:color="auto"/>
        <w:right w:val="none" w:sz="0" w:space="0" w:color="auto"/>
      </w:divBdr>
      <w:divsChild>
        <w:div w:id="582372168">
          <w:marLeft w:val="0"/>
          <w:marRight w:val="0"/>
          <w:marTop w:val="0"/>
          <w:marBottom w:val="0"/>
          <w:divBdr>
            <w:top w:val="none" w:sz="0" w:space="0" w:color="auto"/>
            <w:left w:val="none" w:sz="0" w:space="0" w:color="auto"/>
            <w:bottom w:val="none" w:sz="0" w:space="0" w:color="auto"/>
            <w:right w:val="none" w:sz="0" w:space="0" w:color="auto"/>
          </w:divBdr>
          <w:divsChild>
            <w:div w:id="582372150">
              <w:marLeft w:val="0"/>
              <w:marRight w:val="0"/>
              <w:marTop w:val="0"/>
              <w:marBottom w:val="0"/>
              <w:divBdr>
                <w:top w:val="none" w:sz="0" w:space="0" w:color="auto"/>
                <w:left w:val="none" w:sz="0" w:space="0" w:color="auto"/>
                <w:bottom w:val="none" w:sz="0" w:space="0" w:color="auto"/>
                <w:right w:val="none" w:sz="0" w:space="0" w:color="auto"/>
              </w:divBdr>
            </w:div>
            <w:div w:id="582372174">
              <w:marLeft w:val="0"/>
              <w:marRight w:val="0"/>
              <w:marTop w:val="0"/>
              <w:marBottom w:val="0"/>
              <w:divBdr>
                <w:top w:val="none" w:sz="0" w:space="0" w:color="auto"/>
                <w:left w:val="none" w:sz="0" w:space="0" w:color="auto"/>
                <w:bottom w:val="none" w:sz="0" w:space="0" w:color="auto"/>
                <w:right w:val="none" w:sz="0" w:space="0" w:color="auto"/>
              </w:divBdr>
              <w:divsChild>
                <w:div w:id="582372158">
                  <w:marLeft w:val="0"/>
                  <w:marRight w:val="0"/>
                  <w:marTop w:val="0"/>
                  <w:marBottom w:val="0"/>
                  <w:divBdr>
                    <w:top w:val="none" w:sz="0" w:space="0" w:color="auto"/>
                    <w:left w:val="none" w:sz="0" w:space="0" w:color="auto"/>
                    <w:bottom w:val="none" w:sz="0" w:space="0" w:color="auto"/>
                    <w:right w:val="none" w:sz="0" w:space="0" w:color="auto"/>
                  </w:divBdr>
                </w:div>
                <w:div w:id="582372189">
                  <w:marLeft w:val="0"/>
                  <w:marRight w:val="0"/>
                  <w:marTop w:val="0"/>
                  <w:marBottom w:val="0"/>
                  <w:divBdr>
                    <w:top w:val="none" w:sz="0" w:space="0" w:color="auto"/>
                    <w:left w:val="none" w:sz="0" w:space="0" w:color="auto"/>
                    <w:bottom w:val="none" w:sz="0" w:space="0" w:color="auto"/>
                    <w:right w:val="none" w:sz="0" w:space="0" w:color="auto"/>
                  </w:divBdr>
                </w:div>
                <w:div w:id="582372200">
                  <w:marLeft w:val="0"/>
                  <w:marRight w:val="0"/>
                  <w:marTop w:val="0"/>
                  <w:marBottom w:val="0"/>
                  <w:divBdr>
                    <w:top w:val="none" w:sz="0" w:space="0" w:color="auto"/>
                    <w:left w:val="none" w:sz="0" w:space="0" w:color="auto"/>
                    <w:bottom w:val="none" w:sz="0" w:space="0" w:color="auto"/>
                    <w:right w:val="none" w:sz="0" w:space="0" w:color="auto"/>
                  </w:divBdr>
                </w:div>
                <w:div w:id="582372201">
                  <w:marLeft w:val="0"/>
                  <w:marRight w:val="0"/>
                  <w:marTop w:val="0"/>
                  <w:marBottom w:val="0"/>
                  <w:divBdr>
                    <w:top w:val="none" w:sz="0" w:space="0" w:color="auto"/>
                    <w:left w:val="none" w:sz="0" w:space="0" w:color="auto"/>
                    <w:bottom w:val="none" w:sz="0" w:space="0" w:color="auto"/>
                    <w:right w:val="none" w:sz="0" w:space="0" w:color="auto"/>
                  </w:divBdr>
                </w:div>
              </w:divsChild>
            </w:div>
            <w:div w:id="582372179">
              <w:marLeft w:val="0"/>
              <w:marRight w:val="0"/>
              <w:marTop w:val="0"/>
              <w:marBottom w:val="0"/>
              <w:divBdr>
                <w:top w:val="none" w:sz="0" w:space="0" w:color="auto"/>
                <w:left w:val="none" w:sz="0" w:space="0" w:color="auto"/>
                <w:bottom w:val="none" w:sz="0" w:space="0" w:color="auto"/>
                <w:right w:val="none" w:sz="0" w:space="0" w:color="auto"/>
              </w:divBdr>
              <w:divsChild>
                <w:div w:id="582372188">
                  <w:marLeft w:val="0"/>
                  <w:marRight w:val="0"/>
                  <w:marTop w:val="0"/>
                  <w:marBottom w:val="0"/>
                  <w:divBdr>
                    <w:top w:val="none" w:sz="0" w:space="0" w:color="auto"/>
                    <w:left w:val="none" w:sz="0" w:space="0" w:color="auto"/>
                    <w:bottom w:val="none" w:sz="0" w:space="0" w:color="auto"/>
                    <w:right w:val="none" w:sz="0" w:space="0" w:color="auto"/>
                  </w:divBdr>
                  <w:divsChild>
                    <w:div w:id="58237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2372181">
      <w:marLeft w:val="0"/>
      <w:marRight w:val="0"/>
      <w:marTop w:val="0"/>
      <w:marBottom w:val="0"/>
      <w:divBdr>
        <w:top w:val="none" w:sz="0" w:space="0" w:color="auto"/>
        <w:left w:val="none" w:sz="0" w:space="0" w:color="auto"/>
        <w:bottom w:val="none" w:sz="0" w:space="0" w:color="auto"/>
        <w:right w:val="none" w:sz="0" w:space="0" w:color="auto"/>
      </w:divBdr>
      <w:divsChild>
        <w:div w:id="582372159">
          <w:marLeft w:val="0"/>
          <w:marRight w:val="0"/>
          <w:marTop w:val="0"/>
          <w:marBottom w:val="0"/>
          <w:divBdr>
            <w:top w:val="none" w:sz="0" w:space="0" w:color="auto"/>
            <w:left w:val="none" w:sz="0" w:space="0" w:color="auto"/>
            <w:bottom w:val="none" w:sz="0" w:space="0" w:color="auto"/>
            <w:right w:val="none" w:sz="0" w:space="0" w:color="auto"/>
          </w:divBdr>
          <w:divsChild>
            <w:div w:id="58237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2">
      <w:marLeft w:val="0"/>
      <w:marRight w:val="0"/>
      <w:marTop w:val="0"/>
      <w:marBottom w:val="0"/>
      <w:divBdr>
        <w:top w:val="none" w:sz="0" w:space="0" w:color="auto"/>
        <w:left w:val="none" w:sz="0" w:space="0" w:color="auto"/>
        <w:bottom w:val="none" w:sz="0" w:space="0" w:color="auto"/>
        <w:right w:val="none" w:sz="0" w:space="0" w:color="auto"/>
      </w:divBdr>
    </w:div>
    <w:div w:id="582372184">
      <w:marLeft w:val="0"/>
      <w:marRight w:val="0"/>
      <w:marTop w:val="0"/>
      <w:marBottom w:val="0"/>
      <w:divBdr>
        <w:top w:val="none" w:sz="0" w:space="0" w:color="auto"/>
        <w:left w:val="none" w:sz="0" w:space="0" w:color="auto"/>
        <w:bottom w:val="none" w:sz="0" w:space="0" w:color="auto"/>
        <w:right w:val="none" w:sz="0" w:space="0" w:color="auto"/>
      </w:divBdr>
    </w:div>
    <w:div w:id="582372185">
      <w:marLeft w:val="0"/>
      <w:marRight w:val="0"/>
      <w:marTop w:val="0"/>
      <w:marBottom w:val="0"/>
      <w:divBdr>
        <w:top w:val="none" w:sz="0" w:space="0" w:color="auto"/>
        <w:left w:val="none" w:sz="0" w:space="0" w:color="auto"/>
        <w:bottom w:val="none" w:sz="0" w:space="0" w:color="auto"/>
        <w:right w:val="none" w:sz="0" w:space="0" w:color="auto"/>
      </w:divBdr>
    </w:div>
    <w:div w:id="582372186">
      <w:marLeft w:val="0"/>
      <w:marRight w:val="0"/>
      <w:marTop w:val="0"/>
      <w:marBottom w:val="0"/>
      <w:divBdr>
        <w:top w:val="none" w:sz="0" w:space="0" w:color="auto"/>
        <w:left w:val="none" w:sz="0" w:space="0" w:color="auto"/>
        <w:bottom w:val="none" w:sz="0" w:space="0" w:color="auto"/>
        <w:right w:val="none" w:sz="0" w:space="0" w:color="auto"/>
      </w:divBdr>
      <w:divsChild>
        <w:div w:id="582372183">
          <w:marLeft w:val="0"/>
          <w:marRight w:val="0"/>
          <w:marTop w:val="0"/>
          <w:marBottom w:val="0"/>
          <w:divBdr>
            <w:top w:val="none" w:sz="0" w:space="0" w:color="auto"/>
            <w:left w:val="none" w:sz="0" w:space="0" w:color="auto"/>
            <w:bottom w:val="none" w:sz="0" w:space="0" w:color="auto"/>
            <w:right w:val="none" w:sz="0" w:space="0" w:color="auto"/>
          </w:divBdr>
          <w:divsChild>
            <w:div w:id="582372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87">
      <w:marLeft w:val="0"/>
      <w:marRight w:val="0"/>
      <w:marTop w:val="0"/>
      <w:marBottom w:val="0"/>
      <w:divBdr>
        <w:top w:val="none" w:sz="0" w:space="0" w:color="auto"/>
        <w:left w:val="none" w:sz="0" w:space="0" w:color="auto"/>
        <w:bottom w:val="none" w:sz="0" w:space="0" w:color="auto"/>
        <w:right w:val="none" w:sz="0" w:space="0" w:color="auto"/>
      </w:divBdr>
    </w:div>
    <w:div w:id="582372194">
      <w:marLeft w:val="0"/>
      <w:marRight w:val="0"/>
      <w:marTop w:val="0"/>
      <w:marBottom w:val="0"/>
      <w:divBdr>
        <w:top w:val="none" w:sz="0" w:space="0" w:color="auto"/>
        <w:left w:val="none" w:sz="0" w:space="0" w:color="auto"/>
        <w:bottom w:val="none" w:sz="0" w:space="0" w:color="auto"/>
        <w:right w:val="none" w:sz="0" w:space="0" w:color="auto"/>
      </w:divBdr>
    </w:div>
    <w:div w:id="582372195">
      <w:marLeft w:val="0"/>
      <w:marRight w:val="0"/>
      <w:marTop w:val="0"/>
      <w:marBottom w:val="0"/>
      <w:divBdr>
        <w:top w:val="none" w:sz="0" w:space="0" w:color="auto"/>
        <w:left w:val="none" w:sz="0" w:space="0" w:color="auto"/>
        <w:bottom w:val="none" w:sz="0" w:space="0" w:color="auto"/>
        <w:right w:val="none" w:sz="0" w:space="0" w:color="auto"/>
      </w:divBdr>
      <w:divsChild>
        <w:div w:id="582372169">
          <w:marLeft w:val="0"/>
          <w:marRight w:val="0"/>
          <w:marTop w:val="0"/>
          <w:marBottom w:val="0"/>
          <w:divBdr>
            <w:top w:val="none" w:sz="0" w:space="0" w:color="auto"/>
            <w:left w:val="none" w:sz="0" w:space="0" w:color="auto"/>
            <w:bottom w:val="none" w:sz="0" w:space="0" w:color="auto"/>
            <w:right w:val="none" w:sz="0" w:space="0" w:color="auto"/>
          </w:divBdr>
          <w:divsChild>
            <w:div w:id="582372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2372196">
      <w:marLeft w:val="0"/>
      <w:marRight w:val="0"/>
      <w:marTop w:val="0"/>
      <w:marBottom w:val="0"/>
      <w:divBdr>
        <w:top w:val="none" w:sz="0" w:space="0" w:color="auto"/>
        <w:left w:val="none" w:sz="0" w:space="0" w:color="auto"/>
        <w:bottom w:val="none" w:sz="0" w:space="0" w:color="auto"/>
        <w:right w:val="none" w:sz="0" w:space="0" w:color="auto"/>
      </w:divBdr>
    </w:div>
    <w:div w:id="582372197">
      <w:marLeft w:val="0"/>
      <w:marRight w:val="0"/>
      <w:marTop w:val="0"/>
      <w:marBottom w:val="0"/>
      <w:divBdr>
        <w:top w:val="none" w:sz="0" w:space="0" w:color="auto"/>
        <w:left w:val="none" w:sz="0" w:space="0" w:color="auto"/>
        <w:bottom w:val="none" w:sz="0" w:space="0" w:color="auto"/>
        <w:right w:val="none" w:sz="0" w:space="0" w:color="auto"/>
      </w:divBdr>
    </w:div>
    <w:div w:id="582372198">
      <w:marLeft w:val="0"/>
      <w:marRight w:val="0"/>
      <w:marTop w:val="0"/>
      <w:marBottom w:val="0"/>
      <w:divBdr>
        <w:top w:val="none" w:sz="0" w:space="0" w:color="auto"/>
        <w:left w:val="none" w:sz="0" w:space="0" w:color="auto"/>
        <w:bottom w:val="none" w:sz="0" w:space="0" w:color="auto"/>
        <w:right w:val="none" w:sz="0" w:space="0" w:color="auto"/>
      </w:divBdr>
    </w:div>
    <w:div w:id="582372203">
      <w:marLeft w:val="0"/>
      <w:marRight w:val="0"/>
      <w:marTop w:val="0"/>
      <w:marBottom w:val="0"/>
      <w:divBdr>
        <w:top w:val="none" w:sz="0" w:space="0" w:color="auto"/>
        <w:left w:val="none" w:sz="0" w:space="0" w:color="auto"/>
        <w:bottom w:val="none" w:sz="0" w:space="0" w:color="auto"/>
        <w:right w:val="none" w:sz="0" w:space="0" w:color="auto"/>
      </w:divBdr>
      <w:divsChild>
        <w:div w:id="582372193">
          <w:marLeft w:val="0"/>
          <w:marRight w:val="0"/>
          <w:marTop w:val="0"/>
          <w:marBottom w:val="0"/>
          <w:divBdr>
            <w:top w:val="none" w:sz="0" w:space="0" w:color="auto"/>
            <w:left w:val="none" w:sz="0" w:space="0" w:color="auto"/>
            <w:bottom w:val="none" w:sz="0" w:space="0" w:color="auto"/>
            <w:right w:val="none" w:sz="0" w:space="0" w:color="auto"/>
          </w:divBdr>
          <w:divsChild>
            <w:div w:id="582372202">
              <w:marLeft w:val="0"/>
              <w:marRight w:val="0"/>
              <w:marTop w:val="0"/>
              <w:marBottom w:val="0"/>
              <w:divBdr>
                <w:top w:val="none" w:sz="0" w:space="0" w:color="auto"/>
                <w:left w:val="none" w:sz="0" w:space="0" w:color="auto"/>
                <w:bottom w:val="none" w:sz="0" w:space="0" w:color="auto"/>
                <w:right w:val="none" w:sz="0" w:space="0" w:color="auto"/>
              </w:divBdr>
              <w:divsChild>
                <w:div w:id="582372157">
                  <w:marLeft w:val="91"/>
                  <w:marRight w:val="76"/>
                  <w:marTop w:val="0"/>
                  <w:marBottom w:val="76"/>
                  <w:divBdr>
                    <w:top w:val="none" w:sz="0" w:space="0" w:color="auto"/>
                    <w:left w:val="single" w:sz="6" w:space="4" w:color="CCCCCC"/>
                    <w:bottom w:val="single" w:sz="6" w:space="4" w:color="CCCCCC"/>
                    <w:right w:val="single" w:sz="6" w:space="4" w:color="CCCCCC"/>
                  </w:divBdr>
                </w:div>
              </w:divsChild>
            </w:div>
          </w:divsChild>
        </w:div>
      </w:divsChild>
    </w:div>
    <w:div w:id="6433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0.jpeg"/><Relationship Id="rId299" Type="http://schemas.openxmlformats.org/officeDocument/2006/relationships/hyperlink" Target="http://www.stormwater.ucf.edu/" TargetMode="External"/><Relationship Id="rId303" Type="http://schemas.openxmlformats.org/officeDocument/2006/relationships/hyperlink" Target="http://quickfacts.census.gov/qfd/states/12000.html" TargetMode="External"/><Relationship Id="rId21" Type="http://schemas.openxmlformats.org/officeDocument/2006/relationships/hyperlink" Target="http://www.americasroof.com/highest/fl.shtml" TargetMode="External"/><Relationship Id="rId42" Type="http://schemas.openxmlformats.org/officeDocument/2006/relationships/hyperlink" Target="http://research.myfwc.com/fishkill/" TargetMode="External"/><Relationship Id="rId63" Type="http://schemas.openxmlformats.org/officeDocument/2006/relationships/image" Target="media/image6.jpeg"/><Relationship Id="rId84" Type="http://schemas.openxmlformats.org/officeDocument/2006/relationships/hyperlink" Target="http://www.dep.state.fl.us/water/monitoring/docs/seds/FFW_Metals_Report_Final.pdf" TargetMode="External"/><Relationship Id="rId138" Type="http://schemas.openxmlformats.org/officeDocument/2006/relationships/hyperlink" Target="http://www.dep.state.fl.us/water/watersheds/assessment/index.htm" TargetMode="External"/><Relationship Id="rId159" Type="http://schemas.openxmlformats.org/officeDocument/2006/relationships/hyperlink" Target="http://www.dep.state.fl.us/waste/quick_topics/database_reports/pages/stcm/stcm_reports.htm" TargetMode="External"/><Relationship Id="rId324" Type="http://schemas.openxmlformats.org/officeDocument/2006/relationships/header" Target="header9.xml"/><Relationship Id="rId170" Type="http://schemas.openxmlformats.org/officeDocument/2006/relationships/hyperlink" Target="file:///C:\Espy_J\My%20Documents\305b%20Integrated%20reports\2010\:_" TargetMode="External"/><Relationship Id="rId191" Type="http://schemas.openxmlformats.org/officeDocument/2006/relationships/hyperlink" Target="http://www.dep.state.fl.us/water/nonpoint/index.htm" TargetMode="External"/><Relationship Id="rId205" Type="http://schemas.openxmlformats.org/officeDocument/2006/relationships/hyperlink" Target="http://consensus.fsu.edu/fertilizer-task-force/pdfs2/Fertilizer_Task_Force_Final_Report11408-3.pdf" TargetMode="External"/><Relationship Id="rId226" Type="http://schemas.openxmlformats.org/officeDocument/2006/relationships/hyperlink" Target="http://www.dep.state.fl.us/water/wqssp/classes.htm" TargetMode="External"/><Relationship Id="rId247" Type="http://schemas.openxmlformats.org/officeDocument/2006/relationships/hyperlink" Target="http://www.dep.state.fl.us/water/monitoring/sediments.htm" TargetMode="External"/><Relationship Id="rId107" Type="http://schemas.openxmlformats.org/officeDocument/2006/relationships/image" Target="media/image30.jpeg"/><Relationship Id="rId268" Type="http://schemas.openxmlformats.org/officeDocument/2006/relationships/hyperlink" Target="http://myfwc.com/conservation/Conservation_ValueofConservation_EconSaltwaterImpact.htm" TargetMode="External"/><Relationship Id="rId289" Type="http://schemas.openxmlformats.org/officeDocument/2006/relationships/hyperlink" Target="http://publicfiles.dep.state.fl.us/dear/labs/sas/library/docs/wet_depf.pdf" TargetMode="External"/><Relationship Id="rId11" Type="http://schemas.openxmlformats.org/officeDocument/2006/relationships/header" Target="header2.xml"/><Relationship Id="rId32" Type="http://schemas.openxmlformats.org/officeDocument/2006/relationships/hyperlink" Target="http://esetappsdoh.doh.state.fl.us/irm00beachwater/default.aspx" TargetMode="External"/><Relationship Id="rId53" Type="http://schemas.openxmlformats.org/officeDocument/2006/relationships/hyperlink" Target="http://www.dep.state.fl.us/labs/qa/sops.htm" TargetMode="External"/><Relationship Id="rId74" Type="http://schemas.openxmlformats.org/officeDocument/2006/relationships/image" Target="media/image10.jpeg"/><Relationship Id="rId128" Type="http://schemas.openxmlformats.org/officeDocument/2006/relationships/hyperlink" Target="http://www.epa.gov/storet/" TargetMode="External"/><Relationship Id="rId149" Type="http://schemas.openxmlformats.org/officeDocument/2006/relationships/hyperlink" Target="http://www.dep.state.fl.us/water/wff/wsupply/" TargetMode="External"/><Relationship Id="rId314" Type="http://schemas.openxmlformats.org/officeDocument/2006/relationships/hyperlink" Target="http://www.epa.gov/cwns/" TargetMode="External"/><Relationship Id="rId5" Type="http://schemas.openxmlformats.org/officeDocument/2006/relationships/footnotes" Target="footnotes.xml"/><Relationship Id="rId95" Type="http://schemas.openxmlformats.org/officeDocument/2006/relationships/image" Target="media/image23.jpeg"/><Relationship Id="rId160" Type="http://schemas.openxmlformats.org/officeDocument/2006/relationships/hyperlink" Target="http://www.dep.state.fl.us/waste/categories/pcp/default.htm" TargetMode="External"/><Relationship Id="rId181" Type="http://schemas.openxmlformats.org/officeDocument/2006/relationships/hyperlink" Target="http://www.dep.state.fl.us/water/watersheds/swim.htm" TargetMode="External"/><Relationship Id="rId216" Type="http://schemas.openxmlformats.org/officeDocument/2006/relationships/hyperlink" Target="http://www.floridaagwaterpolicy.com/" TargetMode="External"/><Relationship Id="rId237" Type="http://schemas.openxmlformats.org/officeDocument/2006/relationships/hyperlink" Target="http://www.dep.state.fl.us/water/groundwater/delineate.htm" TargetMode="External"/><Relationship Id="rId258" Type="http://schemas.openxmlformats.org/officeDocument/2006/relationships/hyperlink" Target="http://esetappsdoh.doh.state.fl.us/irm00beachwater/default.aspx" TargetMode="External"/><Relationship Id="rId279" Type="http://schemas.openxmlformats.org/officeDocument/2006/relationships/hyperlink" Target="http://publicfiles.dep.state.fl.us/dear/labs/sas/library/docs/wet_herb.pdf" TargetMode="External"/><Relationship Id="rId22" Type="http://schemas.openxmlformats.org/officeDocument/2006/relationships/image" Target="media/image4.png"/><Relationship Id="rId43" Type="http://schemas.openxmlformats.org/officeDocument/2006/relationships/hyperlink" Target="http://www.dep.state.fl.us/water/wqssp/nutrients/" TargetMode="External"/><Relationship Id="rId64" Type="http://schemas.openxmlformats.org/officeDocument/2006/relationships/hyperlink" Target="http://publicfiles.dep.state.fl.us/dear/labs/sas/sopdoc/sci_final.pdf" TargetMode="External"/><Relationship Id="rId118" Type="http://schemas.openxmlformats.org/officeDocument/2006/relationships/image" Target="media/image41.jpeg"/><Relationship Id="rId139" Type="http://schemas.openxmlformats.org/officeDocument/2006/relationships/image" Target="media/image48.jpeg"/><Relationship Id="rId290" Type="http://schemas.openxmlformats.org/officeDocument/2006/relationships/hyperlink" Target="http://publicfiles.dep.state.fl.us/dear/labs/sas/library/docs/wet_stfp.pdf" TargetMode="External"/><Relationship Id="rId304" Type="http://schemas.openxmlformats.org/officeDocument/2006/relationships/hyperlink" Target="http://www.census.gov/compendia/statab/2010/tables/10s0014.pdf" TargetMode="External"/><Relationship Id="rId325" Type="http://schemas.openxmlformats.org/officeDocument/2006/relationships/footer" Target="footer6.xml"/><Relationship Id="rId85" Type="http://schemas.openxmlformats.org/officeDocument/2006/relationships/hyperlink" Target="http://www.dep.state.fl.us/waste/quick_topics/publications/documents/sediment/volume2.pdf" TargetMode="External"/><Relationship Id="rId150" Type="http://schemas.openxmlformats.org/officeDocument/2006/relationships/hyperlink" Target="http://www.dep.state.fl.us/water/drinkingwater/" TargetMode="External"/><Relationship Id="rId171" Type="http://schemas.openxmlformats.org/officeDocument/2006/relationships/hyperlink" Target="file:///C:\Espy_J\My%20Documents\305b%20Integrated%20reports\2010\._" TargetMode="External"/><Relationship Id="rId192" Type="http://schemas.openxmlformats.org/officeDocument/2006/relationships/hyperlink" Target="http://www.dep.state.fl.us/water/tmdl/index.htm" TargetMode="External"/><Relationship Id="rId206" Type="http://schemas.openxmlformats.org/officeDocument/2006/relationships/hyperlink" Target="http://www.dep.state.fl.us/springs/reports/files/UF_SpringsNutrients_Report.pdf" TargetMode="External"/><Relationship Id="rId227" Type="http://schemas.openxmlformats.org/officeDocument/2006/relationships/hyperlink" Target="http://www.floridasprings.org" TargetMode="External"/><Relationship Id="rId248" Type="http://schemas.openxmlformats.org/officeDocument/2006/relationships/hyperlink" Target="http://www.dep.state.fl.us/swapp/" TargetMode="External"/><Relationship Id="rId269" Type="http://schemas.openxmlformats.org/officeDocument/2006/relationships/hyperlink" Target="http://lakewatch.ifas.ufl.edu/circpdffolder/ABCsInt.pdf" TargetMode="External"/><Relationship Id="rId12" Type="http://schemas.openxmlformats.org/officeDocument/2006/relationships/hyperlink" Target="http://www.dep.state.fl.us/water/monitoring/basins.htm" TargetMode="External"/><Relationship Id="rId33" Type="http://schemas.openxmlformats.org/officeDocument/2006/relationships/hyperlink" Target="http://www.doh.state.fl.us/Environment/medicine/aquatic/index.html" TargetMode="External"/><Relationship Id="rId108" Type="http://schemas.openxmlformats.org/officeDocument/2006/relationships/image" Target="media/image31.jpeg"/><Relationship Id="rId129" Type="http://schemas.openxmlformats.org/officeDocument/2006/relationships/hyperlink" Target="http://www.envirobase.usgs.gov/" TargetMode="External"/><Relationship Id="rId280" Type="http://schemas.openxmlformats.org/officeDocument/2006/relationships/hyperlink" Target="http://www.dep.state.fl.us/water/monitoring/docs/seds/SQAGs_for_Florida_Inland_Waters_01_03.PDF" TargetMode="External"/><Relationship Id="rId315" Type="http://schemas.openxmlformats.org/officeDocument/2006/relationships/hyperlink" Target="http://www.epa.gov/storet/" TargetMode="External"/><Relationship Id="rId54" Type="http://schemas.openxmlformats.org/officeDocument/2006/relationships/hyperlink" Target="http://publicfiles.dep.state.fl.us/dear/labs/sas/sopdoc/sci_final.pdf" TargetMode="External"/><Relationship Id="rId75" Type="http://schemas.openxmlformats.org/officeDocument/2006/relationships/image" Target="media/image11.jpeg"/><Relationship Id="rId96" Type="http://schemas.openxmlformats.org/officeDocument/2006/relationships/header" Target="header3.xml"/><Relationship Id="rId140" Type="http://schemas.openxmlformats.org/officeDocument/2006/relationships/image" Target="media/image49.jpeg"/><Relationship Id="rId161" Type="http://schemas.openxmlformats.org/officeDocument/2006/relationships/hyperlink" Target="http://www.dep.state.fl.us/waste/categories/drycleaning/default.htm" TargetMode="External"/><Relationship Id="rId182" Type="http://schemas.openxmlformats.org/officeDocument/2006/relationships/hyperlink" Target="http://www.dep.state.fl.us/water/wastewater/permitting.htm" TargetMode="External"/><Relationship Id="rId217" Type="http://schemas.openxmlformats.org/officeDocument/2006/relationships/hyperlink" Target="http://publicfiles.dep.state.fl.us/FGS/FGS_Publications/FGS%20Library%20Documents/FLCoastSedContamAtlas.pdf" TargetMode="External"/><Relationship Id="rId6" Type="http://schemas.openxmlformats.org/officeDocument/2006/relationships/endnotes" Target="endnotes.xml"/><Relationship Id="rId238" Type="http://schemas.openxmlformats.org/officeDocument/2006/relationships/hyperlink" Target="http://www.dep.state.fl.us/water/drinkingwater/" TargetMode="External"/><Relationship Id="rId259" Type="http://schemas.openxmlformats.org/officeDocument/2006/relationships/hyperlink" Target="http://esetappsdoh.doh.state.fl.us/irm00beachwater/default.aspx" TargetMode="External"/><Relationship Id="rId23" Type="http://schemas.openxmlformats.org/officeDocument/2006/relationships/image" Target="media/image5.png"/><Relationship Id="rId119" Type="http://schemas.openxmlformats.org/officeDocument/2006/relationships/image" Target="media/image42.jpeg"/><Relationship Id="rId270" Type="http://schemas.openxmlformats.org/officeDocument/2006/relationships/hyperlink" Target="http://www.dep.state.fl.us/springs/reports/files/SpringsTaskForceReport.pdf" TargetMode="External"/><Relationship Id="rId291" Type="http://schemas.openxmlformats.org/officeDocument/2006/relationships/hyperlink" Target="http://www.dep.state.fl.us/WATER/monitoring/docs/seds/estuarine.pdf" TargetMode="External"/><Relationship Id="rId305" Type="http://schemas.openxmlformats.org/officeDocument/2006/relationships/hyperlink" Target="http://www.census.gov/compendia/statab/2010/tables/10s0016.pdf" TargetMode="External"/><Relationship Id="rId326" Type="http://schemas.openxmlformats.org/officeDocument/2006/relationships/footer" Target="footer7.xml"/><Relationship Id="rId44" Type="http://schemas.openxmlformats.org/officeDocument/2006/relationships/hyperlink" Target="http://edis.ifas.ufl.edu/pdffiles/SS/SS52800.pdf" TargetMode="External"/><Relationship Id="rId65" Type="http://schemas.openxmlformats.org/officeDocument/2006/relationships/hyperlink" Target="http://publicfiles.dep.state.fl.us/dear/labs/sas/sopdoc/lci_final.pdf" TargetMode="External"/><Relationship Id="rId86" Type="http://schemas.openxmlformats.org/officeDocument/2006/relationships/hyperlink" Target="http://www.dep.state.fl.us/WATER/monitoring/docs/seds/SQAGs_for_Florida_Inland_Waters_01_03.PDF" TargetMode="External"/><Relationship Id="rId130" Type="http://schemas.openxmlformats.org/officeDocument/2006/relationships/hyperlink" Target="http://www8.swfwmd.state.fl.us/WMIS/ResourceData/ExtDefault.aspx" TargetMode="External"/><Relationship Id="rId151" Type="http://schemas.openxmlformats.org/officeDocument/2006/relationships/header" Target="header7.xml"/><Relationship Id="rId172" Type="http://schemas.openxmlformats.org/officeDocument/2006/relationships/hyperlink" Target="ftp://ftp.dep.state.fl.us/pub/incoming/2010%20integrated%20report/Watershed%25%20Assessment%20Program" TargetMode="External"/><Relationship Id="rId193" Type="http://schemas.openxmlformats.org/officeDocument/2006/relationships/image" Target="media/image53.wmf"/><Relationship Id="rId207" Type="http://schemas.openxmlformats.org/officeDocument/2006/relationships/hyperlink" Target="http://www.dep.state.fl.us/water/monitoring/docs/seds/FFW_Metals_Report_Final.pdf" TargetMode="External"/><Relationship Id="rId228" Type="http://schemas.openxmlformats.org/officeDocument/2006/relationships/hyperlink" Target="http://www.dep.state.fl.us/water/drinkingwater/index.htm" TargetMode="External"/><Relationship Id="rId249" Type="http://schemas.openxmlformats.org/officeDocument/2006/relationships/hyperlink" Target="http://www.dep.state.fl.us/Water/wetlands/erp/rules/stormwater/index.htm" TargetMode="External"/><Relationship Id="rId13" Type="http://schemas.openxmlformats.org/officeDocument/2006/relationships/hyperlink" Target="http://www.flclimatechange.us/documents.cfm" TargetMode="External"/><Relationship Id="rId109" Type="http://schemas.openxmlformats.org/officeDocument/2006/relationships/image" Target="media/image32.jpeg"/><Relationship Id="rId260" Type="http://schemas.openxmlformats.org/officeDocument/2006/relationships/hyperlink" Target="http://esetappsdoh.doh.state.fl.us/irm00beachwater/history/hisintro.htm" TargetMode="External"/><Relationship Id="rId281" Type="http://schemas.openxmlformats.org/officeDocument/2006/relationships/hyperlink" Target="http://pubs.usgs.gov/sir/2009/5125/" TargetMode="External"/><Relationship Id="rId316" Type="http://schemas.openxmlformats.org/officeDocument/2006/relationships/hyperlink" Target="http://www.fws.gov/wetlands/StatusAndTrends/" TargetMode="External"/><Relationship Id="rId34" Type="http://schemas.openxmlformats.org/officeDocument/2006/relationships/hyperlink" Target="http://www.epa.gov/ogwdw000/ccl/ccl3.html" TargetMode="External"/><Relationship Id="rId55" Type="http://schemas.openxmlformats.org/officeDocument/2006/relationships/hyperlink" Target="http://publicfiles.dep.state.fl.us/dear/labs/sas/library/docs/wet_depf.pdf" TargetMode="External"/><Relationship Id="rId76" Type="http://schemas.openxmlformats.org/officeDocument/2006/relationships/image" Target="media/image12.jpeg"/><Relationship Id="rId97" Type="http://schemas.openxmlformats.org/officeDocument/2006/relationships/header" Target="header4.xml"/><Relationship Id="rId120" Type="http://schemas.openxmlformats.org/officeDocument/2006/relationships/image" Target="media/image43.jpeg"/><Relationship Id="rId141" Type="http://schemas.openxmlformats.org/officeDocument/2006/relationships/image" Target="media/image50.jpeg"/><Relationship Id="rId7" Type="http://schemas.openxmlformats.org/officeDocument/2006/relationships/image" Target="media/image1.png"/><Relationship Id="rId162" Type="http://schemas.openxmlformats.org/officeDocument/2006/relationships/hyperlink" Target="http://www.epa.gov/superfund/sites/npl/" TargetMode="External"/><Relationship Id="rId183" Type="http://schemas.openxmlformats.org/officeDocument/2006/relationships/hyperlink" Target="http://www.dep.state.fl.us/water/wastewater/permitting.htm" TargetMode="External"/><Relationship Id="rId218" Type="http://schemas.openxmlformats.org/officeDocument/2006/relationships/hyperlink" Target="http://www.dep.state.fl.us/water/docs/2004_Integrated_Report.pdf" TargetMode="External"/><Relationship Id="rId239" Type="http://schemas.openxmlformats.org/officeDocument/2006/relationships/hyperlink" Target="http://www.doh.state.fl.us/Environment/water/index.html" TargetMode="External"/><Relationship Id="rId250" Type="http://schemas.openxmlformats.org/officeDocument/2006/relationships/hyperlink" Target="http://www.dep.state.fl.us/water/storet/index.htm" TargetMode="External"/><Relationship Id="rId271" Type="http://schemas.openxmlformats.org/officeDocument/2006/relationships/hyperlink" Target="http://www.floridatrend.com/article.asp?aID=50744" TargetMode="External"/><Relationship Id="rId292" Type="http://schemas.openxmlformats.org/officeDocument/2006/relationships/hyperlink" Target="http://www.dep.state.fl.us/geology/geologictopics/springs/bulletin66.htm" TargetMode="External"/><Relationship Id="rId306" Type="http://schemas.openxmlformats.org/officeDocument/2006/relationships/hyperlink" Target="http://www.census.gov/compendia/statab/2010/tables/10s0018.pdf" TargetMode="External"/><Relationship Id="rId24" Type="http://schemas.openxmlformats.org/officeDocument/2006/relationships/hyperlink" Target="http://www.epa.gov/region4/water/watersheds/watershed_summaries.html" TargetMode="External"/><Relationship Id="rId45" Type="http://schemas.openxmlformats.org/officeDocument/2006/relationships/hyperlink" Target="http://www.dep.state.fl.us/Water/wetlands/erp/rules/stormwater/docs/ah_rule_draft_031710.pdf" TargetMode="External"/><Relationship Id="rId66" Type="http://schemas.openxmlformats.org/officeDocument/2006/relationships/hyperlink" Target="http://www.dep.state.fl.us/water/monitoring/fwseds.htm" TargetMode="External"/><Relationship Id="rId87" Type="http://schemas.openxmlformats.org/officeDocument/2006/relationships/hyperlink" Target="http://www.dep.state.fl.us/water/monitoring/sediments.htm" TargetMode="External"/><Relationship Id="rId110" Type="http://schemas.openxmlformats.org/officeDocument/2006/relationships/image" Target="media/image33.jpeg"/><Relationship Id="rId131" Type="http://schemas.openxmlformats.org/officeDocument/2006/relationships/hyperlink" Target="http://water.usgs.gov/" TargetMode="External"/><Relationship Id="rId327" Type="http://schemas.openxmlformats.org/officeDocument/2006/relationships/header" Target="header10.xml"/><Relationship Id="rId152" Type="http://schemas.openxmlformats.org/officeDocument/2006/relationships/footer" Target="footer4.xml"/><Relationship Id="rId173" Type="http://schemas.openxmlformats.org/officeDocument/2006/relationships/hyperlink" Target="http://www.dep.state.fl.us/legal/Rules/shared/62-303/62-303.pdf" TargetMode="External"/><Relationship Id="rId194" Type="http://schemas.openxmlformats.org/officeDocument/2006/relationships/oleObject" Target="embeddings/oleObject1.bin"/><Relationship Id="rId208" Type="http://schemas.openxmlformats.org/officeDocument/2006/relationships/hyperlink" Target="http://www.evergladesplan.org/index.aspx" TargetMode="External"/><Relationship Id="rId229" Type="http://schemas.openxmlformats.org/officeDocument/2006/relationships/hyperlink" Target="http://www.dep.state.fl.us/water/storet/index.htm" TargetMode="External"/><Relationship Id="rId240" Type="http://schemas.openxmlformats.org/officeDocument/2006/relationships/hyperlink" Target="http://www.dep.state.fl.us/water/drinkingwater/index.htm" TargetMode="External"/><Relationship Id="rId261" Type="http://schemas.openxmlformats.org/officeDocument/2006/relationships/hyperlink" Target="http://www.doh.state.fl.us/environment/community/fishconsumptionadvisories/index.html" TargetMode="External"/><Relationship Id="rId14" Type="http://schemas.openxmlformats.org/officeDocument/2006/relationships/image" Target="media/image2.emf"/><Relationship Id="rId30" Type="http://schemas.openxmlformats.org/officeDocument/2006/relationships/hyperlink" Target="http://www.doh.state.fl.us/environment/medicine/fishconsumptionadvisories/index.html" TargetMode="External"/><Relationship Id="rId35" Type="http://schemas.openxmlformats.org/officeDocument/2006/relationships/hyperlink" Target="http://research.myfwc.com/features/category_main.asp?id=2343" TargetMode="External"/><Relationship Id="rId56" Type="http://schemas.openxmlformats.org/officeDocument/2006/relationships/hyperlink" Target="http://publicfiles.dep.state.fl.us/dear/labs/sas/library/docs/wet_herb.pdf" TargetMode="External"/><Relationship Id="rId77" Type="http://schemas.openxmlformats.org/officeDocument/2006/relationships/image" Target="media/image13.jpeg"/><Relationship Id="rId100" Type="http://schemas.openxmlformats.org/officeDocument/2006/relationships/header" Target="header5.xml"/><Relationship Id="rId105" Type="http://schemas.openxmlformats.org/officeDocument/2006/relationships/image" Target="media/image28.jpeg"/><Relationship Id="rId126" Type="http://schemas.openxmlformats.org/officeDocument/2006/relationships/hyperlink" Target="http://www.dep.state.fl.us/legal/Rules/shared/62-303/62-303.pdf" TargetMode="External"/><Relationship Id="rId147" Type="http://schemas.openxmlformats.org/officeDocument/2006/relationships/hyperlink" Target="http://www.doh.state.fl.us/Environment/water/petroleum/saindex.html" TargetMode="External"/><Relationship Id="rId168" Type="http://schemas.openxmlformats.org/officeDocument/2006/relationships/hyperlink" Target="file:///C:\Espy_J\My%20Documents\305b%20Integrated%20reports\2010\:_" TargetMode="External"/><Relationship Id="rId282" Type="http://schemas.openxmlformats.org/officeDocument/2006/relationships/hyperlink" Target="http://tidesandcurrents.noaa.gov/hab/" TargetMode="External"/><Relationship Id="rId312" Type="http://schemas.openxmlformats.org/officeDocument/2006/relationships/hyperlink" Target="http://www.epa.gov/cwns/2004rtc/cwns2004rtc.pdf" TargetMode="External"/><Relationship Id="rId317" Type="http://schemas.openxmlformats.org/officeDocument/2006/relationships/hyperlink" Target="http://water.usgs.gov/" TargetMode="External"/><Relationship Id="rId8" Type="http://schemas.openxmlformats.org/officeDocument/2006/relationships/header" Target="header1.xml"/><Relationship Id="rId51" Type="http://schemas.openxmlformats.org/officeDocument/2006/relationships/hyperlink" Target="http://www.epa.gov/owow/monitoring/elements/" TargetMode="External"/><Relationship Id="rId72" Type="http://schemas.openxmlformats.org/officeDocument/2006/relationships/image" Target="media/image9.jpeg"/><Relationship Id="rId93" Type="http://schemas.openxmlformats.org/officeDocument/2006/relationships/image" Target="media/image21.jpeg"/><Relationship Id="rId98" Type="http://schemas.openxmlformats.org/officeDocument/2006/relationships/hyperlink" Target="http://www.dep.state.fl.us/water/monitoring/index.htm" TargetMode="External"/><Relationship Id="rId121" Type="http://schemas.openxmlformats.org/officeDocument/2006/relationships/image" Target="media/image44.jpeg"/><Relationship Id="rId142" Type="http://schemas.openxmlformats.org/officeDocument/2006/relationships/hyperlink" Target="http://www.dep.state.fl.us/WATER/monitoring/docs/seds/estuarine.pdf" TargetMode="External"/><Relationship Id="rId163" Type="http://schemas.openxmlformats.org/officeDocument/2006/relationships/hyperlink" Target="http://www.dep.state.fl.us/waste/categories/wc/pages/cleanup/default.htm" TargetMode="External"/><Relationship Id="rId184" Type="http://schemas.openxmlformats.org/officeDocument/2006/relationships/hyperlink" Target="http://www.dep.state.fl.us/water/nonpoint/" TargetMode="External"/><Relationship Id="rId189" Type="http://schemas.openxmlformats.org/officeDocument/2006/relationships/hyperlink" Target="http://www.stormwater.ucf.edu/" TargetMode="External"/><Relationship Id="rId219" Type="http://schemas.openxmlformats.org/officeDocument/2006/relationships/hyperlink" Target="http://www.dep.state.fl.us/water/tmdl/stat_rep.htm" TargetMode="External"/><Relationship Id="rId3" Type="http://schemas.openxmlformats.org/officeDocument/2006/relationships/settings" Target="settings.xml"/><Relationship Id="rId214" Type="http://schemas.openxmlformats.org/officeDocument/2006/relationships/hyperlink" Target="http://www.floridaaquaculture.com/SEAS/SEAS_intro.htm" TargetMode="External"/><Relationship Id="rId230" Type="http://schemas.openxmlformats.org/officeDocument/2006/relationships/hyperlink" Target="http://www.dep.state.fl.us/water/docs/2006_Integrated_Report.pdf" TargetMode="External"/><Relationship Id="rId235" Type="http://schemas.openxmlformats.org/officeDocument/2006/relationships/hyperlink" Target="http://www.dep.state.fl.us/water/bgalgae/index.htm" TargetMode="External"/><Relationship Id="rId251" Type="http://schemas.openxmlformats.org/officeDocument/2006/relationships/hyperlink" Target="http://www.dep.state.fl.us/water/tmdl/index.htm" TargetMode="External"/><Relationship Id="rId256" Type="http://schemas.openxmlformats.org/officeDocument/2006/relationships/hyperlink" Target="http://www.dep.state.fl.us/water/groundwater/wellhead.htm" TargetMode="External"/><Relationship Id="rId277" Type="http://schemas.openxmlformats.org/officeDocument/2006/relationships/hyperlink" Target="http://gulfofmexicoalliance.org/" TargetMode="External"/><Relationship Id="rId298" Type="http://schemas.openxmlformats.org/officeDocument/2006/relationships/hyperlink" Target="http://www.srwmd.state.fl.us/index.aspx?NID=151" TargetMode="External"/><Relationship Id="rId25" Type="http://schemas.openxmlformats.org/officeDocument/2006/relationships/hyperlink" Target="http://www.dep.state.fl.us/water/drinkingwater/index.htm" TargetMode="External"/><Relationship Id="rId46" Type="http://schemas.openxmlformats.org/officeDocument/2006/relationships/hyperlink" Target="http://www.dep.state.fl.us/Water/wetlands/erp/rules/stormwater/index.htm" TargetMode="External"/><Relationship Id="rId67" Type="http://schemas.openxmlformats.org/officeDocument/2006/relationships/hyperlink" Target="http://www.dep.state.fl.us/water/monitoring/docs/seds/SQAGs_for_Florida_Inland_Waters_01_03.PDF" TargetMode="External"/><Relationship Id="rId116" Type="http://schemas.openxmlformats.org/officeDocument/2006/relationships/image" Target="media/image39.jpeg"/><Relationship Id="rId137" Type="http://schemas.openxmlformats.org/officeDocument/2006/relationships/hyperlink" Target="https://www.flrules.org/Default.asp" TargetMode="External"/><Relationship Id="rId158" Type="http://schemas.openxmlformats.org/officeDocument/2006/relationships/hyperlink" Target="http://www.swfwmd.state.fl.us/" TargetMode="External"/><Relationship Id="rId272" Type="http://schemas.openxmlformats.org/officeDocument/2006/relationships/hyperlink" Target="http://publicfiles.dep.state.fl.us/dear/labs/sas/sopdoc/sci_final.pdf" TargetMode="External"/><Relationship Id="rId293" Type="http://schemas.openxmlformats.org/officeDocument/2006/relationships/hyperlink" Target="http://publicfiles.dep.state.fl.us/FGS/FGS_Publications/FGS%20Library%20Documents/FLCoastSedContamAtlas.pdf" TargetMode="External"/><Relationship Id="rId302" Type="http://schemas.openxmlformats.org/officeDocument/2006/relationships/hyperlink" Target="http://hsc.usf.edu/publichealth/EOH/BRACE/" TargetMode="External"/><Relationship Id="rId307" Type="http://schemas.openxmlformats.org/officeDocument/2006/relationships/hyperlink" Target="http://www.epa.gov/owow/TMDL/2002wqma.html" TargetMode="External"/><Relationship Id="rId323" Type="http://schemas.openxmlformats.org/officeDocument/2006/relationships/hyperlink" Target="http://www.greenwaterlab.com/newsite/articles/Assessment%20of%20Cyanotoxins%202001.pdf" TargetMode="External"/><Relationship Id="rId328" Type="http://schemas.openxmlformats.org/officeDocument/2006/relationships/fontTable" Target="fontTable.xml"/><Relationship Id="rId20" Type="http://schemas.openxmlformats.org/officeDocument/2006/relationships/hyperlink" Target="http://www.sfwmd.gov/portal/page/portal/levelthree/americas%20everglades" TargetMode="External"/><Relationship Id="rId41" Type="http://schemas.openxmlformats.org/officeDocument/2006/relationships/hyperlink" Target="http://habsos.noaa.gov/gis-mapping" TargetMode="External"/><Relationship Id="rId62" Type="http://schemas.openxmlformats.org/officeDocument/2006/relationships/hyperlink" Target="http://www.epa.gov/emap/" TargetMode="External"/><Relationship Id="rId83" Type="http://schemas.openxmlformats.org/officeDocument/2006/relationships/hyperlink" Target="http://www.dep.state.fl.us/water/monitoring/docs/seds/estuarine.pdf" TargetMode="External"/><Relationship Id="rId88" Type="http://schemas.openxmlformats.org/officeDocument/2006/relationships/image" Target="media/image18.jpeg"/><Relationship Id="rId111" Type="http://schemas.openxmlformats.org/officeDocument/2006/relationships/image" Target="media/image34.jpeg"/><Relationship Id="rId132" Type="http://schemas.openxmlformats.org/officeDocument/2006/relationships/hyperlink" Target="http://lakewatch.ifas.ufl.edu/" TargetMode="External"/><Relationship Id="rId153" Type="http://schemas.openxmlformats.org/officeDocument/2006/relationships/footer" Target="footer5.xml"/><Relationship Id="rId174" Type="http://schemas.openxmlformats.org/officeDocument/2006/relationships/hyperlink" Target="http://www.floridaagwaterpolicy.com/" TargetMode="External"/><Relationship Id="rId179" Type="http://schemas.openxmlformats.org/officeDocument/2006/relationships/hyperlink" Target="https://www.flrules.org/Default.asp" TargetMode="External"/><Relationship Id="rId195" Type="http://schemas.openxmlformats.org/officeDocument/2006/relationships/hyperlink" Target="http://if-srvv-edis.ifas.ufl.edu/topic_fyn" TargetMode="External"/><Relationship Id="rId209" Type="http://schemas.openxmlformats.org/officeDocument/2006/relationships/hyperlink" Target="http://ufdcweb1.uflib.ufl.edu/ufdc/?b=UF00095137&amp;v=00001" TargetMode="External"/><Relationship Id="rId190" Type="http://schemas.openxmlformats.org/officeDocument/2006/relationships/hyperlink" Target="http://www.dep.state.fl.us/water/nonpoint/agsrc.htm" TargetMode="External"/><Relationship Id="rId204" Type="http://schemas.openxmlformats.org/officeDocument/2006/relationships/hyperlink" Target="http://hsc.usf.edu/publichealth/EOH/BRACE/" TargetMode="External"/><Relationship Id="rId220" Type="http://schemas.openxmlformats.org/officeDocument/2006/relationships/hyperlink" Target="http://www.dep.state.fl.us/water/tmdl/docs/AmendedIWR.pdf" TargetMode="External"/><Relationship Id="rId225" Type="http://schemas.openxmlformats.org/officeDocument/2006/relationships/hyperlink" Target="http://www.dep.state.fl.us/labs/mercury/index.htm" TargetMode="External"/><Relationship Id="rId241" Type="http://schemas.openxmlformats.org/officeDocument/2006/relationships/hyperlink" Target="http://www.dep.state.fl.us/water/esoc.htm" TargetMode="External"/><Relationship Id="rId246" Type="http://schemas.openxmlformats.org/officeDocument/2006/relationships/hyperlink" Target="http://www.dep.state.fl.us/water/wqssp/nutrients/index.htm" TargetMode="External"/><Relationship Id="rId267" Type="http://schemas.openxmlformats.org/officeDocument/2006/relationships/hyperlink" Target="http://research.myfwc.com/features/category_main.asp?id=2343" TargetMode="External"/><Relationship Id="rId288" Type="http://schemas.openxmlformats.org/officeDocument/2006/relationships/hyperlink" Target="http://www.doh.state.fl.us/environment/community/%20aquatic/pdfs/Cyanobacteria_200208.pdf" TargetMode="External"/><Relationship Id="rId15" Type="http://schemas.openxmlformats.org/officeDocument/2006/relationships/image" Target="media/image3.emf"/><Relationship Id="rId36" Type="http://schemas.openxmlformats.org/officeDocument/2006/relationships/hyperlink" Target="ftp://ftp.dep.state.fl.us/pub/incoming/2010%20integrated%20report/A%20Strategic%20Implementation%20Plan%20for%20Florida%20COOS:" TargetMode="External"/><Relationship Id="rId57" Type="http://schemas.openxmlformats.org/officeDocument/2006/relationships/hyperlink" Target="http://publicfiles.dep.state.fl.us/dear/labs/sas/library/docs/wet_stfp.pdf" TargetMode="External"/><Relationship Id="rId106" Type="http://schemas.openxmlformats.org/officeDocument/2006/relationships/image" Target="media/image29.jpeg"/><Relationship Id="rId127" Type="http://schemas.openxmlformats.org/officeDocument/2006/relationships/hyperlink" Target="http://www.dep.state.fl.us/water/storet/index.htm" TargetMode="External"/><Relationship Id="rId262" Type="http://schemas.openxmlformats.org/officeDocument/2006/relationships/hyperlink" Target="http://esetappsdoh.doh.state.fl.us/irm00beachwater/terms.htm" TargetMode="External"/><Relationship Id="rId283" Type="http://schemas.openxmlformats.org/officeDocument/2006/relationships/hyperlink" Target="http://www.nrdc.org/water/oceans/florida/flfuture.pdf" TargetMode="External"/><Relationship Id="rId313" Type="http://schemas.openxmlformats.org/officeDocument/2006/relationships/hyperlink" Target="http://www.epa.gov/ogwdw000/ccl/ccl3.html" TargetMode="External"/><Relationship Id="rId318" Type="http://schemas.openxmlformats.org/officeDocument/2006/relationships/hyperlink" Target="http://fl.water.usgs.gov/WaterUse/Historical_Tables_Miscellaneous/florida-historical-category.1970-2000.htm" TargetMode="External"/><Relationship Id="rId10" Type="http://schemas.openxmlformats.org/officeDocument/2006/relationships/footer" Target="footer2.xml"/><Relationship Id="rId31" Type="http://schemas.openxmlformats.org/officeDocument/2006/relationships/hyperlink" Target="http://www.floridaaquaculture.com/SEAS/SEAS_intro.htm" TargetMode="External"/><Relationship Id="rId52" Type="http://schemas.openxmlformats.org/officeDocument/2006/relationships/hyperlink" Target="http://www.dep.state.fl.us/water/monitoring/docs/MonitoringStrategy_106.pdf" TargetMode="External"/><Relationship Id="rId73" Type="http://schemas.openxmlformats.org/officeDocument/2006/relationships/hyperlink" Target="http://www.dep.state.fl.us/water/monitoring/basins.htm" TargetMode="External"/><Relationship Id="rId78" Type="http://schemas.openxmlformats.org/officeDocument/2006/relationships/image" Target="media/image14.jpeg"/><Relationship Id="rId94" Type="http://schemas.openxmlformats.org/officeDocument/2006/relationships/image" Target="media/image22.png"/><Relationship Id="rId99" Type="http://schemas.openxmlformats.org/officeDocument/2006/relationships/image" Target="media/image24.jpeg"/><Relationship Id="rId101" Type="http://schemas.openxmlformats.org/officeDocument/2006/relationships/header" Target="header6.xml"/><Relationship Id="rId122" Type="http://schemas.openxmlformats.org/officeDocument/2006/relationships/image" Target="media/image45.jpeg"/><Relationship Id="rId143" Type="http://schemas.openxmlformats.org/officeDocument/2006/relationships/hyperlink" Target="http://www.dep.state.fl.us/WATER/monitoring/docs/seds/SQAGs_for_Florida_Inland_Waters_01_03.PDF" TargetMode="External"/><Relationship Id="rId148" Type="http://schemas.openxmlformats.org/officeDocument/2006/relationships/hyperlink" Target="http://www.doh.state.fl.us/Environment/water/index.html" TargetMode="External"/><Relationship Id="rId164" Type="http://schemas.openxmlformats.org/officeDocument/2006/relationships/hyperlink" Target="http://www.dep.state.fl.us/water/nonpoint/agsrc.htm" TargetMode="External"/><Relationship Id="rId169" Type="http://schemas.openxmlformats.org/officeDocument/2006/relationships/hyperlink" Target="file:///C:\Espy_J\My%20Documents\305b%20Integrated%20reports\2010\._" TargetMode="External"/><Relationship Id="rId185" Type="http://schemas.openxmlformats.org/officeDocument/2006/relationships/hyperlink" Target="http://www.floridaagwaterpolicy.com/" TargetMode="External"/><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hyperlink" Target="http://www.dep.state.fl.us/water/watersheds/assessment/index.htm" TargetMode="External"/><Relationship Id="rId210" Type="http://schemas.openxmlformats.org/officeDocument/2006/relationships/hyperlink" Target="http://www.fws.gov/wetlands/_documents/gSandT/NationalReports/WetlandsLossesUS1780sto1980s.pdf" TargetMode="External"/><Relationship Id="rId215" Type="http://schemas.openxmlformats.org/officeDocument/2006/relationships/hyperlink" Target="http://www.floridaaquaculture.com/RedTide/RedTideInfo.htm" TargetMode="External"/><Relationship Id="rId236" Type="http://schemas.openxmlformats.org/officeDocument/2006/relationships/hyperlink" Target="http://www.dep.state.fl.us/waste/categories/pss/default.htm" TargetMode="External"/><Relationship Id="rId257" Type="http://schemas.openxmlformats.org/officeDocument/2006/relationships/hyperlink" Target="http://www.doh.state.fl.us/Environment/medicine/aquatic/index.html" TargetMode="External"/><Relationship Id="rId278" Type="http://schemas.openxmlformats.org/officeDocument/2006/relationships/hyperlink" Target="http://publicfiles.dep.state.fl.us/DEAR/BMAP/Wekiva/Reports&amp;ReferenceDocuments/FDEP2008SpringsReport/2008FDEPSpringsDataReport_final.pdf" TargetMode="External"/><Relationship Id="rId26" Type="http://schemas.openxmlformats.org/officeDocument/2006/relationships/hyperlink" Target="http://www.doh.state.fl.us/environment/water/index.html" TargetMode="External"/><Relationship Id="rId231" Type="http://schemas.openxmlformats.org/officeDocument/2006/relationships/hyperlink" Target="http://www.dep.state.fl.us/water/wqssp/docs/CanalRechargeReport.pdf" TargetMode="External"/><Relationship Id="rId252" Type="http://schemas.openxmlformats.org/officeDocument/2006/relationships/hyperlink" Target="http://www.dep.state.fl.us/water/uic/" TargetMode="External"/><Relationship Id="rId273" Type="http://schemas.openxmlformats.org/officeDocument/2006/relationships/hyperlink" Target="http://www.fws.gov/wetlands/_documents/gSandT/StateRegionalReports/FloridaWetlandsStatusTrends1970sto1980s.pdf" TargetMode="External"/><Relationship Id="rId294" Type="http://schemas.openxmlformats.org/officeDocument/2006/relationships/hyperlink" Target="http://www.sfwmd.gov/portal/page/portal/sfwmdmain/home%20page" TargetMode="External"/><Relationship Id="rId308" Type="http://schemas.openxmlformats.org/officeDocument/2006/relationships/hyperlink" Target="http://www.epa.gov/owow/monitoring/elements/" TargetMode="External"/><Relationship Id="rId329" Type="http://schemas.openxmlformats.org/officeDocument/2006/relationships/theme" Target="theme/theme1.xml"/><Relationship Id="rId47" Type="http://schemas.openxmlformats.org/officeDocument/2006/relationships/hyperlink" Target="http://www.dep.state.fl.us/water/esoc.htm" TargetMode="External"/><Relationship Id="rId68" Type="http://schemas.openxmlformats.org/officeDocument/2006/relationships/hyperlink" Target="http://www.dep.state.fl.us/water/monitoring/docs/design_document_final_12_09_09.pdf" TargetMode="External"/><Relationship Id="rId89" Type="http://schemas.openxmlformats.org/officeDocument/2006/relationships/image" Target="media/image19.jpeg"/><Relationship Id="rId112" Type="http://schemas.openxmlformats.org/officeDocument/2006/relationships/image" Target="media/image35.jpeg"/><Relationship Id="rId133" Type="http://schemas.openxmlformats.org/officeDocument/2006/relationships/image" Target="media/image47.png"/><Relationship Id="rId154" Type="http://schemas.openxmlformats.org/officeDocument/2006/relationships/header" Target="header8.xml"/><Relationship Id="rId175" Type="http://schemas.openxmlformats.org/officeDocument/2006/relationships/hyperlink" Target="https://www.flrules.org/Default.asp" TargetMode="External"/><Relationship Id="rId196" Type="http://schemas.openxmlformats.org/officeDocument/2006/relationships/hyperlink" Target="http://fyn.ifas.ufl.edu/professionals/BMP_overview.htm" TargetMode="External"/><Relationship Id="rId200" Type="http://schemas.openxmlformats.org/officeDocument/2006/relationships/hyperlink" Target="http://research.myfwc.com/engine/download_redirection_process.asp?file=TR_14screen.pdf&amp;objid=20125&amp;dltype=article" TargetMode="External"/><Relationship Id="rId16" Type="http://schemas.openxmlformats.org/officeDocument/2006/relationships/hyperlink" Target="http://www.srwmd.state.fl.us/" TargetMode="External"/><Relationship Id="rId221" Type="http://schemas.openxmlformats.org/officeDocument/2006/relationships/hyperlink" Target="http://www.dep.state.fl.us/water/monitoring/fwseds.htm" TargetMode="External"/><Relationship Id="rId242" Type="http://schemas.openxmlformats.org/officeDocument/2006/relationships/hyperlink" Target="http://www.floridasprings.org/" TargetMode="External"/><Relationship Id="rId263" Type="http://schemas.openxmlformats.org/officeDocument/2006/relationships/hyperlink" Target="http://www.doh.state.fl.us/Environment/water/petroleum/saindex.html" TargetMode="External"/><Relationship Id="rId284" Type="http://schemas.openxmlformats.org/officeDocument/2006/relationships/hyperlink" Target="http://www.netstate.com/states/intro/fl_intro.htm" TargetMode="External"/><Relationship Id="rId319" Type="http://schemas.openxmlformats.org/officeDocument/2006/relationships/hyperlink" Target="http://www.envirobase.usgs.gov/" TargetMode="External"/><Relationship Id="rId37" Type="http://schemas.openxmlformats.org/officeDocument/2006/relationships/hyperlink" Target="http://gulfofmexicoalliance.org/" TargetMode="External"/><Relationship Id="rId58" Type="http://schemas.openxmlformats.org/officeDocument/2006/relationships/hyperlink" Target="http://www.epa.gov/owow/TMDL/2002wqma.html" TargetMode="External"/><Relationship Id="rId79" Type="http://schemas.openxmlformats.org/officeDocument/2006/relationships/image" Target="media/image15.jpeg"/><Relationship Id="rId102" Type="http://schemas.openxmlformats.org/officeDocument/2006/relationships/image" Target="media/image25.png"/><Relationship Id="rId123" Type="http://schemas.openxmlformats.org/officeDocument/2006/relationships/image" Target="media/image46.jpeg"/><Relationship Id="rId144" Type="http://schemas.openxmlformats.org/officeDocument/2006/relationships/hyperlink" Target="http://research.myfwc.com/features/category_sub.asp?id=3448" TargetMode="External"/><Relationship Id="rId90" Type="http://schemas.openxmlformats.org/officeDocument/2006/relationships/hyperlink" Target="http://www.dep.state.fl.us/water/monitoring/index.htm" TargetMode="External"/><Relationship Id="rId165" Type="http://schemas.openxmlformats.org/officeDocument/2006/relationships/image" Target="media/image51.png"/><Relationship Id="rId186" Type="http://schemas.openxmlformats.org/officeDocument/2006/relationships/hyperlink" Target="http://www.dep.state.fl.us/water/nonpoint/index.htm" TargetMode="External"/><Relationship Id="rId211" Type="http://schemas.openxmlformats.org/officeDocument/2006/relationships/hyperlink" Target="http://www.fws.gov/wetlands/_documents/gSandT/StateRegionalReports/FloridasWetlandsUpdateStatusTrends1985to1996.pdf" TargetMode="External"/><Relationship Id="rId232" Type="http://schemas.openxmlformats.org/officeDocument/2006/relationships/hyperlink" Target="http://dep.state.fl.us/water/tmdl/docs/tmdls/merc-tmdl-plan-draft.pdf" TargetMode="External"/><Relationship Id="rId253" Type="http://schemas.openxmlformats.org/officeDocument/2006/relationships/hyperlink" Target="http://www.dep.state.fl.us/water/wff/wsupply/" TargetMode="External"/><Relationship Id="rId274" Type="http://schemas.openxmlformats.org/officeDocument/2006/relationships/hyperlink" Target="https://my.sfwmd.gov/portal/page/portal/pg_grp_sfwmd_sfer/portlet_sfer/tab2236037/2010%20report/v1/chapters/v1_ch3B.pdf" TargetMode="External"/><Relationship Id="rId295" Type="http://schemas.openxmlformats.org/officeDocument/2006/relationships/hyperlink" Target="https://my.sfwmd.gov/portal/page/portal/pg_grp_sfwmd_watershed/subtabs_evergladesflbay_home/tab1834093/flbayalgalbloom.pdf" TargetMode="External"/><Relationship Id="rId309" Type="http://schemas.openxmlformats.org/officeDocument/2006/relationships/hyperlink" Target="http://www.epa.gov/wed/pages/ecoregions/fl_eco.htm" TargetMode="External"/><Relationship Id="rId27" Type="http://schemas.openxmlformats.org/officeDocument/2006/relationships/hyperlink" Target="http://esetappsdoh.doh.state.fl.us/irm00beachwater/terms.htm" TargetMode="External"/><Relationship Id="rId48" Type="http://schemas.openxmlformats.org/officeDocument/2006/relationships/hyperlink" Target="http://www.dep.state.fl.us/water/storet/index.htm" TargetMode="External"/><Relationship Id="rId69" Type="http://schemas.openxmlformats.org/officeDocument/2006/relationships/hyperlink" Target="http://www.dep.state.fl.us/water/monitoring/docs/design_document_final_12_09_09.pdf" TargetMode="External"/><Relationship Id="rId113" Type="http://schemas.openxmlformats.org/officeDocument/2006/relationships/image" Target="media/image36.jpeg"/><Relationship Id="rId134" Type="http://schemas.openxmlformats.org/officeDocument/2006/relationships/hyperlink" Target="http://www.dep.state.fl.us/water/tmdl/index.htm" TargetMode="External"/><Relationship Id="rId320" Type="http://schemas.openxmlformats.org/officeDocument/2006/relationships/hyperlink" Target="http://www.floridatrend.com/article.asp?id=5795" TargetMode="External"/><Relationship Id="rId80" Type="http://schemas.openxmlformats.org/officeDocument/2006/relationships/image" Target="media/image16.jpeg"/><Relationship Id="rId155" Type="http://schemas.openxmlformats.org/officeDocument/2006/relationships/chart" Target="charts/chart1.xml"/><Relationship Id="rId176" Type="http://schemas.openxmlformats.org/officeDocument/2006/relationships/hyperlink" Target="http://www.dep.state.fl.us/water/watersheds/assessment/index.htm" TargetMode="External"/><Relationship Id="rId197" Type="http://schemas.openxmlformats.org/officeDocument/2006/relationships/hyperlink" Target="http://www.epa.gov/owm/mtb/cwns/2004rtc/toc.htm" TargetMode="External"/><Relationship Id="rId201" Type="http://schemas.openxmlformats.org/officeDocument/2006/relationships/hyperlink" Target="http://www.stateofflorida.com/Portal/DesktopDefault.aspx?tabid=95" TargetMode="External"/><Relationship Id="rId222" Type="http://schemas.openxmlformats.org/officeDocument/2006/relationships/hyperlink" Target="http://www.dep.state.fl.us/water/docs/2004_Integrated_Report.pdf" TargetMode="External"/><Relationship Id="rId243" Type="http://schemas.openxmlformats.org/officeDocument/2006/relationships/hyperlink" Target="http://www.dep.state.fl.us/secretary/designateduse.htm" TargetMode="External"/><Relationship Id="rId264" Type="http://schemas.openxmlformats.org/officeDocument/2006/relationships/hyperlink" Target="http://www.doh.state.fl.us/environment/water/index.html" TargetMode="External"/><Relationship Id="rId285" Type="http://schemas.openxmlformats.org/officeDocument/2006/relationships/hyperlink" Target="http://www.dep.state.fl.us/water/wetlands/docs/erp/nwerp_brochure.pdf" TargetMode="External"/><Relationship Id="rId17" Type="http://schemas.openxmlformats.org/officeDocument/2006/relationships/hyperlink" Target="http://www.sfwmd.gov/portal/page/portal/levelthree/kissimmee%20river" TargetMode="External"/><Relationship Id="rId38" Type="http://schemas.openxmlformats.org/officeDocument/2006/relationships/hyperlink" Target="http://research.myfwc.com/features/view_article.asp?id=27095" TargetMode="External"/><Relationship Id="rId59" Type="http://schemas.openxmlformats.org/officeDocument/2006/relationships/hyperlink" Target="http://www.dep.state.fl.us/water/monitoring/status.htm" TargetMode="External"/><Relationship Id="rId103" Type="http://schemas.openxmlformats.org/officeDocument/2006/relationships/image" Target="media/image26.png"/><Relationship Id="rId124" Type="http://schemas.openxmlformats.org/officeDocument/2006/relationships/hyperlink" Target="ftp://ftp.dep.state.fl.us/pub/incoming/2010%20integrated%20report/Watershed%20Assessment%20Program" TargetMode="External"/><Relationship Id="rId310" Type="http://schemas.openxmlformats.org/officeDocument/2006/relationships/hyperlink" Target="http://www.epa.gov/region4/water/tmdl/florida/" TargetMode="External"/><Relationship Id="rId70" Type="http://schemas.openxmlformats.org/officeDocument/2006/relationships/image" Target="media/image7.jpeg"/><Relationship Id="rId91" Type="http://schemas.openxmlformats.org/officeDocument/2006/relationships/hyperlink" Target="http://www.dep.state.fl.us/water/monitoring/basins.htm" TargetMode="External"/><Relationship Id="rId145" Type="http://schemas.openxmlformats.org/officeDocument/2006/relationships/hyperlink" Target="http://www.dep.state.fl.us/water/monitoring/index.htm" TargetMode="External"/><Relationship Id="rId166" Type="http://schemas.openxmlformats.org/officeDocument/2006/relationships/image" Target="media/image52.png"/><Relationship Id="rId187" Type="http://schemas.openxmlformats.org/officeDocument/2006/relationships/hyperlink" Target="http://www.dep.state.fl.us/water/nonpoint/index.htm" TargetMode="External"/><Relationship Id="rId1" Type="http://schemas.openxmlformats.org/officeDocument/2006/relationships/numbering" Target="numbering.xml"/><Relationship Id="rId212" Type="http://schemas.openxmlformats.org/officeDocument/2006/relationships/hyperlink" Target="http://iodeweb1.vliz.be/odin/bitstream/1834/758/1/Lora%20E5.pdf" TargetMode="External"/><Relationship Id="rId233" Type="http://schemas.openxmlformats.org/officeDocument/2006/relationships/hyperlink" Target="http://www.dep.state.fl.us/water/docs/2008_Integrated_Report.pdf" TargetMode="External"/><Relationship Id="rId254" Type="http://schemas.openxmlformats.org/officeDocument/2006/relationships/hyperlink" Target="http://www.dep.state.fl.us/water/watersheds/assessment/index.htm" TargetMode="External"/><Relationship Id="rId28" Type="http://schemas.openxmlformats.org/officeDocument/2006/relationships/hyperlink" Target="http://esetappsdoh.doh.state.fl.us/irm00beachwater/default.aspx" TargetMode="External"/><Relationship Id="rId49" Type="http://schemas.openxmlformats.org/officeDocument/2006/relationships/hyperlink" Target="http://www.epa.gov/storet/" TargetMode="External"/><Relationship Id="rId114" Type="http://schemas.openxmlformats.org/officeDocument/2006/relationships/image" Target="media/image37.jpeg"/><Relationship Id="rId275" Type="http://schemas.openxmlformats.org/officeDocument/2006/relationships/hyperlink" Target="http://www.dep.state.fl.us/water/tmdl/docs/tmdls/final/gp2/Wekiva_MainStem04182008.pdf" TargetMode="External"/><Relationship Id="rId296" Type="http://schemas.openxmlformats.org/officeDocument/2006/relationships/hyperlink" Target="http://research.myfwc.com/features/view_article.asp?id=26925" TargetMode="External"/><Relationship Id="rId300" Type="http://schemas.openxmlformats.org/officeDocument/2006/relationships/hyperlink" Target="http://edis.ifas.ufl.edu/pdffiles/SS/SS52800.pdf" TargetMode="External"/><Relationship Id="rId60" Type="http://schemas.openxmlformats.org/officeDocument/2006/relationships/hyperlink" Target="http://www.dep.state.fl.us/water/monitoring/trend.htm" TargetMode="External"/><Relationship Id="rId81" Type="http://schemas.openxmlformats.org/officeDocument/2006/relationships/image" Target="media/image17.jpeg"/><Relationship Id="rId135" Type="http://schemas.openxmlformats.org/officeDocument/2006/relationships/hyperlink" Target="http://www.dep.state.fl.us/water/watersheds/assessment/index.htm" TargetMode="External"/><Relationship Id="rId156" Type="http://schemas.openxmlformats.org/officeDocument/2006/relationships/hyperlink" Target="http://www.dep.state.fl.us/water/monitoring/index.htm" TargetMode="External"/><Relationship Id="rId177" Type="http://schemas.openxmlformats.org/officeDocument/2006/relationships/hyperlink" Target="http://www.dep.state.fl.us/water/watersheds/bmap.htm" TargetMode="External"/><Relationship Id="rId198" Type="http://schemas.openxmlformats.org/officeDocument/2006/relationships/hyperlink" Target="http://www.evergladesplan.org/index.aspx" TargetMode="External"/><Relationship Id="rId321" Type="http://schemas.openxmlformats.org/officeDocument/2006/relationships/hyperlink" Target="http://www.wqa.org/glossary.cfm?gl=1146" TargetMode="External"/><Relationship Id="rId202" Type="http://schemas.openxmlformats.org/officeDocument/2006/relationships/hyperlink" Target="http://www.americasroof.com/highest/fl.shtml" TargetMode="External"/><Relationship Id="rId223" Type="http://schemas.openxmlformats.org/officeDocument/2006/relationships/hyperlink" Target="http://www.dep.state.fl.us/labs/qa/qadocument.htm" TargetMode="External"/><Relationship Id="rId244" Type="http://schemas.openxmlformats.org/officeDocument/2006/relationships/hyperlink" Target="http://www.dep.state.fl.us/WATER/monitoring/fwseds.htm" TargetMode="External"/><Relationship Id="rId18" Type="http://schemas.openxmlformats.org/officeDocument/2006/relationships/hyperlink" Target="http://lakewatch.ifas.ufl.edu/" TargetMode="External"/><Relationship Id="rId39" Type="http://schemas.openxmlformats.org/officeDocument/2006/relationships/hyperlink" Target="http://research.myfwc.com/" TargetMode="External"/><Relationship Id="rId265" Type="http://schemas.openxmlformats.org/officeDocument/2006/relationships/hyperlink" Target="http://research.myfwc.com/" TargetMode="External"/><Relationship Id="rId286" Type="http://schemas.openxmlformats.org/officeDocument/2006/relationships/hyperlink" Target="http://edis.ifas.ufl.edu/pdffiles/SS/SS52800.pdf" TargetMode="External"/><Relationship Id="rId50" Type="http://schemas.openxmlformats.org/officeDocument/2006/relationships/hyperlink" Target="http://www.dep.state.fl.us/water/monitoring/index.htm" TargetMode="External"/><Relationship Id="rId104" Type="http://schemas.openxmlformats.org/officeDocument/2006/relationships/image" Target="media/image27.jpeg"/><Relationship Id="rId125" Type="http://schemas.openxmlformats.org/officeDocument/2006/relationships/hyperlink" Target="http://www.dep.state.fl.us/water/tmdl/index.htm" TargetMode="External"/><Relationship Id="rId146" Type="http://schemas.openxmlformats.org/officeDocument/2006/relationships/hyperlink" Target="http://www.dep.state.fl.us/springs/" TargetMode="External"/><Relationship Id="rId167" Type="http://schemas.openxmlformats.org/officeDocument/2006/relationships/hyperlink" Target="file:///C:\Espy_J\My%20Documents\305b%20Integrated%20reports\2010\._" TargetMode="External"/><Relationship Id="rId188" Type="http://schemas.openxmlformats.org/officeDocument/2006/relationships/hyperlink" Target="http://www.dep.state.fl.us/water/nonpoint/index.htm" TargetMode="External"/><Relationship Id="rId311" Type="http://schemas.openxmlformats.org/officeDocument/2006/relationships/hyperlink" Target="http://www.epa.gov/storet/" TargetMode="External"/><Relationship Id="rId71" Type="http://schemas.openxmlformats.org/officeDocument/2006/relationships/image" Target="media/image8.png"/><Relationship Id="rId92" Type="http://schemas.openxmlformats.org/officeDocument/2006/relationships/image" Target="media/image20.png"/><Relationship Id="rId213" Type="http://schemas.openxmlformats.org/officeDocument/2006/relationships/hyperlink" Target="https://www.flrules.org/gateway/ChapterHome.asp?Chapter=5E-1" TargetMode="External"/><Relationship Id="rId234" Type="http://schemas.openxmlformats.org/officeDocument/2006/relationships/hyperlink" Target="http://www.dep.state.fl.us/labs/qa/sops.htm" TargetMode="External"/><Relationship Id="rId2" Type="http://schemas.openxmlformats.org/officeDocument/2006/relationships/styles" Target="styles.xml"/><Relationship Id="rId29" Type="http://schemas.openxmlformats.org/officeDocument/2006/relationships/hyperlink" Target="http://www.dep.state.fl.us/labs/bars/sas/mercury/index.htm" TargetMode="External"/><Relationship Id="rId255" Type="http://schemas.openxmlformats.org/officeDocument/2006/relationships/hyperlink" Target="http://www.dep.state.fl.us/water/monitoring/basins.htm" TargetMode="External"/><Relationship Id="rId276" Type="http://schemas.openxmlformats.org/officeDocument/2006/relationships/hyperlink" Target="http://publicfiles.dep.state.fl.us/dear/labs/sas/sopdoc/lci_final.pdf" TargetMode="External"/><Relationship Id="rId297" Type="http://schemas.openxmlformats.org/officeDocument/2006/relationships/hyperlink" Target="http://publicfiles.dep.state.fl.us/dear/labs/sas/library/docs/springs/synthesisreport.pdf" TargetMode="External"/><Relationship Id="rId40" Type="http://schemas.openxmlformats.org/officeDocument/2006/relationships/hyperlink" Target="http://www.floridaaquaculture.com/SEAS/SEAS_intro.htm" TargetMode="External"/><Relationship Id="rId115" Type="http://schemas.openxmlformats.org/officeDocument/2006/relationships/image" Target="media/image38.jpeg"/><Relationship Id="rId136" Type="http://schemas.openxmlformats.org/officeDocument/2006/relationships/hyperlink" Target="http://www.dep.state.fl.us/water/tmdl/index.htm" TargetMode="External"/><Relationship Id="rId157" Type="http://schemas.openxmlformats.org/officeDocument/2006/relationships/hyperlink" Target="http://www.dep.state.fl.us/geology/" TargetMode="External"/><Relationship Id="rId178" Type="http://schemas.openxmlformats.org/officeDocument/2006/relationships/hyperlink" Target="http://www.dep.state.fl.us/water/watersheds/assessment/index.htm" TargetMode="External"/><Relationship Id="rId301" Type="http://schemas.openxmlformats.org/officeDocument/2006/relationships/hyperlink" Target="http://lakewatch.ifas.ufl.edu/" TargetMode="External"/><Relationship Id="rId322" Type="http://schemas.openxmlformats.org/officeDocument/2006/relationships/hyperlink" Target="http://www.epa.gov/owow/tmdl/2002wqma.html" TargetMode="External"/><Relationship Id="rId61" Type="http://schemas.openxmlformats.org/officeDocument/2006/relationships/hyperlink" Target="http://www.dep.state.fl.us/water/watersheds/index.htm" TargetMode="External"/><Relationship Id="rId82" Type="http://schemas.openxmlformats.org/officeDocument/2006/relationships/footer" Target="footer3.xml"/><Relationship Id="rId199" Type="http://schemas.openxmlformats.org/officeDocument/2006/relationships/hyperlink" Target="http://www.dep.state.fl.us/water/wetlands/docs/erp/nwerp_brochure.pdf" TargetMode="External"/><Relationship Id="rId203" Type="http://schemas.openxmlformats.org/officeDocument/2006/relationships/hyperlink" Target="http://water.usgs.gov/ogw/pubs/ofr0289/jda_mobilization.htm" TargetMode="External"/><Relationship Id="rId19" Type="http://schemas.openxmlformats.org/officeDocument/2006/relationships/hyperlink" Target="http://www.epa.gov/wed/pages/ecoregions/fl_eco.htm" TargetMode="External"/><Relationship Id="rId224" Type="http://schemas.openxmlformats.org/officeDocument/2006/relationships/hyperlink" Target="http://www.dep.state.fl.us/water/monitoring/docs/MonitoringStrategy_106.pdf" TargetMode="External"/><Relationship Id="rId245" Type="http://schemas.openxmlformats.org/officeDocument/2006/relationships/hyperlink" Target="http://www.dep.state.fl.us/water/nonpoint/" TargetMode="External"/><Relationship Id="rId266" Type="http://schemas.openxmlformats.org/officeDocument/2006/relationships/hyperlink" Target="http://research.myfwc.com/fishkill/" TargetMode="External"/><Relationship Id="rId287" Type="http://schemas.openxmlformats.org/officeDocument/2006/relationships/hyperlink" Target="https://my.sfwmd.gov/portal/page/portal/pg_grp_sfwmd_sfer/portlet_sfer/tab2236037/2010%20report/v1/chapters/v1_ch1.pdf"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publicfiles.dep.state.fl.us/FGS/FGS_Publications/FGS%20Library%20Documents/FLCoastSedContamAtlas.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plotArea>
      <c:layout/>
      <c:barChart>
        <c:barDir val="bar"/>
        <c:grouping val="clustered"/>
        <c:ser>
          <c:idx val="0"/>
          <c:order val="0"/>
          <c:tx>
            <c:strRef>
              <c:f>Sheet1!$B$1</c:f>
              <c:strCache>
                <c:ptCount val="1"/>
                <c:pt idx="0">
                  <c:v>Public Water Systems</c:v>
                </c:pt>
              </c:strCache>
            </c:strRef>
          </c:tx>
          <c:cat>
            <c:strRef>
              <c:f>Sheet1!$A$2:$A$7</c:f>
              <c:strCache>
                <c:ptCount val="6"/>
                <c:pt idx="0">
                  <c:v>VOCs</c:v>
                </c:pt>
                <c:pt idx="1">
                  <c:v>Pesticides/SOCs</c:v>
                </c:pt>
                <c:pt idx="2">
                  <c:v>Nitrate</c:v>
                </c:pt>
                <c:pt idx="3">
                  <c:v>Primary Metals</c:v>
                </c:pt>
                <c:pt idx="4">
                  <c:v>Saline Water</c:v>
                </c:pt>
                <c:pt idx="5">
                  <c:v>Radionuclides</c:v>
                </c:pt>
              </c:strCache>
            </c:strRef>
          </c:cat>
          <c:val>
            <c:numRef>
              <c:f>Sheet1!$B$2:$B$7</c:f>
              <c:numCache>
                <c:formatCode>General</c:formatCode>
                <c:ptCount val="6"/>
                <c:pt idx="0">
                  <c:v>13</c:v>
                </c:pt>
                <c:pt idx="1">
                  <c:v>13</c:v>
                </c:pt>
                <c:pt idx="2">
                  <c:v>29</c:v>
                </c:pt>
                <c:pt idx="3">
                  <c:v>42</c:v>
                </c:pt>
                <c:pt idx="4">
                  <c:v>38</c:v>
                </c:pt>
                <c:pt idx="5">
                  <c:v>49</c:v>
                </c:pt>
              </c:numCache>
            </c:numRef>
          </c:val>
        </c:ser>
        <c:ser>
          <c:idx val="1"/>
          <c:order val="1"/>
          <c:tx>
            <c:strRef>
              <c:f>Sheet1!$C$1</c:f>
              <c:strCache>
                <c:ptCount val="1"/>
                <c:pt idx="0">
                  <c:v>Private Wells</c:v>
                </c:pt>
              </c:strCache>
            </c:strRef>
          </c:tx>
          <c:cat>
            <c:strRef>
              <c:f>Sheet1!$A$2:$A$7</c:f>
              <c:strCache>
                <c:ptCount val="6"/>
                <c:pt idx="0">
                  <c:v>VOCs</c:v>
                </c:pt>
                <c:pt idx="1">
                  <c:v>Pesticides/SOCs</c:v>
                </c:pt>
                <c:pt idx="2">
                  <c:v>Nitrate</c:v>
                </c:pt>
                <c:pt idx="3">
                  <c:v>Primary Metals</c:v>
                </c:pt>
                <c:pt idx="4">
                  <c:v>Saline Water</c:v>
                </c:pt>
                <c:pt idx="5">
                  <c:v>Radionuclides</c:v>
                </c:pt>
              </c:strCache>
            </c:strRef>
          </c:cat>
          <c:val>
            <c:numRef>
              <c:f>Sheet1!$C$2:$C$7</c:f>
              <c:numCache>
                <c:formatCode>General</c:formatCode>
                <c:ptCount val="6"/>
                <c:pt idx="0">
                  <c:v>89</c:v>
                </c:pt>
                <c:pt idx="1">
                  <c:v>40</c:v>
                </c:pt>
                <c:pt idx="2">
                  <c:v>322</c:v>
                </c:pt>
                <c:pt idx="3">
                  <c:v>792</c:v>
                </c:pt>
                <c:pt idx="4">
                  <c:v>4</c:v>
                </c:pt>
              </c:numCache>
            </c:numRef>
          </c:val>
        </c:ser>
        <c:axId val="22681856"/>
        <c:axId val="22691840"/>
      </c:barChart>
      <c:catAx>
        <c:axId val="22681856"/>
        <c:scaling>
          <c:orientation val="minMax"/>
        </c:scaling>
        <c:axPos val="l"/>
        <c:tickLblPos val="nextTo"/>
        <c:crossAx val="22691840"/>
        <c:crosses val="autoZero"/>
        <c:auto val="1"/>
        <c:lblAlgn val="ctr"/>
        <c:lblOffset val="100"/>
      </c:catAx>
      <c:valAx>
        <c:axId val="22691840"/>
        <c:scaling>
          <c:orientation val="minMax"/>
        </c:scaling>
        <c:axPos val="b"/>
        <c:majorGridlines/>
        <c:numFmt formatCode="General" sourceLinked="1"/>
        <c:tickLblPos val="nextTo"/>
        <c:crossAx val="22681856"/>
        <c:crosses val="autoZero"/>
        <c:crossBetween val="between"/>
      </c:valAx>
      <c:spPr>
        <a:ln w="6350"/>
      </c:spPr>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219</Pages>
  <Words>74820</Words>
  <Characters>426477</Characters>
  <Application>Microsoft Office Word</Application>
  <DocSecurity>0</DocSecurity>
  <Lines>3553</Lines>
  <Paragraphs>1000</Paragraphs>
  <ScaleCrop>false</ScaleCrop>
  <HeadingPairs>
    <vt:vector size="2" baseType="variant">
      <vt:variant>
        <vt:lpstr>Title</vt:lpstr>
      </vt:variant>
      <vt:variant>
        <vt:i4>1</vt:i4>
      </vt:variant>
    </vt:vector>
  </HeadingPairs>
  <TitlesOfParts>
    <vt:vector size="1" baseType="lpstr">
      <vt:lpstr>Draft Annotated Outline, 2006 Integrated Report</vt:lpstr>
    </vt:vector>
  </TitlesOfParts>
  <Company>Florida Department of Environmental Protection</Company>
  <LinksUpToDate>false</LinksUpToDate>
  <CharactersWithSpaces>500297</CharactersWithSpaces>
  <SharedDoc>false</SharedDoc>
  <HLinks>
    <vt:vector size="3054" baseType="variant">
      <vt:variant>
        <vt:i4>1245188</vt:i4>
      </vt:variant>
      <vt:variant>
        <vt:i4>2262</vt:i4>
      </vt:variant>
      <vt:variant>
        <vt:i4>0</vt:i4>
      </vt:variant>
      <vt:variant>
        <vt:i4>5</vt:i4>
      </vt:variant>
      <vt:variant>
        <vt:lpwstr>http://www.greenwaterlab.com/newsite/articles/Assessment of Cyanotoxins 2001.pdf</vt:lpwstr>
      </vt:variant>
      <vt:variant>
        <vt:lpwstr/>
      </vt:variant>
      <vt:variant>
        <vt:i4>4063334</vt:i4>
      </vt:variant>
      <vt:variant>
        <vt:i4>2259</vt:i4>
      </vt:variant>
      <vt:variant>
        <vt:i4>0</vt:i4>
      </vt:variant>
      <vt:variant>
        <vt:i4>5</vt:i4>
      </vt:variant>
      <vt:variant>
        <vt:lpwstr>http://www.epa.gov/owow/tmdl/2002wqma.html</vt:lpwstr>
      </vt:variant>
      <vt:variant>
        <vt:lpwstr/>
      </vt:variant>
      <vt:variant>
        <vt:i4>2228272</vt:i4>
      </vt:variant>
      <vt:variant>
        <vt:i4>2256</vt:i4>
      </vt:variant>
      <vt:variant>
        <vt:i4>0</vt:i4>
      </vt:variant>
      <vt:variant>
        <vt:i4>5</vt:i4>
      </vt:variant>
      <vt:variant>
        <vt:lpwstr>http://www.wqa.org/glossary.cfm?gl=1146</vt:lpwstr>
      </vt:variant>
      <vt:variant>
        <vt:lpwstr/>
      </vt:variant>
      <vt:variant>
        <vt:i4>2424880</vt:i4>
      </vt:variant>
      <vt:variant>
        <vt:i4>2253</vt:i4>
      </vt:variant>
      <vt:variant>
        <vt:i4>0</vt:i4>
      </vt:variant>
      <vt:variant>
        <vt:i4>5</vt:i4>
      </vt:variant>
      <vt:variant>
        <vt:lpwstr>http://www.floridatrend.com/article.asp?id=5795</vt:lpwstr>
      </vt:variant>
      <vt:variant>
        <vt:lpwstr/>
      </vt:variant>
      <vt:variant>
        <vt:i4>6553711</vt:i4>
      </vt:variant>
      <vt:variant>
        <vt:i4>2250</vt:i4>
      </vt:variant>
      <vt:variant>
        <vt:i4>0</vt:i4>
      </vt:variant>
      <vt:variant>
        <vt:i4>5</vt:i4>
      </vt:variant>
      <vt:variant>
        <vt:lpwstr>http://www.envirobase.usgs.gov/</vt:lpwstr>
      </vt:variant>
      <vt:variant>
        <vt:lpwstr/>
      </vt:variant>
      <vt:variant>
        <vt:i4>4915269</vt:i4>
      </vt:variant>
      <vt:variant>
        <vt:i4>2247</vt:i4>
      </vt:variant>
      <vt:variant>
        <vt:i4>0</vt:i4>
      </vt:variant>
      <vt:variant>
        <vt:i4>5</vt:i4>
      </vt:variant>
      <vt:variant>
        <vt:lpwstr>http://fl.water.usgs.gov/WaterUse/Historical_Tables_Miscellaneous/florida-historical-category.1970-2000.htm</vt:lpwstr>
      </vt:variant>
      <vt:variant>
        <vt:lpwstr/>
      </vt:variant>
      <vt:variant>
        <vt:i4>2490418</vt:i4>
      </vt:variant>
      <vt:variant>
        <vt:i4>2244</vt:i4>
      </vt:variant>
      <vt:variant>
        <vt:i4>0</vt:i4>
      </vt:variant>
      <vt:variant>
        <vt:i4>5</vt:i4>
      </vt:variant>
      <vt:variant>
        <vt:lpwstr>http://water.usgs.gov/</vt:lpwstr>
      </vt:variant>
      <vt:variant>
        <vt:lpwstr/>
      </vt:variant>
      <vt:variant>
        <vt:i4>4259920</vt:i4>
      </vt:variant>
      <vt:variant>
        <vt:i4>2241</vt:i4>
      </vt:variant>
      <vt:variant>
        <vt:i4>0</vt:i4>
      </vt:variant>
      <vt:variant>
        <vt:i4>5</vt:i4>
      </vt:variant>
      <vt:variant>
        <vt:lpwstr>http://www.fws.gov/wetlands/StatusAndTrends/</vt:lpwstr>
      </vt:variant>
      <vt:variant>
        <vt:lpwstr/>
      </vt:variant>
      <vt:variant>
        <vt:i4>6815804</vt:i4>
      </vt:variant>
      <vt:variant>
        <vt:i4>2238</vt:i4>
      </vt:variant>
      <vt:variant>
        <vt:i4>0</vt:i4>
      </vt:variant>
      <vt:variant>
        <vt:i4>5</vt:i4>
      </vt:variant>
      <vt:variant>
        <vt:lpwstr>http://www.epa.gov/storet/</vt:lpwstr>
      </vt:variant>
      <vt:variant>
        <vt:lpwstr/>
      </vt:variant>
      <vt:variant>
        <vt:i4>1835082</vt:i4>
      </vt:variant>
      <vt:variant>
        <vt:i4>2235</vt:i4>
      </vt:variant>
      <vt:variant>
        <vt:i4>0</vt:i4>
      </vt:variant>
      <vt:variant>
        <vt:i4>5</vt:i4>
      </vt:variant>
      <vt:variant>
        <vt:lpwstr>http://www.epa.gov/cwns/</vt:lpwstr>
      </vt:variant>
      <vt:variant>
        <vt:lpwstr/>
      </vt:variant>
      <vt:variant>
        <vt:i4>6094873</vt:i4>
      </vt:variant>
      <vt:variant>
        <vt:i4>2232</vt:i4>
      </vt:variant>
      <vt:variant>
        <vt:i4>0</vt:i4>
      </vt:variant>
      <vt:variant>
        <vt:i4>5</vt:i4>
      </vt:variant>
      <vt:variant>
        <vt:lpwstr>http://www.epa.gov/ogwdw000/ccl/ccl3.html</vt:lpwstr>
      </vt:variant>
      <vt:variant>
        <vt:lpwstr>chemical</vt:lpwstr>
      </vt:variant>
      <vt:variant>
        <vt:i4>8192055</vt:i4>
      </vt:variant>
      <vt:variant>
        <vt:i4>2229</vt:i4>
      </vt:variant>
      <vt:variant>
        <vt:i4>0</vt:i4>
      </vt:variant>
      <vt:variant>
        <vt:i4>5</vt:i4>
      </vt:variant>
      <vt:variant>
        <vt:lpwstr>http://www.epa.gov/cwns/2004rtc/cwns2004rtc.pdf</vt:lpwstr>
      </vt:variant>
      <vt:variant>
        <vt:lpwstr/>
      </vt:variant>
      <vt:variant>
        <vt:i4>6815804</vt:i4>
      </vt:variant>
      <vt:variant>
        <vt:i4>2226</vt:i4>
      </vt:variant>
      <vt:variant>
        <vt:i4>0</vt:i4>
      </vt:variant>
      <vt:variant>
        <vt:i4>5</vt:i4>
      </vt:variant>
      <vt:variant>
        <vt:lpwstr>http://www.epa.gov/storet/</vt:lpwstr>
      </vt:variant>
      <vt:variant>
        <vt:lpwstr/>
      </vt:variant>
      <vt:variant>
        <vt:i4>7012392</vt:i4>
      </vt:variant>
      <vt:variant>
        <vt:i4>2223</vt:i4>
      </vt:variant>
      <vt:variant>
        <vt:i4>0</vt:i4>
      </vt:variant>
      <vt:variant>
        <vt:i4>5</vt:i4>
      </vt:variant>
      <vt:variant>
        <vt:lpwstr>http://www.epa.gov/region4/water/tmdl/florida/</vt:lpwstr>
      </vt:variant>
      <vt:variant>
        <vt:lpwstr/>
      </vt:variant>
      <vt:variant>
        <vt:i4>7143493</vt:i4>
      </vt:variant>
      <vt:variant>
        <vt:i4>2220</vt:i4>
      </vt:variant>
      <vt:variant>
        <vt:i4>0</vt:i4>
      </vt:variant>
      <vt:variant>
        <vt:i4>5</vt:i4>
      </vt:variant>
      <vt:variant>
        <vt:lpwstr>http://www.epa.gov/wed/pages/ecoregions/fl_eco.htm</vt:lpwstr>
      </vt:variant>
      <vt:variant>
        <vt:lpwstr/>
      </vt:variant>
      <vt:variant>
        <vt:i4>4718614</vt:i4>
      </vt:variant>
      <vt:variant>
        <vt:i4>2217</vt:i4>
      </vt:variant>
      <vt:variant>
        <vt:i4>0</vt:i4>
      </vt:variant>
      <vt:variant>
        <vt:i4>5</vt:i4>
      </vt:variant>
      <vt:variant>
        <vt:lpwstr>http://www.epa.gov/owow/monitoring/elements/</vt:lpwstr>
      </vt:variant>
      <vt:variant>
        <vt:lpwstr/>
      </vt:variant>
      <vt:variant>
        <vt:i4>4063334</vt:i4>
      </vt:variant>
      <vt:variant>
        <vt:i4>2214</vt:i4>
      </vt:variant>
      <vt:variant>
        <vt:i4>0</vt:i4>
      </vt:variant>
      <vt:variant>
        <vt:i4>5</vt:i4>
      </vt:variant>
      <vt:variant>
        <vt:lpwstr>http://www.epa.gov/owow/TMDL/2002wqma.html</vt:lpwstr>
      </vt:variant>
      <vt:variant>
        <vt:lpwstr/>
      </vt:variant>
      <vt:variant>
        <vt:i4>6684721</vt:i4>
      </vt:variant>
      <vt:variant>
        <vt:i4>2211</vt:i4>
      </vt:variant>
      <vt:variant>
        <vt:i4>0</vt:i4>
      </vt:variant>
      <vt:variant>
        <vt:i4>5</vt:i4>
      </vt:variant>
      <vt:variant>
        <vt:lpwstr>http://www.census.gov/compendia/statab/2010/tables/10s0018.pdf</vt:lpwstr>
      </vt:variant>
      <vt:variant>
        <vt:lpwstr/>
      </vt:variant>
      <vt:variant>
        <vt:i4>6815793</vt:i4>
      </vt:variant>
      <vt:variant>
        <vt:i4>2208</vt:i4>
      </vt:variant>
      <vt:variant>
        <vt:i4>0</vt:i4>
      </vt:variant>
      <vt:variant>
        <vt:i4>5</vt:i4>
      </vt:variant>
      <vt:variant>
        <vt:lpwstr>http://www.census.gov/compendia/statab/2010/tables/10s0016.pdf</vt:lpwstr>
      </vt:variant>
      <vt:variant>
        <vt:lpwstr/>
      </vt:variant>
      <vt:variant>
        <vt:i4>6946865</vt:i4>
      </vt:variant>
      <vt:variant>
        <vt:i4>2205</vt:i4>
      </vt:variant>
      <vt:variant>
        <vt:i4>0</vt:i4>
      </vt:variant>
      <vt:variant>
        <vt:i4>5</vt:i4>
      </vt:variant>
      <vt:variant>
        <vt:lpwstr>http://www.census.gov/compendia/statab/2010/tables/10s0014.pdf</vt:lpwstr>
      </vt:variant>
      <vt:variant>
        <vt:lpwstr/>
      </vt:variant>
      <vt:variant>
        <vt:i4>7209073</vt:i4>
      </vt:variant>
      <vt:variant>
        <vt:i4>2202</vt:i4>
      </vt:variant>
      <vt:variant>
        <vt:i4>0</vt:i4>
      </vt:variant>
      <vt:variant>
        <vt:i4>5</vt:i4>
      </vt:variant>
      <vt:variant>
        <vt:lpwstr>http://quickfacts.census.gov/qfd/states/12000.html</vt:lpwstr>
      </vt:variant>
      <vt:variant>
        <vt:lpwstr/>
      </vt:variant>
      <vt:variant>
        <vt:i4>7602226</vt:i4>
      </vt:variant>
      <vt:variant>
        <vt:i4>2199</vt:i4>
      </vt:variant>
      <vt:variant>
        <vt:i4>0</vt:i4>
      </vt:variant>
      <vt:variant>
        <vt:i4>5</vt:i4>
      </vt:variant>
      <vt:variant>
        <vt:lpwstr>http://hsc.usf.edu/publichealth/EOH/BRACE/</vt:lpwstr>
      </vt:variant>
      <vt:variant>
        <vt:lpwstr/>
      </vt:variant>
      <vt:variant>
        <vt:i4>6422589</vt:i4>
      </vt:variant>
      <vt:variant>
        <vt:i4>2196</vt:i4>
      </vt:variant>
      <vt:variant>
        <vt:i4>0</vt:i4>
      </vt:variant>
      <vt:variant>
        <vt:i4>5</vt:i4>
      </vt:variant>
      <vt:variant>
        <vt:lpwstr>http://lakewatch.ifas.ufl.edu/</vt:lpwstr>
      </vt:variant>
      <vt:variant>
        <vt:lpwstr/>
      </vt:variant>
      <vt:variant>
        <vt:i4>720961</vt:i4>
      </vt:variant>
      <vt:variant>
        <vt:i4>2193</vt:i4>
      </vt:variant>
      <vt:variant>
        <vt:i4>0</vt:i4>
      </vt:variant>
      <vt:variant>
        <vt:i4>5</vt:i4>
      </vt:variant>
      <vt:variant>
        <vt:lpwstr>http://edis.ifas.ufl.edu/pdffiles/SS/SS52800.pdf</vt:lpwstr>
      </vt:variant>
      <vt:variant>
        <vt:lpwstr/>
      </vt:variant>
      <vt:variant>
        <vt:i4>7733284</vt:i4>
      </vt:variant>
      <vt:variant>
        <vt:i4>2190</vt:i4>
      </vt:variant>
      <vt:variant>
        <vt:i4>0</vt:i4>
      </vt:variant>
      <vt:variant>
        <vt:i4>5</vt:i4>
      </vt:variant>
      <vt:variant>
        <vt:lpwstr>http://www.stormwater.ucf.edu/</vt:lpwstr>
      </vt:variant>
      <vt:variant>
        <vt:lpwstr/>
      </vt:variant>
      <vt:variant>
        <vt:i4>3997804</vt:i4>
      </vt:variant>
      <vt:variant>
        <vt:i4>2187</vt:i4>
      </vt:variant>
      <vt:variant>
        <vt:i4>0</vt:i4>
      </vt:variant>
      <vt:variant>
        <vt:i4>5</vt:i4>
      </vt:variant>
      <vt:variant>
        <vt:lpwstr>http://www.srwmd.state.fl.us/index.aspx?NID=151</vt:lpwstr>
      </vt:variant>
      <vt:variant>
        <vt:lpwstr/>
      </vt:variant>
      <vt:variant>
        <vt:i4>1900615</vt:i4>
      </vt:variant>
      <vt:variant>
        <vt:i4>2184</vt:i4>
      </vt:variant>
      <vt:variant>
        <vt:i4>0</vt:i4>
      </vt:variant>
      <vt:variant>
        <vt:i4>5</vt:i4>
      </vt:variant>
      <vt:variant>
        <vt:lpwstr>http://publicfiles.dep.state.fl.us/dear/labs/sas/library/docs/springs/synthesisreport.pdf</vt:lpwstr>
      </vt:variant>
      <vt:variant>
        <vt:lpwstr/>
      </vt:variant>
      <vt:variant>
        <vt:i4>7667713</vt:i4>
      </vt:variant>
      <vt:variant>
        <vt:i4>2181</vt:i4>
      </vt:variant>
      <vt:variant>
        <vt:i4>0</vt:i4>
      </vt:variant>
      <vt:variant>
        <vt:i4>5</vt:i4>
      </vt:variant>
      <vt:variant>
        <vt:lpwstr>http://research.myfwc.com/features/view_article.asp?id=26925</vt:lpwstr>
      </vt:variant>
      <vt:variant>
        <vt:lpwstr/>
      </vt:variant>
      <vt:variant>
        <vt:i4>2162700</vt:i4>
      </vt:variant>
      <vt:variant>
        <vt:i4>2178</vt:i4>
      </vt:variant>
      <vt:variant>
        <vt:i4>0</vt:i4>
      </vt:variant>
      <vt:variant>
        <vt:i4>5</vt:i4>
      </vt:variant>
      <vt:variant>
        <vt:lpwstr>https://my.sfwmd.gov/portal/page/portal/pg_grp_sfwmd_watershed/subtabs_evergladesflbay_home/tab1834093/flbayalgalbloom.pdf</vt:lpwstr>
      </vt:variant>
      <vt:variant>
        <vt:lpwstr/>
      </vt:variant>
      <vt:variant>
        <vt:i4>6488102</vt:i4>
      </vt:variant>
      <vt:variant>
        <vt:i4>2175</vt:i4>
      </vt:variant>
      <vt:variant>
        <vt:i4>0</vt:i4>
      </vt:variant>
      <vt:variant>
        <vt:i4>5</vt:i4>
      </vt:variant>
      <vt:variant>
        <vt:lpwstr>http://www.sfwmd.gov/portal/page/portal/sfwmdmain/home page</vt:lpwstr>
      </vt:variant>
      <vt:variant>
        <vt:lpwstr/>
      </vt:variant>
      <vt:variant>
        <vt:i4>2555907</vt:i4>
      </vt:variant>
      <vt:variant>
        <vt:i4>2172</vt:i4>
      </vt:variant>
      <vt:variant>
        <vt:i4>0</vt:i4>
      </vt:variant>
      <vt:variant>
        <vt:i4>5</vt:i4>
      </vt:variant>
      <vt:variant>
        <vt:lpwstr>http://publicfiles.dep.state.fl.us/FGS/FGS_Publications/FGS Library Documents/FLCoastSedContamAtlas.pdf</vt:lpwstr>
      </vt:variant>
      <vt:variant>
        <vt:lpwstr/>
      </vt:variant>
      <vt:variant>
        <vt:i4>4849736</vt:i4>
      </vt:variant>
      <vt:variant>
        <vt:i4>2169</vt:i4>
      </vt:variant>
      <vt:variant>
        <vt:i4>0</vt:i4>
      </vt:variant>
      <vt:variant>
        <vt:i4>5</vt:i4>
      </vt:variant>
      <vt:variant>
        <vt:lpwstr>http://www.dep.state.fl.us/geology/geologictopics/springs/bulletin66.htm</vt:lpwstr>
      </vt:variant>
      <vt:variant>
        <vt:lpwstr/>
      </vt:variant>
      <vt:variant>
        <vt:i4>3276925</vt:i4>
      </vt:variant>
      <vt:variant>
        <vt:i4>2166</vt:i4>
      </vt:variant>
      <vt:variant>
        <vt:i4>0</vt:i4>
      </vt:variant>
      <vt:variant>
        <vt:i4>5</vt:i4>
      </vt:variant>
      <vt:variant>
        <vt:lpwstr>http://www.dep.state.fl.us/WATER/monitoring/docs/seds/estuarine.pdf</vt:lpwstr>
      </vt:variant>
      <vt:variant>
        <vt:lpwstr/>
      </vt:variant>
      <vt:variant>
        <vt:i4>6226044</vt:i4>
      </vt:variant>
      <vt:variant>
        <vt:i4>2163</vt:i4>
      </vt:variant>
      <vt:variant>
        <vt:i4>0</vt:i4>
      </vt:variant>
      <vt:variant>
        <vt:i4>5</vt:i4>
      </vt:variant>
      <vt:variant>
        <vt:lpwstr>http://publicfiles.dep.state.fl.us/dear/labs/sas/library/docs/wet_stfp.pdf</vt:lpwstr>
      </vt:variant>
      <vt:variant>
        <vt:lpwstr/>
      </vt:variant>
      <vt:variant>
        <vt:i4>5767293</vt:i4>
      </vt:variant>
      <vt:variant>
        <vt:i4>2160</vt:i4>
      </vt:variant>
      <vt:variant>
        <vt:i4>0</vt:i4>
      </vt:variant>
      <vt:variant>
        <vt:i4>5</vt:i4>
      </vt:variant>
      <vt:variant>
        <vt:lpwstr>http://publicfiles.dep.state.fl.us/dear/labs/sas/library/docs/wet_depf.pdf</vt:lpwstr>
      </vt:variant>
      <vt:variant>
        <vt:lpwstr/>
      </vt:variant>
      <vt:variant>
        <vt:i4>7077967</vt:i4>
      </vt:variant>
      <vt:variant>
        <vt:i4>2157</vt:i4>
      </vt:variant>
      <vt:variant>
        <vt:i4>0</vt:i4>
      </vt:variant>
      <vt:variant>
        <vt:i4>5</vt:i4>
      </vt:variant>
      <vt:variant>
        <vt:lpwstr>http://www.doh.state.fl.us/environment/community/ aquatic/pdfs/Cyanobacteria_200208.pdf</vt:lpwstr>
      </vt:variant>
      <vt:variant>
        <vt:lpwstr/>
      </vt:variant>
      <vt:variant>
        <vt:i4>7405690</vt:i4>
      </vt:variant>
      <vt:variant>
        <vt:i4>2154</vt:i4>
      </vt:variant>
      <vt:variant>
        <vt:i4>0</vt:i4>
      </vt:variant>
      <vt:variant>
        <vt:i4>5</vt:i4>
      </vt:variant>
      <vt:variant>
        <vt:lpwstr>https://my.sfwmd.gov/portal/page/portal/pg_grp_sfwmd_sfer/_x000b_portlet_sfer/tab2236037/2010 report/v1/chapters/v1_ch1.pdf</vt:lpwstr>
      </vt:variant>
      <vt:variant>
        <vt:lpwstr/>
      </vt:variant>
      <vt:variant>
        <vt:i4>720961</vt:i4>
      </vt:variant>
      <vt:variant>
        <vt:i4>2151</vt:i4>
      </vt:variant>
      <vt:variant>
        <vt:i4>0</vt:i4>
      </vt:variant>
      <vt:variant>
        <vt:i4>5</vt:i4>
      </vt:variant>
      <vt:variant>
        <vt:lpwstr>http://edis.ifas.ufl.edu/pdffiles/SS/SS52800.pdf</vt:lpwstr>
      </vt:variant>
      <vt:variant>
        <vt:lpwstr/>
      </vt:variant>
      <vt:variant>
        <vt:i4>262242</vt:i4>
      </vt:variant>
      <vt:variant>
        <vt:i4>2148</vt:i4>
      </vt:variant>
      <vt:variant>
        <vt:i4>0</vt:i4>
      </vt:variant>
      <vt:variant>
        <vt:i4>5</vt:i4>
      </vt:variant>
      <vt:variant>
        <vt:lpwstr>http://www.dep.state.fl.us/water/wetlands/docs/erp/nwerp_brochure.pdf</vt:lpwstr>
      </vt:variant>
      <vt:variant>
        <vt:lpwstr/>
      </vt:variant>
      <vt:variant>
        <vt:i4>2162769</vt:i4>
      </vt:variant>
      <vt:variant>
        <vt:i4>2145</vt:i4>
      </vt:variant>
      <vt:variant>
        <vt:i4>0</vt:i4>
      </vt:variant>
      <vt:variant>
        <vt:i4>5</vt:i4>
      </vt:variant>
      <vt:variant>
        <vt:lpwstr>http://www.netstate.com/states/intro/fl_intro.htm</vt:lpwstr>
      </vt:variant>
      <vt:variant>
        <vt:lpwstr/>
      </vt:variant>
      <vt:variant>
        <vt:i4>4522079</vt:i4>
      </vt:variant>
      <vt:variant>
        <vt:i4>2142</vt:i4>
      </vt:variant>
      <vt:variant>
        <vt:i4>0</vt:i4>
      </vt:variant>
      <vt:variant>
        <vt:i4>5</vt:i4>
      </vt:variant>
      <vt:variant>
        <vt:lpwstr>http://www.nrdc.org/water/oceans/florida/flfuture.pdf</vt:lpwstr>
      </vt:variant>
      <vt:variant>
        <vt:lpwstr/>
      </vt:variant>
      <vt:variant>
        <vt:i4>1900570</vt:i4>
      </vt:variant>
      <vt:variant>
        <vt:i4>2139</vt:i4>
      </vt:variant>
      <vt:variant>
        <vt:i4>0</vt:i4>
      </vt:variant>
      <vt:variant>
        <vt:i4>5</vt:i4>
      </vt:variant>
      <vt:variant>
        <vt:lpwstr>http://tidesandcurrents.noaa.gov/hab/</vt:lpwstr>
      </vt:variant>
      <vt:variant>
        <vt:lpwstr/>
      </vt:variant>
      <vt:variant>
        <vt:i4>6946907</vt:i4>
      </vt:variant>
      <vt:variant>
        <vt:i4>2136</vt:i4>
      </vt:variant>
      <vt:variant>
        <vt:i4>0</vt:i4>
      </vt:variant>
      <vt:variant>
        <vt:i4>5</vt:i4>
      </vt:variant>
      <vt:variant>
        <vt:lpwstr>http://pubs.usgs.gov/_x000b_sir/2009/5125/</vt:lpwstr>
      </vt:variant>
      <vt:variant>
        <vt:lpwstr/>
      </vt:variant>
      <vt:variant>
        <vt:i4>3145834</vt:i4>
      </vt:variant>
      <vt:variant>
        <vt:i4>2133</vt:i4>
      </vt:variant>
      <vt:variant>
        <vt:i4>0</vt:i4>
      </vt:variant>
      <vt:variant>
        <vt:i4>5</vt:i4>
      </vt:variant>
      <vt:variant>
        <vt:lpwstr>http://www.dep.state.fl.us/water/monitoring/docs/seds/SQAGs_for_Florida_Inland_Waters_01_03.PDF</vt:lpwstr>
      </vt:variant>
      <vt:variant>
        <vt:lpwstr/>
      </vt:variant>
      <vt:variant>
        <vt:i4>4325435</vt:i4>
      </vt:variant>
      <vt:variant>
        <vt:i4>2130</vt:i4>
      </vt:variant>
      <vt:variant>
        <vt:i4>0</vt:i4>
      </vt:variant>
      <vt:variant>
        <vt:i4>5</vt:i4>
      </vt:variant>
      <vt:variant>
        <vt:lpwstr>http://www.dep.state.fl.us/waste/quick_topics/publications/documents/sediment/volume2.pdf</vt:lpwstr>
      </vt:variant>
      <vt:variant>
        <vt:lpwstr/>
      </vt:variant>
      <vt:variant>
        <vt:i4>327751</vt:i4>
      </vt:variant>
      <vt:variant>
        <vt:i4>2127</vt:i4>
      </vt:variant>
      <vt:variant>
        <vt:i4>0</vt:i4>
      </vt:variant>
      <vt:variant>
        <vt:i4>5</vt:i4>
      </vt:variant>
      <vt:variant>
        <vt:lpwstr>http://publicfiles.dep.state.fl.us/dear/labs/_x000b_sas/library/docs/wet_herb.pdf</vt:lpwstr>
      </vt:variant>
      <vt:variant>
        <vt:lpwstr/>
      </vt:variant>
      <vt:variant>
        <vt:i4>5767228</vt:i4>
      </vt:variant>
      <vt:variant>
        <vt:i4>2124</vt:i4>
      </vt:variant>
      <vt:variant>
        <vt:i4>0</vt:i4>
      </vt:variant>
      <vt:variant>
        <vt:i4>5</vt:i4>
      </vt:variant>
      <vt:variant>
        <vt:lpwstr>http://publicfiles.dep.state.fl.us/DEAR/BMAP/Wekiva/Reports&amp;ReferenceDocuments/FDEP2008SpringsReport/2008FDEPSpringsDataReport_final.pdf</vt:lpwstr>
      </vt:variant>
      <vt:variant>
        <vt:lpwstr/>
      </vt:variant>
      <vt:variant>
        <vt:i4>4522009</vt:i4>
      </vt:variant>
      <vt:variant>
        <vt:i4>2121</vt:i4>
      </vt:variant>
      <vt:variant>
        <vt:i4>0</vt:i4>
      </vt:variant>
      <vt:variant>
        <vt:i4>5</vt:i4>
      </vt:variant>
      <vt:variant>
        <vt:lpwstr>http://gulfofmexicoalliance.org/</vt:lpwstr>
      </vt:variant>
      <vt:variant>
        <vt:lpwstr/>
      </vt:variant>
      <vt:variant>
        <vt:i4>7602179</vt:i4>
      </vt:variant>
      <vt:variant>
        <vt:i4>2118</vt:i4>
      </vt:variant>
      <vt:variant>
        <vt:i4>0</vt:i4>
      </vt:variant>
      <vt:variant>
        <vt:i4>5</vt:i4>
      </vt:variant>
      <vt:variant>
        <vt:lpwstr>http://publicfiles.dep.state.fl.us/dear/labs/sas/sopdoc/lci_final.pdf</vt:lpwstr>
      </vt:variant>
      <vt:variant>
        <vt:lpwstr/>
      </vt:variant>
      <vt:variant>
        <vt:i4>4325473</vt:i4>
      </vt:variant>
      <vt:variant>
        <vt:i4>2115</vt:i4>
      </vt:variant>
      <vt:variant>
        <vt:i4>0</vt:i4>
      </vt:variant>
      <vt:variant>
        <vt:i4>5</vt:i4>
      </vt:variant>
      <vt:variant>
        <vt:lpwstr>http://www.dep.state.fl.us/water/tmdl/docs/tmdls/final/gp2/Wekiva_MainStem04182008.pdf</vt:lpwstr>
      </vt:variant>
      <vt:variant>
        <vt:lpwstr/>
      </vt:variant>
      <vt:variant>
        <vt:i4>6356993</vt:i4>
      </vt:variant>
      <vt:variant>
        <vt:i4>2112</vt:i4>
      </vt:variant>
      <vt:variant>
        <vt:i4>0</vt:i4>
      </vt:variant>
      <vt:variant>
        <vt:i4>5</vt:i4>
      </vt:variant>
      <vt:variant>
        <vt:lpwstr>https://my.sfwmd.gov/portal/page/portal/pg_grp_sfwmd_sfer/portlet_sfer/tab2236037/2010 report/v1/chapters/v1_ch3B.pdf</vt:lpwstr>
      </vt:variant>
      <vt:variant>
        <vt:lpwstr/>
      </vt:variant>
      <vt:variant>
        <vt:i4>3932240</vt:i4>
      </vt:variant>
      <vt:variant>
        <vt:i4>2109</vt:i4>
      </vt:variant>
      <vt:variant>
        <vt:i4>0</vt:i4>
      </vt:variant>
      <vt:variant>
        <vt:i4>5</vt:i4>
      </vt:variant>
      <vt:variant>
        <vt:lpwstr>http://www.fws.gov/wetlands/_documents/gSandT/StateRegionalReports/FloridaWetlandsStatusTrends1970sto1980s.pdf</vt:lpwstr>
      </vt:variant>
      <vt:variant>
        <vt:lpwstr/>
      </vt:variant>
      <vt:variant>
        <vt:i4>7602204</vt:i4>
      </vt:variant>
      <vt:variant>
        <vt:i4>2106</vt:i4>
      </vt:variant>
      <vt:variant>
        <vt:i4>0</vt:i4>
      </vt:variant>
      <vt:variant>
        <vt:i4>5</vt:i4>
      </vt:variant>
      <vt:variant>
        <vt:lpwstr>http://publicfiles.dep.state.fl.us/dear/labs/sas/sopdoc/sci_final.pdf</vt:lpwstr>
      </vt:variant>
      <vt:variant>
        <vt:lpwstr/>
      </vt:variant>
      <vt:variant>
        <vt:i4>1900628</vt:i4>
      </vt:variant>
      <vt:variant>
        <vt:i4>2103</vt:i4>
      </vt:variant>
      <vt:variant>
        <vt:i4>0</vt:i4>
      </vt:variant>
      <vt:variant>
        <vt:i4>5</vt:i4>
      </vt:variant>
      <vt:variant>
        <vt:lpwstr>http://www.floridatrend.com/article.asp?aID=50744</vt:lpwstr>
      </vt:variant>
      <vt:variant>
        <vt:lpwstr/>
      </vt:variant>
      <vt:variant>
        <vt:i4>3473446</vt:i4>
      </vt:variant>
      <vt:variant>
        <vt:i4>2100</vt:i4>
      </vt:variant>
      <vt:variant>
        <vt:i4>0</vt:i4>
      </vt:variant>
      <vt:variant>
        <vt:i4>5</vt:i4>
      </vt:variant>
      <vt:variant>
        <vt:lpwstr>http://www.dep.state.fl.us/springs/reports/files/SpringsTaskForceReport.pdf</vt:lpwstr>
      </vt:variant>
      <vt:variant>
        <vt:lpwstr/>
      </vt:variant>
      <vt:variant>
        <vt:i4>7929900</vt:i4>
      </vt:variant>
      <vt:variant>
        <vt:i4>2097</vt:i4>
      </vt:variant>
      <vt:variant>
        <vt:i4>0</vt:i4>
      </vt:variant>
      <vt:variant>
        <vt:i4>5</vt:i4>
      </vt:variant>
      <vt:variant>
        <vt:lpwstr>http://lakewatch.ifas.ufl.edu/circpdffolder/ABCsInt.pdf</vt:lpwstr>
      </vt:variant>
      <vt:variant>
        <vt:lpwstr/>
      </vt:variant>
      <vt:variant>
        <vt:i4>6750246</vt:i4>
      </vt:variant>
      <vt:variant>
        <vt:i4>2094</vt:i4>
      </vt:variant>
      <vt:variant>
        <vt:i4>0</vt:i4>
      </vt:variant>
      <vt:variant>
        <vt:i4>5</vt:i4>
      </vt:variant>
      <vt:variant>
        <vt:lpwstr>http://myfwc.com/conservation/Conservation_ValueofConservation_EconSaltwaterImpact.htm</vt:lpwstr>
      </vt:variant>
      <vt:variant>
        <vt:lpwstr/>
      </vt:variant>
      <vt:variant>
        <vt:i4>6357083</vt:i4>
      </vt:variant>
      <vt:variant>
        <vt:i4>2091</vt:i4>
      </vt:variant>
      <vt:variant>
        <vt:i4>0</vt:i4>
      </vt:variant>
      <vt:variant>
        <vt:i4>5</vt:i4>
      </vt:variant>
      <vt:variant>
        <vt:lpwstr>http://research.myfwc.com/features/category_main.asp?id=2343</vt:lpwstr>
      </vt:variant>
      <vt:variant>
        <vt:lpwstr/>
      </vt:variant>
      <vt:variant>
        <vt:i4>6422631</vt:i4>
      </vt:variant>
      <vt:variant>
        <vt:i4>2088</vt:i4>
      </vt:variant>
      <vt:variant>
        <vt:i4>0</vt:i4>
      </vt:variant>
      <vt:variant>
        <vt:i4>5</vt:i4>
      </vt:variant>
      <vt:variant>
        <vt:lpwstr>http://research.myfwc.com/fishkill/</vt:lpwstr>
      </vt:variant>
      <vt:variant>
        <vt:lpwstr/>
      </vt:variant>
      <vt:variant>
        <vt:i4>6684789</vt:i4>
      </vt:variant>
      <vt:variant>
        <vt:i4>2085</vt:i4>
      </vt:variant>
      <vt:variant>
        <vt:i4>0</vt:i4>
      </vt:variant>
      <vt:variant>
        <vt:i4>5</vt:i4>
      </vt:variant>
      <vt:variant>
        <vt:lpwstr>http://research.myfwc.com/</vt:lpwstr>
      </vt:variant>
      <vt:variant>
        <vt:lpwstr/>
      </vt:variant>
      <vt:variant>
        <vt:i4>7602231</vt:i4>
      </vt:variant>
      <vt:variant>
        <vt:i4>2082</vt:i4>
      </vt:variant>
      <vt:variant>
        <vt:i4>0</vt:i4>
      </vt:variant>
      <vt:variant>
        <vt:i4>5</vt:i4>
      </vt:variant>
      <vt:variant>
        <vt:lpwstr>http://www.doh.state.fl.us/environment/water/index.html</vt:lpwstr>
      </vt:variant>
      <vt:variant>
        <vt:lpwstr/>
      </vt:variant>
      <vt:variant>
        <vt:i4>6553719</vt:i4>
      </vt:variant>
      <vt:variant>
        <vt:i4>2079</vt:i4>
      </vt:variant>
      <vt:variant>
        <vt:i4>0</vt:i4>
      </vt:variant>
      <vt:variant>
        <vt:i4>5</vt:i4>
      </vt:variant>
      <vt:variant>
        <vt:lpwstr>http://www.doh.state.fl.us/Environment/water/petroleum/saindex.html</vt:lpwstr>
      </vt:variant>
      <vt:variant>
        <vt:lpwstr/>
      </vt:variant>
      <vt:variant>
        <vt:i4>4522053</vt:i4>
      </vt:variant>
      <vt:variant>
        <vt:i4>2076</vt:i4>
      </vt:variant>
      <vt:variant>
        <vt:i4>0</vt:i4>
      </vt:variant>
      <vt:variant>
        <vt:i4>5</vt:i4>
      </vt:variant>
      <vt:variant>
        <vt:lpwstr>http://esetappsdoh.doh.state.fl.us/irm00beachwater/terms.htm</vt:lpwstr>
      </vt:variant>
      <vt:variant>
        <vt:lpwstr/>
      </vt:variant>
      <vt:variant>
        <vt:i4>786460</vt:i4>
      </vt:variant>
      <vt:variant>
        <vt:i4>2073</vt:i4>
      </vt:variant>
      <vt:variant>
        <vt:i4>0</vt:i4>
      </vt:variant>
      <vt:variant>
        <vt:i4>5</vt:i4>
      </vt:variant>
      <vt:variant>
        <vt:lpwstr>http://www.doh.state.fl.us/environment/community/fishconsumptionadvisories/index.html</vt:lpwstr>
      </vt:variant>
      <vt:variant>
        <vt:lpwstr/>
      </vt:variant>
      <vt:variant>
        <vt:i4>6619172</vt:i4>
      </vt:variant>
      <vt:variant>
        <vt:i4>2070</vt:i4>
      </vt:variant>
      <vt:variant>
        <vt:i4>0</vt:i4>
      </vt:variant>
      <vt:variant>
        <vt:i4>5</vt:i4>
      </vt:variant>
      <vt:variant>
        <vt:lpwstr>http://esetappsdoh.doh.state.fl.us/irm00beachwater/history/hisintro.htm</vt:lpwstr>
      </vt:variant>
      <vt:variant>
        <vt:lpwstr/>
      </vt:variant>
      <vt:variant>
        <vt:i4>2555938</vt:i4>
      </vt:variant>
      <vt:variant>
        <vt:i4>2067</vt:i4>
      </vt:variant>
      <vt:variant>
        <vt:i4>0</vt:i4>
      </vt:variant>
      <vt:variant>
        <vt:i4>5</vt:i4>
      </vt:variant>
      <vt:variant>
        <vt:lpwstr>http://esetappsdoh.doh.state.fl.us/irm00beachwater/default.aspx</vt:lpwstr>
      </vt:variant>
      <vt:variant>
        <vt:lpwstr/>
      </vt:variant>
      <vt:variant>
        <vt:i4>2555938</vt:i4>
      </vt:variant>
      <vt:variant>
        <vt:i4>2064</vt:i4>
      </vt:variant>
      <vt:variant>
        <vt:i4>0</vt:i4>
      </vt:variant>
      <vt:variant>
        <vt:i4>5</vt:i4>
      </vt:variant>
      <vt:variant>
        <vt:lpwstr>http://esetappsdoh.doh.state.fl.us/irm00beachwater/default.aspx</vt:lpwstr>
      </vt:variant>
      <vt:variant>
        <vt:lpwstr/>
      </vt:variant>
      <vt:variant>
        <vt:i4>3473470</vt:i4>
      </vt:variant>
      <vt:variant>
        <vt:i4>2061</vt:i4>
      </vt:variant>
      <vt:variant>
        <vt:i4>0</vt:i4>
      </vt:variant>
      <vt:variant>
        <vt:i4>5</vt:i4>
      </vt:variant>
      <vt:variant>
        <vt:lpwstr>http://www.doh.state.fl.us/Environment/medicine/aquatic/index.html</vt:lpwstr>
      </vt:variant>
      <vt:variant>
        <vt:lpwstr/>
      </vt:variant>
      <vt:variant>
        <vt:i4>6094848</vt:i4>
      </vt:variant>
      <vt:variant>
        <vt:i4>2058</vt:i4>
      </vt:variant>
      <vt:variant>
        <vt:i4>0</vt:i4>
      </vt:variant>
      <vt:variant>
        <vt:i4>5</vt:i4>
      </vt:variant>
      <vt:variant>
        <vt:lpwstr>http://www.dep.state.fl.us/water/groundwater/wellhead.htm</vt:lpwstr>
      </vt:variant>
      <vt:variant>
        <vt:lpwstr/>
      </vt:variant>
      <vt:variant>
        <vt:i4>3670122</vt:i4>
      </vt:variant>
      <vt:variant>
        <vt:i4>2055</vt:i4>
      </vt:variant>
      <vt:variant>
        <vt:i4>0</vt:i4>
      </vt:variant>
      <vt:variant>
        <vt:i4>5</vt:i4>
      </vt:variant>
      <vt:variant>
        <vt:lpwstr>http://www.dep.state.fl.us/water/monitoring/basins.htm</vt:lpwstr>
      </vt:variant>
      <vt:variant>
        <vt:lpwstr/>
      </vt:variant>
      <vt:variant>
        <vt:i4>5505109</vt:i4>
      </vt:variant>
      <vt:variant>
        <vt:i4>2052</vt:i4>
      </vt:variant>
      <vt:variant>
        <vt:i4>0</vt:i4>
      </vt:variant>
      <vt:variant>
        <vt:i4>5</vt:i4>
      </vt:variant>
      <vt:variant>
        <vt:lpwstr>http://www.dep.state.fl.us/water/watersheds/assessment/index.htm</vt:lpwstr>
      </vt:variant>
      <vt:variant>
        <vt:lpwstr/>
      </vt:variant>
      <vt:variant>
        <vt:i4>1572878</vt:i4>
      </vt:variant>
      <vt:variant>
        <vt:i4>2049</vt:i4>
      </vt:variant>
      <vt:variant>
        <vt:i4>0</vt:i4>
      </vt:variant>
      <vt:variant>
        <vt:i4>5</vt:i4>
      </vt:variant>
      <vt:variant>
        <vt:lpwstr>http://www.dep.state.fl.us/water/wff/wsupply/</vt:lpwstr>
      </vt:variant>
      <vt:variant>
        <vt:lpwstr/>
      </vt:variant>
      <vt:variant>
        <vt:i4>1310785</vt:i4>
      </vt:variant>
      <vt:variant>
        <vt:i4>2046</vt:i4>
      </vt:variant>
      <vt:variant>
        <vt:i4>0</vt:i4>
      </vt:variant>
      <vt:variant>
        <vt:i4>5</vt:i4>
      </vt:variant>
      <vt:variant>
        <vt:lpwstr>http://www.dep.state.fl.us/water/uic/</vt:lpwstr>
      </vt:variant>
      <vt:variant>
        <vt:lpwstr/>
      </vt:variant>
      <vt:variant>
        <vt:i4>7077940</vt:i4>
      </vt:variant>
      <vt:variant>
        <vt:i4>2043</vt:i4>
      </vt:variant>
      <vt:variant>
        <vt:i4>0</vt:i4>
      </vt:variant>
      <vt:variant>
        <vt:i4>5</vt:i4>
      </vt:variant>
      <vt:variant>
        <vt:lpwstr>http://www.dep.state.fl.us/water/tmdl/index.htm</vt:lpwstr>
      </vt:variant>
      <vt:variant>
        <vt:lpwstr/>
      </vt:variant>
      <vt:variant>
        <vt:i4>327751</vt:i4>
      </vt:variant>
      <vt:variant>
        <vt:i4>2040</vt:i4>
      </vt:variant>
      <vt:variant>
        <vt:i4>0</vt:i4>
      </vt:variant>
      <vt:variant>
        <vt:i4>5</vt:i4>
      </vt:variant>
      <vt:variant>
        <vt:lpwstr>http://www.dep.state.fl.us/water/storet/index.htm</vt:lpwstr>
      </vt:variant>
      <vt:variant>
        <vt:lpwstr/>
      </vt:variant>
      <vt:variant>
        <vt:i4>5111887</vt:i4>
      </vt:variant>
      <vt:variant>
        <vt:i4>2037</vt:i4>
      </vt:variant>
      <vt:variant>
        <vt:i4>0</vt:i4>
      </vt:variant>
      <vt:variant>
        <vt:i4>5</vt:i4>
      </vt:variant>
      <vt:variant>
        <vt:lpwstr>http://www.dep.state.fl.us/Water/wetlands/erp/rules/stormwater/index.htm</vt:lpwstr>
      </vt:variant>
      <vt:variant>
        <vt:lpwstr/>
      </vt:variant>
      <vt:variant>
        <vt:i4>1114116</vt:i4>
      </vt:variant>
      <vt:variant>
        <vt:i4>2034</vt:i4>
      </vt:variant>
      <vt:variant>
        <vt:i4>0</vt:i4>
      </vt:variant>
      <vt:variant>
        <vt:i4>5</vt:i4>
      </vt:variant>
      <vt:variant>
        <vt:lpwstr>http://www.dep.state.fl.us/swapp/</vt:lpwstr>
      </vt:variant>
      <vt:variant>
        <vt:lpwstr/>
      </vt:variant>
      <vt:variant>
        <vt:i4>65600</vt:i4>
      </vt:variant>
      <vt:variant>
        <vt:i4>2031</vt:i4>
      </vt:variant>
      <vt:variant>
        <vt:i4>0</vt:i4>
      </vt:variant>
      <vt:variant>
        <vt:i4>5</vt:i4>
      </vt:variant>
      <vt:variant>
        <vt:lpwstr>http://www.dep.state.fl.us/water/monitoring/sediments.htm</vt:lpwstr>
      </vt:variant>
      <vt:variant>
        <vt:lpwstr/>
      </vt:variant>
      <vt:variant>
        <vt:i4>6815853</vt:i4>
      </vt:variant>
      <vt:variant>
        <vt:i4>2028</vt:i4>
      </vt:variant>
      <vt:variant>
        <vt:i4>0</vt:i4>
      </vt:variant>
      <vt:variant>
        <vt:i4>5</vt:i4>
      </vt:variant>
      <vt:variant>
        <vt:lpwstr>http://www.dep.state.fl.us/water/wqssp/nutrients/index.htm</vt:lpwstr>
      </vt:variant>
      <vt:variant>
        <vt:lpwstr/>
      </vt:variant>
      <vt:variant>
        <vt:i4>2883626</vt:i4>
      </vt:variant>
      <vt:variant>
        <vt:i4>2025</vt:i4>
      </vt:variant>
      <vt:variant>
        <vt:i4>0</vt:i4>
      </vt:variant>
      <vt:variant>
        <vt:i4>5</vt:i4>
      </vt:variant>
      <vt:variant>
        <vt:lpwstr>http://www.dep.state.fl.us/water/nonpoint/</vt:lpwstr>
      </vt:variant>
      <vt:variant>
        <vt:lpwstr/>
      </vt:variant>
      <vt:variant>
        <vt:i4>2228324</vt:i4>
      </vt:variant>
      <vt:variant>
        <vt:i4>2022</vt:i4>
      </vt:variant>
      <vt:variant>
        <vt:i4>0</vt:i4>
      </vt:variant>
      <vt:variant>
        <vt:i4>5</vt:i4>
      </vt:variant>
      <vt:variant>
        <vt:lpwstr>http://www.dep.state.fl.us/WATER/monitoring/fwseds.htm</vt:lpwstr>
      </vt:variant>
      <vt:variant>
        <vt:lpwstr/>
      </vt:variant>
      <vt:variant>
        <vt:i4>8323174</vt:i4>
      </vt:variant>
      <vt:variant>
        <vt:i4>2019</vt:i4>
      </vt:variant>
      <vt:variant>
        <vt:i4>0</vt:i4>
      </vt:variant>
      <vt:variant>
        <vt:i4>5</vt:i4>
      </vt:variant>
      <vt:variant>
        <vt:lpwstr>http://www.dep.state.fl.us/secretary/designateduse.htm</vt:lpwstr>
      </vt:variant>
      <vt:variant>
        <vt:lpwstr/>
      </vt:variant>
      <vt:variant>
        <vt:i4>2555966</vt:i4>
      </vt:variant>
      <vt:variant>
        <vt:i4>2016</vt:i4>
      </vt:variant>
      <vt:variant>
        <vt:i4>0</vt:i4>
      </vt:variant>
      <vt:variant>
        <vt:i4>5</vt:i4>
      </vt:variant>
      <vt:variant>
        <vt:lpwstr>http://www.floridasprings.org/</vt:lpwstr>
      </vt:variant>
      <vt:variant>
        <vt:lpwstr/>
      </vt:variant>
      <vt:variant>
        <vt:i4>5374032</vt:i4>
      </vt:variant>
      <vt:variant>
        <vt:i4>2013</vt:i4>
      </vt:variant>
      <vt:variant>
        <vt:i4>0</vt:i4>
      </vt:variant>
      <vt:variant>
        <vt:i4>5</vt:i4>
      </vt:variant>
      <vt:variant>
        <vt:lpwstr>http://www.dep.state.fl.us/water/esoc.htm</vt:lpwstr>
      </vt:variant>
      <vt:variant>
        <vt:lpwstr/>
      </vt:variant>
      <vt:variant>
        <vt:i4>720960</vt:i4>
      </vt:variant>
      <vt:variant>
        <vt:i4>2010</vt:i4>
      </vt:variant>
      <vt:variant>
        <vt:i4>0</vt:i4>
      </vt:variant>
      <vt:variant>
        <vt:i4>5</vt:i4>
      </vt:variant>
      <vt:variant>
        <vt:lpwstr>http://www.dep.state.fl.us/water/drinkingwater/index.htm</vt:lpwstr>
      </vt:variant>
      <vt:variant>
        <vt:lpwstr/>
      </vt:variant>
      <vt:variant>
        <vt:i4>6684735</vt:i4>
      </vt:variant>
      <vt:variant>
        <vt:i4>2007</vt:i4>
      </vt:variant>
      <vt:variant>
        <vt:i4>0</vt:i4>
      </vt:variant>
      <vt:variant>
        <vt:i4>5</vt:i4>
      </vt:variant>
      <vt:variant>
        <vt:lpwstr>http://www.doh.state.fl.us/Environment/water/index.html</vt:lpwstr>
      </vt:variant>
      <vt:variant>
        <vt:lpwstr>Drinking2</vt:lpwstr>
      </vt:variant>
      <vt:variant>
        <vt:i4>8060990</vt:i4>
      </vt:variant>
      <vt:variant>
        <vt:i4>2004</vt:i4>
      </vt:variant>
      <vt:variant>
        <vt:i4>0</vt:i4>
      </vt:variant>
      <vt:variant>
        <vt:i4>5</vt:i4>
      </vt:variant>
      <vt:variant>
        <vt:lpwstr>http://www.dep.state.fl.us/water/drinkingwater/</vt:lpwstr>
      </vt:variant>
      <vt:variant>
        <vt:lpwstr/>
      </vt:variant>
      <vt:variant>
        <vt:i4>7471143</vt:i4>
      </vt:variant>
      <vt:variant>
        <vt:i4>2001</vt:i4>
      </vt:variant>
      <vt:variant>
        <vt:i4>0</vt:i4>
      </vt:variant>
      <vt:variant>
        <vt:i4>5</vt:i4>
      </vt:variant>
      <vt:variant>
        <vt:lpwstr>http://www.dep.state.fl.us/water/groundwater/delineate.htm</vt:lpwstr>
      </vt:variant>
      <vt:variant>
        <vt:lpwstr/>
      </vt:variant>
      <vt:variant>
        <vt:i4>3407904</vt:i4>
      </vt:variant>
      <vt:variant>
        <vt:i4>1998</vt:i4>
      </vt:variant>
      <vt:variant>
        <vt:i4>0</vt:i4>
      </vt:variant>
      <vt:variant>
        <vt:i4>5</vt:i4>
      </vt:variant>
      <vt:variant>
        <vt:lpwstr>http://www.dep.state.fl.us/waste/categories/pss/default.htm</vt:lpwstr>
      </vt:variant>
      <vt:variant>
        <vt:lpwstr/>
      </vt:variant>
      <vt:variant>
        <vt:i4>7536700</vt:i4>
      </vt:variant>
      <vt:variant>
        <vt:i4>1995</vt:i4>
      </vt:variant>
      <vt:variant>
        <vt:i4>0</vt:i4>
      </vt:variant>
      <vt:variant>
        <vt:i4>5</vt:i4>
      </vt:variant>
      <vt:variant>
        <vt:lpwstr>http://www.dep.state.fl.us/water/bgalgae/index.htm</vt:lpwstr>
      </vt:variant>
      <vt:variant>
        <vt:lpwstr/>
      </vt:variant>
      <vt:variant>
        <vt:i4>6946875</vt:i4>
      </vt:variant>
      <vt:variant>
        <vt:i4>1992</vt:i4>
      </vt:variant>
      <vt:variant>
        <vt:i4>0</vt:i4>
      </vt:variant>
      <vt:variant>
        <vt:i4>5</vt:i4>
      </vt:variant>
      <vt:variant>
        <vt:lpwstr>http://www.dep.state.fl.us/labs/qa/sops.htm</vt:lpwstr>
      </vt:variant>
      <vt:variant>
        <vt:lpwstr/>
      </vt:variant>
      <vt:variant>
        <vt:i4>7012410</vt:i4>
      </vt:variant>
      <vt:variant>
        <vt:i4>1989</vt:i4>
      </vt:variant>
      <vt:variant>
        <vt:i4>0</vt:i4>
      </vt:variant>
      <vt:variant>
        <vt:i4>5</vt:i4>
      </vt:variant>
      <vt:variant>
        <vt:lpwstr>http://www.dep.state.fl.us/water/docs/2008_Integrated_Report.pdf</vt:lpwstr>
      </vt:variant>
      <vt:variant>
        <vt:lpwstr/>
      </vt:variant>
      <vt:variant>
        <vt:i4>1245262</vt:i4>
      </vt:variant>
      <vt:variant>
        <vt:i4>1986</vt:i4>
      </vt:variant>
      <vt:variant>
        <vt:i4>0</vt:i4>
      </vt:variant>
      <vt:variant>
        <vt:i4>5</vt:i4>
      </vt:variant>
      <vt:variant>
        <vt:lpwstr>http://dep.state.fl.us/water/tmdl/docs/tmdls/merc-tmdl-plan-draft.pdf</vt:lpwstr>
      </vt:variant>
      <vt:variant>
        <vt:lpwstr/>
      </vt:variant>
      <vt:variant>
        <vt:i4>7536748</vt:i4>
      </vt:variant>
      <vt:variant>
        <vt:i4>1983</vt:i4>
      </vt:variant>
      <vt:variant>
        <vt:i4>0</vt:i4>
      </vt:variant>
      <vt:variant>
        <vt:i4>5</vt:i4>
      </vt:variant>
      <vt:variant>
        <vt:lpwstr>http://www.dep.state.fl.us/water/wqssp/docs/CanalRechargeReport.pdf</vt:lpwstr>
      </vt:variant>
      <vt:variant>
        <vt:lpwstr/>
      </vt:variant>
      <vt:variant>
        <vt:i4>6619194</vt:i4>
      </vt:variant>
      <vt:variant>
        <vt:i4>1980</vt:i4>
      </vt:variant>
      <vt:variant>
        <vt:i4>0</vt:i4>
      </vt:variant>
      <vt:variant>
        <vt:i4>5</vt:i4>
      </vt:variant>
      <vt:variant>
        <vt:lpwstr>http://www.dep.state.fl.us/water/docs/2006_Integrated_Report.pdf</vt:lpwstr>
      </vt:variant>
      <vt:variant>
        <vt:lpwstr/>
      </vt:variant>
      <vt:variant>
        <vt:i4>327751</vt:i4>
      </vt:variant>
      <vt:variant>
        <vt:i4>1977</vt:i4>
      </vt:variant>
      <vt:variant>
        <vt:i4>0</vt:i4>
      </vt:variant>
      <vt:variant>
        <vt:i4>5</vt:i4>
      </vt:variant>
      <vt:variant>
        <vt:lpwstr>http://www.dep.state.fl.us/water/storet/index.htm</vt:lpwstr>
      </vt:variant>
      <vt:variant>
        <vt:lpwstr/>
      </vt:variant>
      <vt:variant>
        <vt:i4>720960</vt:i4>
      </vt:variant>
      <vt:variant>
        <vt:i4>1974</vt:i4>
      </vt:variant>
      <vt:variant>
        <vt:i4>0</vt:i4>
      </vt:variant>
      <vt:variant>
        <vt:i4>5</vt:i4>
      </vt:variant>
      <vt:variant>
        <vt:lpwstr>http://www.dep.state.fl.us/water/drinkingwater/index.htm</vt:lpwstr>
      </vt:variant>
      <vt:variant>
        <vt:lpwstr/>
      </vt:variant>
      <vt:variant>
        <vt:i4>2555966</vt:i4>
      </vt:variant>
      <vt:variant>
        <vt:i4>1971</vt:i4>
      </vt:variant>
      <vt:variant>
        <vt:i4>0</vt:i4>
      </vt:variant>
      <vt:variant>
        <vt:i4>5</vt:i4>
      </vt:variant>
      <vt:variant>
        <vt:lpwstr>http://www.floridasprings.org/</vt:lpwstr>
      </vt:variant>
      <vt:variant>
        <vt:lpwstr/>
      </vt:variant>
      <vt:variant>
        <vt:i4>7405605</vt:i4>
      </vt:variant>
      <vt:variant>
        <vt:i4>1968</vt:i4>
      </vt:variant>
      <vt:variant>
        <vt:i4>0</vt:i4>
      </vt:variant>
      <vt:variant>
        <vt:i4>5</vt:i4>
      </vt:variant>
      <vt:variant>
        <vt:lpwstr>http://www.dep.state.fl.us/water/wqssp/classes.htm</vt:lpwstr>
      </vt:variant>
      <vt:variant>
        <vt:lpwstr/>
      </vt:variant>
      <vt:variant>
        <vt:i4>5767199</vt:i4>
      </vt:variant>
      <vt:variant>
        <vt:i4>1965</vt:i4>
      </vt:variant>
      <vt:variant>
        <vt:i4>0</vt:i4>
      </vt:variant>
      <vt:variant>
        <vt:i4>5</vt:i4>
      </vt:variant>
      <vt:variant>
        <vt:lpwstr>http://www.dep.state.fl.us/labs/mercury/index.htm</vt:lpwstr>
      </vt:variant>
      <vt:variant>
        <vt:lpwstr/>
      </vt:variant>
      <vt:variant>
        <vt:i4>393342</vt:i4>
      </vt:variant>
      <vt:variant>
        <vt:i4>1962</vt:i4>
      </vt:variant>
      <vt:variant>
        <vt:i4>0</vt:i4>
      </vt:variant>
      <vt:variant>
        <vt:i4>5</vt:i4>
      </vt:variant>
      <vt:variant>
        <vt:lpwstr>http://www.dep.state.fl.us/water/monitoring/docs/MonitoringStrategy_106.pdf</vt:lpwstr>
      </vt:variant>
      <vt:variant>
        <vt:lpwstr/>
      </vt:variant>
      <vt:variant>
        <vt:i4>1835085</vt:i4>
      </vt:variant>
      <vt:variant>
        <vt:i4>1959</vt:i4>
      </vt:variant>
      <vt:variant>
        <vt:i4>0</vt:i4>
      </vt:variant>
      <vt:variant>
        <vt:i4>5</vt:i4>
      </vt:variant>
      <vt:variant>
        <vt:lpwstr>http://www.dep.state.fl.us/labs/qa/qadocument.htm</vt:lpwstr>
      </vt:variant>
      <vt:variant>
        <vt:lpwstr/>
      </vt:variant>
      <vt:variant>
        <vt:i4>6750266</vt:i4>
      </vt:variant>
      <vt:variant>
        <vt:i4>1956</vt:i4>
      </vt:variant>
      <vt:variant>
        <vt:i4>0</vt:i4>
      </vt:variant>
      <vt:variant>
        <vt:i4>5</vt:i4>
      </vt:variant>
      <vt:variant>
        <vt:lpwstr>http://www.dep.state.fl.us/water/docs/2004_Integrated_Report.pdf</vt:lpwstr>
      </vt:variant>
      <vt:variant>
        <vt:lpwstr/>
      </vt:variant>
      <vt:variant>
        <vt:i4>2228324</vt:i4>
      </vt:variant>
      <vt:variant>
        <vt:i4>1953</vt:i4>
      </vt:variant>
      <vt:variant>
        <vt:i4>0</vt:i4>
      </vt:variant>
      <vt:variant>
        <vt:i4>5</vt:i4>
      </vt:variant>
      <vt:variant>
        <vt:lpwstr>http://www.dep.state.fl.us/water/monitoring/fwseds.htm</vt:lpwstr>
      </vt:variant>
      <vt:variant>
        <vt:lpwstr/>
      </vt:variant>
      <vt:variant>
        <vt:i4>1572876</vt:i4>
      </vt:variant>
      <vt:variant>
        <vt:i4>1950</vt:i4>
      </vt:variant>
      <vt:variant>
        <vt:i4>0</vt:i4>
      </vt:variant>
      <vt:variant>
        <vt:i4>5</vt:i4>
      </vt:variant>
      <vt:variant>
        <vt:lpwstr>http://www.dep.state.fl.us/water/tmdl/docs/AmendedIWR.pdf</vt:lpwstr>
      </vt:variant>
      <vt:variant>
        <vt:lpwstr/>
      </vt:variant>
      <vt:variant>
        <vt:i4>3801179</vt:i4>
      </vt:variant>
      <vt:variant>
        <vt:i4>1947</vt:i4>
      </vt:variant>
      <vt:variant>
        <vt:i4>0</vt:i4>
      </vt:variant>
      <vt:variant>
        <vt:i4>5</vt:i4>
      </vt:variant>
      <vt:variant>
        <vt:lpwstr>http://www.dep.state.fl.us/water/tmdl/stat_rep.htm</vt:lpwstr>
      </vt:variant>
      <vt:variant>
        <vt:lpwstr/>
      </vt:variant>
      <vt:variant>
        <vt:i4>6750266</vt:i4>
      </vt:variant>
      <vt:variant>
        <vt:i4>1944</vt:i4>
      </vt:variant>
      <vt:variant>
        <vt:i4>0</vt:i4>
      </vt:variant>
      <vt:variant>
        <vt:i4>5</vt:i4>
      </vt:variant>
      <vt:variant>
        <vt:lpwstr>http://www.dep.state.fl.us/water/docs/2004_Integrated_Report.pdf</vt:lpwstr>
      </vt:variant>
      <vt:variant>
        <vt:lpwstr/>
      </vt:variant>
      <vt:variant>
        <vt:i4>2555907</vt:i4>
      </vt:variant>
      <vt:variant>
        <vt:i4>1941</vt:i4>
      </vt:variant>
      <vt:variant>
        <vt:i4>0</vt:i4>
      </vt:variant>
      <vt:variant>
        <vt:i4>5</vt:i4>
      </vt:variant>
      <vt:variant>
        <vt:lpwstr>http://publicfiles.dep.state.fl.us/FGS/FGS_Publications/FGS Library Documents/FLCoastSedContamAtlas.pdf</vt:lpwstr>
      </vt:variant>
      <vt:variant>
        <vt:lpwstr/>
      </vt:variant>
      <vt:variant>
        <vt:i4>5767243</vt:i4>
      </vt:variant>
      <vt:variant>
        <vt:i4>1938</vt:i4>
      </vt:variant>
      <vt:variant>
        <vt:i4>0</vt:i4>
      </vt:variant>
      <vt:variant>
        <vt:i4>5</vt:i4>
      </vt:variant>
      <vt:variant>
        <vt:lpwstr>http://www.floridaagwaterpolicy.com/</vt:lpwstr>
      </vt:variant>
      <vt:variant>
        <vt:lpwstr/>
      </vt:variant>
      <vt:variant>
        <vt:i4>6094918</vt:i4>
      </vt:variant>
      <vt:variant>
        <vt:i4>1935</vt:i4>
      </vt:variant>
      <vt:variant>
        <vt:i4>0</vt:i4>
      </vt:variant>
      <vt:variant>
        <vt:i4>5</vt:i4>
      </vt:variant>
      <vt:variant>
        <vt:lpwstr>http://www.floridaaquaculture.com/RedTide/RedTideInfo.htm</vt:lpwstr>
      </vt:variant>
      <vt:variant>
        <vt:lpwstr/>
      </vt:variant>
      <vt:variant>
        <vt:i4>3801118</vt:i4>
      </vt:variant>
      <vt:variant>
        <vt:i4>1932</vt:i4>
      </vt:variant>
      <vt:variant>
        <vt:i4>0</vt:i4>
      </vt:variant>
      <vt:variant>
        <vt:i4>5</vt:i4>
      </vt:variant>
      <vt:variant>
        <vt:lpwstr>http://www.floridaaquaculture.com/SEAS/SEAS_intro.htm</vt:lpwstr>
      </vt:variant>
      <vt:variant>
        <vt:lpwstr/>
      </vt:variant>
      <vt:variant>
        <vt:i4>196701</vt:i4>
      </vt:variant>
      <vt:variant>
        <vt:i4>1929</vt:i4>
      </vt:variant>
      <vt:variant>
        <vt:i4>0</vt:i4>
      </vt:variant>
      <vt:variant>
        <vt:i4>5</vt:i4>
      </vt:variant>
      <vt:variant>
        <vt:lpwstr>https://www.flrules.org/gateway/ChapterHome.asp?Chapter=5E-1</vt:lpwstr>
      </vt:variant>
      <vt:variant>
        <vt:lpwstr/>
      </vt:variant>
      <vt:variant>
        <vt:i4>2031685</vt:i4>
      </vt:variant>
      <vt:variant>
        <vt:i4>1926</vt:i4>
      </vt:variant>
      <vt:variant>
        <vt:i4>0</vt:i4>
      </vt:variant>
      <vt:variant>
        <vt:i4>5</vt:i4>
      </vt:variant>
      <vt:variant>
        <vt:lpwstr>http://iodeweb1.vliz.be/odin/bitstream/1834/758/1/Lora E5.pdf</vt:lpwstr>
      </vt:variant>
      <vt:variant>
        <vt:lpwstr/>
      </vt:variant>
      <vt:variant>
        <vt:i4>7012366</vt:i4>
      </vt:variant>
      <vt:variant>
        <vt:i4>1923</vt:i4>
      </vt:variant>
      <vt:variant>
        <vt:i4>0</vt:i4>
      </vt:variant>
      <vt:variant>
        <vt:i4>5</vt:i4>
      </vt:variant>
      <vt:variant>
        <vt:lpwstr>http://www.fws.gov/wetlands/_documents/gSandT/StateRegionalReports/FloridasWetlandsUpdateStatusTrends1985to1996.pdf</vt:lpwstr>
      </vt:variant>
      <vt:variant>
        <vt:lpwstr/>
      </vt:variant>
      <vt:variant>
        <vt:i4>7340039</vt:i4>
      </vt:variant>
      <vt:variant>
        <vt:i4>1920</vt:i4>
      </vt:variant>
      <vt:variant>
        <vt:i4>0</vt:i4>
      </vt:variant>
      <vt:variant>
        <vt:i4>5</vt:i4>
      </vt:variant>
      <vt:variant>
        <vt:lpwstr>http://www.fws.gov/wetlands/_documents/gSandT/NationalReports/WetlandsLossesUS1780sto1980s.pdf</vt:lpwstr>
      </vt:variant>
      <vt:variant>
        <vt:lpwstr/>
      </vt:variant>
      <vt:variant>
        <vt:i4>655390</vt:i4>
      </vt:variant>
      <vt:variant>
        <vt:i4>1917</vt:i4>
      </vt:variant>
      <vt:variant>
        <vt:i4>0</vt:i4>
      </vt:variant>
      <vt:variant>
        <vt:i4>5</vt:i4>
      </vt:variant>
      <vt:variant>
        <vt:lpwstr>http://ufdcweb1.uflib.ufl.edu/ufdc/?b=UF00095137&amp;v=00001</vt:lpwstr>
      </vt:variant>
      <vt:variant>
        <vt:lpwstr/>
      </vt:variant>
      <vt:variant>
        <vt:i4>262209</vt:i4>
      </vt:variant>
      <vt:variant>
        <vt:i4>1914</vt:i4>
      </vt:variant>
      <vt:variant>
        <vt:i4>0</vt:i4>
      </vt:variant>
      <vt:variant>
        <vt:i4>5</vt:i4>
      </vt:variant>
      <vt:variant>
        <vt:lpwstr>http://www.evergladesplan.org/index.aspx</vt:lpwstr>
      </vt:variant>
      <vt:variant>
        <vt:lpwstr/>
      </vt:variant>
      <vt:variant>
        <vt:i4>4259872</vt:i4>
      </vt:variant>
      <vt:variant>
        <vt:i4>1911</vt:i4>
      </vt:variant>
      <vt:variant>
        <vt:i4>0</vt:i4>
      </vt:variant>
      <vt:variant>
        <vt:i4>5</vt:i4>
      </vt:variant>
      <vt:variant>
        <vt:lpwstr>http://www.dep.state.fl.us/water/monitoring/docs/seds/FFW_Metals_Report_Final.pdf</vt:lpwstr>
      </vt:variant>
      <vt:variant>
        <vt:lpwstr/>
      </vt:variant>
      <vt:variant>
        <vt:i4>1376285</vt:i4>
      </vt:variant>
      <vt:variant>
        <vt:i4>1908</vt:i4>
      </vt:variant>
      <vt:variant>
        <vt:i4>0</vt:i4>
      </vt:variant>
      <vt:variant>
        <vt:i4>5</vt:i4>
      </vt:variant>
      <vt:variant>
        <vt:lpwstr>http://www.dep.state.fl.us/springs/reports/files/UF_SpringsNutrients_Report.pdf</vt:lpwstr>
      </vt:variant>
      <vt:variant>
        <vt:lpwstr/>
      </vt:variant>
      <vt:variant>
        <vt:i4>1704003</vt:i4>
      </vt:variant>
      <vt:variant>
        <vt:i4>1905</vt:i4>
      </vt:variant>
      <vt:variant>
        <vt:i4>0</vt:i4>
      </vt:variant>
      <vt:variant>
        <vt:i4>5</vt:i4>
      </vt:variant>
      <vt:variant>
        <vt:lpwstr>http://consensus.fsu.edu/fertilizer-task-force/pdfs2/Fertilizer_Task_Force_Final_Report11408-3.pdf</vt:lpwstr>
      </vt:variant>
      <vt:variant>
        <vt:lpwstr/>
      </vt:variant>
      <vt:variant>
        <vt:i4>7602226</vt:i4>
      </vt:variant>
      <vt:variant>
        <vt:i4>1902</vt:i4>
      </vt:variant>
      <vt:variant>
        <vt:i4>0</vt:i4>
      </vt:variant>
      <vt:variant>
        <vt:i4>5</vt:i4>
      </vt:variant>
      <vt:variant>
        <vt:lpwstr>http://hsc.usf.edu/publichealth/EOH/BRACE/</vt:lpwstr>
      </vt:variant>
      <vt:variant>
        <vt:lpwstr/>
      </vt:variant>
      <vt:variant>
        <vt:i4>2949132</vt:i4>
      </vt:variant>
      <vt:variant>
        <vt:i4>1899</vt:i4>
      </vt:variant>
      <vt:variant>
        <vt:i4>0</vt:i4>
      </vt:variant>
      <vt:variant>
        <vt:i4>5</vt:i4>
      </vt:variant>
      <vt:variant>
        <vt:lpwstr>http://water.usgs.gov/ogw/pubs/ofr0289/jda_mobilization.htm</vt:lpwstr>
      </vt:variant>
      <vt:variant>
        <vt:lpwstr/>
      </vt:variant>
      <vt:variant>
        <vt:i4>917515</vt:i4>
      </vt:variant>
      <vt:variant>
        <vt:i4>1896</vt:i4>
      </vt:variant>
      <vt:variant>
        <vt:i4>0</vt:i4>
      </vt:variant>
      <vt:variant>
        <vt:i4>5</vt:i4>
      </vt:variant>
      <vt:variant>
        <vt:lpwstr>http://www.americasroof.com/highest/fl.shtml</vt:lpwstr>
      </vt:variant>
      <vt:variant>
        <vt:lpwstr/>
      </vt:variant>
      <vt:variant>
        <vt:i4>4980741</vt:i4>
      </vt:variant>
      <vt:variant>
        <vt:i4>1893</vt:i4>
      </vt:variant>
      <vt:variant>
        <vt:i4>0</vt:i4>
      </vt:variant>
      <vt:variant>
        <vt:i4>5</vt:i4>
      </vt:variant>
      <vt:variant>
        <vt:lpwstr>http://www.stateofflorida.com/Portal/DesktopDefault.aspx?tabid=95</vt:lpwstr>
      </vt:variant>
      <vt:variant>
        <vt:lpwstr/>
      </vt:variant>
      <vt:variant>
        <vt:i4>7864396</vt:i4>
      </vt:variant>
      <vt:variant>
        <vt:i4>1890</vt:i4>
      </vt:variant>
      <vt:variant>
        <vt:i4>0</vt:i4>
      </vt:variant>
      <vt:variant>
        <vt:i4>5</vt:i4>
      </vt:variant>
      <vt:variant>
        <vt:lpwstr>http://research.myfwc.com/engine/download_redirection_process.asp?file=TR_14screen.pdf&amp;objid=20125&amp;dltype=article</vt:lpwstr>
      </vt:variant>
      <vt:variant>
        <vt:lpwstr/>
      </vt:variant>
      <vt:variant>
        <vt:i4>262242</vt:i4>
      </vt:variant>
      <vt:variant>
        <vt:i4>1887</vt:i4>
      </vt:variant>
      <vt:variant>
        <vt:i4>0</vt:i4>
      </vt:variant>
      <vt:variant>
        <vt:i4>5</vt:i4>
      </vt:variant>
      <vt:variant>
        <vt:lpwstr>http://www.dep.state.fl.us/water/wetlands/docs/erp/nwerp_brochure.pdf</vt:lpwstr>
      </vt:variant>
      <vt:variant>
        <vt:lpwstr/>
      </vt:variant>
      <vt:variant>
        <vt:i4>262209</vt:i4>
      </vt:variant>
      <vt:variant>
        <vt:i4>1881</vt:i4>
      </vt:variant>
      <vt:variant>
        <vt:i4>0</vt:i4>
      </vt:variant>
      <vt:variant>
        <vt:i4>5</vt:i4>
      </vt:variant>
      <vt:variant>
        <vt:lpwstr>http://www.evergladesplan.org/index.aspx</vt:lpwstr>
      </vt:variant>
      <vt:variant>
        <vt:lpwstr/>
      </vt:variant>
      <vt:variant>
        <vt:i4>8060965</vt:i4>
      </vt:variant>
      <vt:variant>
        <vt:i4>1878</vt:i4>
      </vt:variant>
      <vt:variant>
        <vt:i4>0</vt:i4>
      </vt:variant>
      <vt:variant>
        <vt:i4>5</vt:i4>
      </vt:variant>
      <vt:variant>
        <vt:lpwstr>http://www.epa.gov/owm/mtb/cwns/2004rtc/toc.htm</vt:lpwstr>
      </vt:variant>
      <vt:variant>
        <vt:lpwstr/>
      </vt:variant>
      <vt:variant>
        <vt:i4>524391</vt:i4>
      </vt:variant>
      <vt:variant>
        <vt:i4>1875</vt:i4>
      </vt:variant>
      <vt:variant>
        <vt:i4>0</vt:i4>
      </vt:variant>
      <vt:variant>
        <vt:i4>5</vt:i4>
      </vt:variant>
      <vt:variant>
        <vt:lpwstr>http://fyn.ifas.ufl.edu/professionals/BMP_overview.htm</vt:lpwstr>
      </vt:variant>
      <vt:variant>
        <vt:lpwstr/>
      </vt:variant>
      <vt:variant>
        <vt:i4>3801173</vt:i4>
      </vt:variant>
      <vt:variant>
        <vt:i4>1872</vt:i4>
      </vt:variant>
      <vt:variant>
        <vt:i4>0</vt:i4>
      </vt:variant>
      <vt:variant>
        <vt:i4>5</vt:i4>
      </vt:variant>
      <vt:variant>
        <vt:lpwstr>http://if-srvv-edis.ifas.ufl.edu/topic_fyn</vt:lpwstr>
      </vt:variant>
      <vt:variant>
        <vt:lpwstr/>
      </vt:variant>
      <vt:variant>
        <vt:i4>7077940</vt:i4>
      </vt:variant>
      <vt:variant>
        <vt:i4>1869</vt:i4>
      </vt:variant>
      <vt:variant>
        <vt:i4>0</vt:i4>
      </vt:variant>
      <vt:variant>
        <vt:i4>5</vt:i4>
      </vt:variant>
      <vt:variant>
        <vt:lpwstr>http://www.dep.state.fl.us/water/tmdl/index.htm</vt:lpwstr>
      </vt:variant>
      <vt:variant>
        <vt:lpwstr/>
      </vt:variant>
      <vt:variant>
        <vt:i4>8192055</vt:i4>
      </vt:variant>
      <vt:variant>
        <vt:i4>1866</vt:i4>
      </vt:variant>
      <vt:variant>
        <vt:i4>0</vt:i4>
      </vt:variant>
      <vt:variant>
        <vt:i4>5</vt:i4>
      </vt:variant>
      <vt:variant>
        <vt:lpwstr>http://www.dep.state.fl.us/water/nonpoint/index.htm</vt:lpwstr>
      </vt:variant>
      <vt:variant>
        <vt:lpwstr/>
      </vt:variant>
      <vt:variant>
        <vt:i4>6488115</vt:i4>
      </vt:variant>
      <vt:variant>
        <vt:i4>1863</vt:i4>
      </vt:variant>
      <vt:variant>
        <vt:i4>0</vt:i4>
      </vt:variant>
      <vt:variant>
        <vt:i4>5</vt:i4>
      </vt:variant>
      <vt:variant>
        <vt:lpwstr>http://www.dep.state.fl.us/water/nonpoint/agsrc.htm</vt:lpwstr>
      </vt:variant>
      <vt:variant>
        <vt:lpwstr/>
      </vt:variant>
      <vt:variant>
        <vt:i4>7733284</vt:i4>
      </vt:variant>
      <vt:variant>
        <vt:i4>1860</vt:i4>
      </vt:variant>
      <vt:variant>
        <vt:i4>0</vt:i4>
      </vt:variant>
      <vt:variant>
        <vt:i4>5</vt:i4>
      </vt:variant>
      <vt:variant>
        <vt:lpwstr>http://www.stormwater.ucf.edu/</vt:lpwstr>
      </vt:variant>
      <vt:variant>
        <vt:lpwstr/>
      </vt:variant>
      <vt:variant>
        <vt:i4>8192055</vt:i4>
      </vt:variant>
      <vt:variant>
        <vt:i4>1857</vt:i4>
      </vt:variant>
      <vt:variant>
        <vt:i4>0</vt:i4>
      </vt:variant>
      <vt:variant>
        <vt:i4>5</vt:i4>
      </vt:variant>
      <vt:variant>
        <vt:lpwstr>http://www.dep.state.fl.us/water/nonpoint/index.htm</vt:lpwstr>
      </vt:variant>
      <vt:variant>
        <vt:lpwstr/>
      </vt:variant>
      <vt:variant>
        <vt:i4>8192055</vt:i4>
      </vt:variant>
      <vt:variant>
        <vt:i4>1854</vt:i4>
      </vt:variant>
      <vt:variant>
        <vt:i4>0</vt:i4>
      </vt:variant>
      <vt:variant>
        <vt:i4>5</vt:i4>
      </vt:variant>
      <vt:variant>
        <vt:lpwstr>http://www.dep.state.fl.us/water/nonpoint/index.htm</vt:lpwstr>
      </vt:variant>
      <vt:variant>
        <vt:lpwstr/>
      </vt:variant>
      <vt:variant>
        <vt:i4>8192055</vt:i4>
      </vt:variant>
      <vt:variant>
        <vt:i4>1851</vt:i4>
      </vt:variant>
      <vt:variant>
        <vt:i4>0</vt:i4>
      </vt:variant>
      <vt:variant>
        <vt:i4>5</vt:i4>
      </vt:variant>
      <vt:variant>
        <vt:lpwstr>http://www.dep.state.fl.us/water/nonpoint/index.htm</vt:lpwstr>
      </vt:variant>
      <vt:variant>
        <vt:lpwstr/>
      </vt:variant>
      <vt:variant>
        <vt:i4>5767243</vt:i4>
      </vt:variant>
      <vt:variant>
        <vt:i4>1848</vt:i4>
      </vt:variant>
      <vt:variant>
        <vt:i4>0</vt:i4>
      </vt:variant>
      <vt:variant>
        <vt:i4>5</vt:i4>
      </vt:variant>
      <vt:variant>
        <vt:lpwstr>http://www.floridaagwaterpolicy.com/</vt:lpwstr>
      </vt:variant>
      <vt:variant>
        <vt:lpwstr/>
      </vt:variant>
      <vt:variant>
        <vt:i4>2883626</vt:i4>
      </vt:variant>
      <vt:variant>
        <vt:i4>1845</vt:i4>
      </vt:variant>
      <vt:variant>
        <vt:i4>0</vt:i4>
      </vt:variant>
      <vt:variant>
        <vt:i4>5</vt:i4>
      </vt:variant>
      <vt:variant>
        <vt:lpwstr>http://www.dep.state.fl.us/water/nonpoint/</vt:lpwstr>
      </vt:variant>
      <vt:variant>
        <vt:lpwstr/>
      </vt:variant>
      <vt:variant>
        <vt:i4>4128871</vt:i4>
      </vt:variant>
      <vt:variant>
        <vt:i4>1842</vt:i4>
      </vt:variant>
      <vt:variant>
        <vt:i4>0</vt:i4>
      </vt:variant>
      <vt:variant>
        <vt:i4>5</vt:i4>
      </vt:variant>
      <vt:variant>
        <vt:lpwstr>http://www.dep.state.fl.us/water/wastewater/permitting.htm</vt:lpwstr>
      </vt:variant>
      <vt:variant>
        <vt:lpwstr/>
      </vt:variant>
      <vt:variant>
        <vt:i4>4128871</vt:i4>
      </vt:variant>
      <vt:variant>
        <vt:i4>1839</vt:i4>
      </vt:variant>
      <vt:variant>
        <vt:i4>0</vt:i4>
      </vt:variant>
      <vt:variant>
        <vt:i4>5</vt:i4>
      </vt:variant>
      <vt:variant>
        <vt:lpwstr>http://www.dep.state.fl.us/water/wastewater/permitting.htm</vt:lpwstr>
      </vt:variant>
      <vt:variant>
        <vt:lpwstr/>
      </vt:variant>
      <vt:variant>
        <vt:i4>5177353</vt:i4>
      </vt:variant>
      <vt:variant>
        <vt:i4>1836</vt:i4>
      </vt:variant>
      <vt:variant>
        <vt:i4>0</vt:i4>
      </vt:variant>
      <vt:variant>
        <vt:i4>5</vt:i4>
      </vt:variant>
      <vt:variant>
        <vt:lpwstr>http://www.dep.state.fl.us/water/watersheds/swim.htm</vt:lpwstr>
      </vt:variant>
      <vt:variant>
        <vt:lpwstr/>
      </vt:variant>
      <vt:variant>
        <vt:i4>5505109</vt:i4>
      </vt:variant>
      <vt:variant>
        <vt:i4>1833</vt:i4>
      </vt:variant>
      <vt:variant>
        <vt:i4>0</vt:i4>
      </vt:variant>
      <vt:variant>
        <vt:i4>5</vt:i4>
      </vt:variant>
      <vt:variant>
        <vt:lpwstr>http://www.dep.state.fl.us/water/watersheds/assessment/index.htm</vt:lpwstr>
      </vt:variant>
      <vt:variant>
        <vt:lpwstr/>
      </vt:variant>
      <vt:variant>
        <vt:i4>7471137</vt:i4>
      </vt:variant>
      <vt:variant>
        <vt:i4>1830</vt:i4>
      </vt:variant>
      <vt:variant>
        <vt:i4>0</vt:i4>
      </vt:variant>
      <vt:variant>
        <vt:i4>5</vt:i4>
      </vt:variant>
      <vt:variant>
        <vt:lpwstr>https://www.flrules.org/Default.asp</vt:lpwstr>
      </vt:variant>
      <vt:variant>
        <vt:lpwstr/>
      </vt:variant>
      <vt:variant>
        <vt:i4>5505109</vt:i4>
      </vt:variant>
      <vt:variant>
        <vt:i4>1827</vt:i4>
      </vt:variant>
      <vt:variant>
        <vt:i4>0</vt:i4>
      </vt:variant>
      <vt:variant>
        <vt:i4>5</vt:i4>
      </vt:variant>
      <vt:variant>
        <vt:lpwstr>http://www.dep.state.fl.us/water/watersheds/assessment/index.htm</vt:lpwstr>
      </vt:variant>
      <vt:variant>
        <vt:lpwstr/>
      </vt:variant>
      <vt:variant>
        <vt:i4>4718608</vt:i4>
      </vt:variant>
      <vt:variant>
        <vt:i4>1821</vt:i4>
      </vt:variant>
      <vt:variant>
        <vt:i4>0</vt:i4>
      </vt:variant>
      <vt:variant>
        <vt:i4>5</vt:i4>
      </vt:variant>
      <vt:variant>
        <vt:lpwstr>http://www.dep.state.fl.us/water/watersheds/bmap.htm</vt:lpwstr>
      </vt:variant>
      <vt:variant>
        <vt:lpwstr/>
      </vt:variant>
      <vt:variant>
        <vt:i4>5505109</vt:i4>
      </vt:variant>
      <vt:variant>
        <vt:i4>1818</vt:i4>
      </vt:variant>
      <vt:variant>
        <vt:i4>0</vt:i4>
      </vt:variant>
      <vt:variant>
        <vt:i4>5</vt:i4>
      </vt:variant>
      <vt:variant>
        <vt:lpwstr>http://www.dep.state.fl.us/water/watersheds/assessment/index.htm</vt:lpwstr>
      </vt:variant>
      <vt:variant>
        <vt:lpwstr/>
      </vt:variant>
      <vt:variant>
        <vt:i4>7471137</vt:i4>
      </vt:variant>
      <vt:variant>
        <vt:i4>1815</vt:i4>
      </vt:variant>
      <vt:variant>
        <vt:i4>0</vt:i4>
      </vt:variant>
      <vt:variant>
        <vt:i4>5</vt:i4>
      </vt:variant>
      <vt:variant>
        <vt:lpwstr>https://www.flrules.org/Default.asp</vt:lpwstr>
      </vt:variant>
      <vt:variant>
        <vt:lpwstr/>
      </vt:variant>
      <vt:variant>
        <vt:i4>5767243</vt:i4>
      </vt:variant>
      <vt:variant>
        <vt:i4>1812</vt:i4>
      </vt:variant>
      <vt:variant>
        <vt:i4>0</vt:i4>
      </vt:variant>
      <vt:variant>
        <vt:i4>5</vt:i4>
      </vt:variant>
      <vt:variant>
        <vt:lpwstr>http://www.floridaagwaterpolicy.com/</vt:lpwstr>
      </vt:variant>
      <vt:variant>
        <vt:lpwstr/>
      </vt:variant>
      <vt:variant>
        <vt:i4>7471151</vt:i4>
      </vt:variant>
      <vt:variant>
        <vt:i4>1809</vt:i4>
      </vt:variant>
      <vt:variant>
        <vt:i4>0</vt:i4>
      </vt:variant>
      <vt:variant>
        <vt:i4>5</vt:i4>
      </vt:variant>
      <vt:variant>
        <vt:lpwstr>http://www.dep.state.fl.us/legal/Rules/shared/62-303/62-303.pdf</vt:lpwstr>
      </vt:variant>
      <vt:variant>
        <vt:lpwstr/>
      </vt:variant>
      <vt:variant>
        <vt:i4>1835029</vt:i4>
      </vt:variant>
      <vt:variant>
        <vt:i4>1806</vt:i4>
      </vt:variant>
      <vt:variant>
        <vt:i4>0</vt:i4>
      </vt:variant>
      <vt:variant>
        <vt:i4>5</vt:i4>
      </vt:variant>
      <vt:variant>
        <vt:lpwstr>ftp://ftp.dep.state.fl.us/pub/incoming/2010 integrated report/Watershed%25 Assessment Program</vt:lpwstr>
      </vt:variant>
      <vt:variant>
        <vt:lpwstr/>
      </vt:variant>
      <vt:variant>
        <vt:i4>1441880</vt:i4>
      </vt:variant>
      <vt:variant>
        <vt:i4>1803</vt:i4>
      </vt:variant>
      <vt:variant>
        <vt:i4>0</vt:i4>
      </vt:variant>
      <vt:variant>
        <vt:i4>5</vt:i4>
      </vt:variant>
      <vt:variant>
        <vt:lpwstr>../../../../Espy_J/My Documents/305b Integrated reports/2010/._</vt:lpwstr>
      </vt:variant>
      <vt:variant>
        <vt:lpwstr>_Chapter_7._</vt:lpwstr>
      </vt:variant>
      <vt:variant>
        <vt:i4>852044</vt:i4>
      </vt:variant>
      <vt:variant>
        <vt:i4>1800</vt:i4>
      </vt:variant>
      <vt:variant>
        <vt:i4>0</vt:i4>
      </vt:variant>
      <vt:variant>
        <vt:i4>5</vt:i4>
      </vt:variant>
      <vt:variant>
        <vt:lpwstr>../../../../Espy_J/My Documents/305b Integrated reports/2010/:_</vt:lpwstr>
      </vt:variant>
      <vt:variant>
        <vt:lpwstr>_Chapter_8:_</vt:lpwstr>
      </vt:variant>
      <vt:variant>
        <vt:i4>1441880</vt:i4>
      </vt:variant>
      <vt:variant>
        <vt:i4>1797</vt:i4>
      </vt:variant>
      <vt:variant>
        <vt:i4>0</vt:i4>
      </vt:variant>
      <vt:variant>
        <vt:i4>5</vt:i4>
      </vt:variant>
      <vt:variant>
        <vt:lpwstr>../../../../Espy_J/My Documents/305b Integrated reports/2010/._</vt:lpwstr>
      </vt:variant>
      <vt:variant>
        <vt:lpwstr>_Chapter_7._</vt:lpwstr>
      </vt:variant>
      <vt:variant>
        <vt:i4>196684</vt:i4>
      </vt:variant>
      <vt:variant>
        <vt:i4>1794</vt:i4>
      </vt:variant>
      <vt:variant>
        <vt:i4>0</vt:i4>
      </vt:variant>
      <vt:variant>
        <vt:i4>5</vt:i4>
      </vt:variant>
      <vt:variant>
        <vt:lpwstr>../../../../Espy_J/My Documents/305b Integrated reports/2010/:_</vt:lpwstr>
      </vt:variant>
      <vt:variant>
        <vt:lpwstr>_Chapter_6:_</vt:lpwstr>
      </vt:variant>
      <vt:variant>
        <vt:i4>1310808</vt:i4>
      </vt:variant>
      <vt:variant>
        <vt:i4>1791</vt:i4>
      </vt:variant>
      <vt:variant>
        <vt:i4>0</vt:i4>
      </vt:variant>
      <vt:variant>
        <vt:i4>5</vt:i4>
      </vt:variant>
      <vt:variant>
        <vt:lpwstr>../../../../Espy_J/My Documents/305b Integrated reports/2010/._</vt:lpwstr>
      </vt:variant>
      <vt:variant>
        <vt:lpwstr>_Chapter_5._</vt:lpwstr>
      </vt:variant>
      <vt:variant>
        <vt:i4>6488115</vt:i4>
      </vt:variant>
      <vt:variant>
        <vt:i4>1788</vt:i4>
      </vt:variant>
      <vt:variant>
        <vt:i4>0</vt:i4>
      </vt:variant>
      <vt:variant>
        <vt:i4>5</vt:i4>
      </vt:variant>
      <vt:variant>
        <vt:lpwstr>http://www.dep.state.fl.us/water/nonpoint/agsrc.htm</vt:lpwstr>
      </vt:variant>
      <vt:variant>
        <vt:lpwstr/>
      </vt:variant>
      <vt:variant>
        <vt:i4>4391006</vt:i4>
      </vt:variant>
      <vt:variant>
        <vt:i4>1785</vt:i4>
      </vt:variant>
      <vt:variant>
        <vt:i4>0</vt:i4>
      </vt:variant>
      <vt:variant>
        <vt:i4>5</vt:i4>
      </vt:variant>
      <vt:variant>
        <vt:lpwstr>http://www.dep.state.fl.us/waste/categories/wc/pages/cleanup/default.htm</vt:lpwstr>
      </vt:variant>
      <vt:variant>
        <vt:lpwstr/>
      </vt:variant>
      <vt:variant>
        <vt:i4>2621482</vt:i4>
      </vt:variant>
      <vt:variant>
        <vt:i4>1782</vt:i4>
      </vt:variant>
      <vt:variant>
        <vt:i4>0</vt:i4>
      </vt:variant>
      <vt:variant>
        <vt:i4>5</vt:i4>
      </vt:variant>
      <vt:variant>
        <vt:lpwstr>http://www.epa.gov/superfund/sites/npl/</vt:lpwstr>
      </vt:variant>
      <vt:variant>
        <vt:lpwstr/>
      </vt:variant>
      <vt:variant>
        <vt:i4>3342397</vt:i4>
      </vt:variant>
      <vt:variant>
        <vt:i4>1779</vt:i4>
      </vt:variant>
      <vt:variant>
        <vt:i4>0</vt:i4>
      </vt:variant>
      <vt:variant>
        <vt:i4>5</vt:i4>
      </vt:variant>
      <vt:variant>
        <vt:lpwstr>http://www.dep.state.fl.us/waste/categories/drycleaning/default.htm</vt:lpwstr>
      </vt:variant>
      <vt:variant>
        <vt:lpwstr/>
      </vt:variant>
      <vt:variant>
        <vt:i4>2359331</vt:i4>
      </vt:variant>
      <vt:variant>
        <vt:i4>1776</vt:i4>
      </vt:variant>
      <vt:variant>
        <vt:i4>0</vt:i4>
      </vt:variant>
      <vt:variant>
        <vt:i4>5</vt:i4>
      </vt:variant>
      <vt:variant>
        <vt:lpwstr>http://www.dep.state.fl.us/waste/categories/pcp/default.htm</vt:lpwstr>
      </vt:variant>
      <vt:variant>
        <vt:lpwstr/>
      </vt:variant>
      <vt:variant>
        <vt:i4>6946899</vt:i4>
      </vt:variant>
      <vt:variant>
        <vt:i4>1773</vt:i4>
      </vt:variant>
      <vt:variant>
        <vt:i4>0</vt:i4>
      </vt:variant>
      <vt:variant>
        <vt:i4>5</vt:i4>
      </vt:variant>
      <vt:variant>
        <vt:lpwstr>http://www.dep.state.fl.us/waste/quick_topics/database_reports/pages/stcm/stcm_reports.htm</vt:lpwstr>
      </vt:variant>
      <vt:variant>
        <vt:lpwstr/>
      </vt:variant>
      <vt:variant>
        <vt:i4>6619256</vt:i4>
      </vt:variant>
      <vt:variant>
        <vt:i4>1770</vt:i4>
      </vt:variant>
      <vt:variant>
        <vt:i4>0</vt:i4>
      </vt:variant>
      <vt:variant>
        <vt:i4>5</vt:i4>
      </vt:variant>
      <vt:variant>
        <vt:lpwstr>http://www.swfwmd.state.fl.us/</vt:lpwstr>
      </vt:variant>
      <vt:variant>
        <vt:lpwstr/>
      </vt:variant>
      <vt:variant>
        <vt:i4>7143533</vt:i4>
      </vt:variant>
      <vt:variant>
        <vt:i4>1767</vt:i4>
      </vt:variant>
      <vt:variant>
        <vt:i4>0</vt:i4>
      </vt:variant>
      <vt:variant>
        <vt:i4>5</vt:i4>
      </vt:variant>
      <vt:variant>
        <vt:lpwstr>http://www.dep.state.fl.us/geology/</vt:lpwstr>
      </vt:variant>
      <vt:variant>
        <vt:lpwstr/>
      </vt:variant>
      <vt:variant>
        <vt:i4>1507410</vt:i4>
      </vt:variant>
      <vt:variant>
        <vt:i4>1764</vt:i4>
      </vt:variant>
      <vt:variant>
        <vt:i4>0</vt:i4>
      </vt:variant>
      <vt:variant>
        <vt:i4>5</vt:i4>
      </vt:variant>
      <vt:variant>
        <vt:lpwstr>http://www.dep.state.fl.us/water/monitoring/index.htm</vt:lpwstr>
      </vt:variant>
      <vt:variant>
        <vt:lpwstr/>
      </vt:variant>
      <vt:variant>
        <vt:i4>7209043</vt:i4>
      </vt:variant>
      <vt:variant>
        <vt:i4>1761</vt:i4>
      </vt:variant>
      <vt:variant>
        <vt:i4>0</vt:i4>
      </vt:variant>
      <vt:variant>
        <vt:i4>5</vt:i4>
      </vt:variant>
      <vt:variant>
        <vt:lpwstr/>
      </vt:variant>
      <vt:variant>
        <vt:lpwstr>_Chapter_5._</vt:lpwstr>
      </vt:variant>
      <vt:variant>
        <vt:i4>7209043</vt:i4>
      </vt:variant>
      <vt:variant>
        <vt:i4>1758</vt:i4>
      </vt:variant>
      <vt:variant>
        <vt:i4>0</vt:i4>
      </vt:variant>
      <vt:variant>
        <vt:i4>5</vt:i4>
      </vt:variant>
      <vt:variant>
        <vt:lpwstr/>
      </vt:variant>
      <vt:variant>
        <vt:lpwstr>_Chapter_5._</vt:lpwstr>
      </vt:variant>
      <vt:variant>
        <vt:i4>8060990</vt:i4>
      </vt:variant>
      <vt:variant>
        <vt:i4>1755</vt:i4>
      </vt:variant>
      <vt:variant>
        <vt:i4>0</vt:i4>
      </vt:variant>
      <vt:variant>
        <vt:i4>5</vt:i4>
      </vt:variant>
      <vt:variant>
        <vt:lpwstr>http://www.dep.state.fl.us/water/drinkingwater/</vt:lpwstr>
      </vt:variant>
      <vt:variant>
        <vt:lpwstr/>
      </vt:variant>
      <vt:variant>
        <vt:i4>1572878</vt:i4>
      </vt:variant>
      <vt:variant>
        <vt:i4>1752</vt:i4>
      </vt:variant>
      <vt:variant>
        <vt:i4>0</vt:i4>
      </vt:variant>
      <vt:variant>
        <vt:i4>5</vt:i4>
      </vt:variant>
      <vt:variant>
        <vt:lpwstr>http://www.dep.state.fl.us/water/wff/wsupply/</vt:lpwstr>
      </vt:variant>
      <vt:variant>
        <vt:lpwstr/>
      </vt:variant>
      <vt:variant>
        <vt:i4>6684735</vt:i4>
      </vt:variant>
      <vt:variant>
        <vt:i4>1749</vt:i4>
      </vt:variant>
      <vt:variant>
        <vt:i4>0</vt:i4>
      </vt:variant>
      <vt:variant>
        <vt:i4>5</vt:i4>
      </vt:variant>
      <vt:variant>
        <vt:lpwstr>http://www.doh.state.fl.us/Environment/water/index.html</vt:lpwstr>
      </vt:variant>
      <vt:variant>
        <vt:lpwstr>Drinking2</vt:lpwstr>
      </vt:variant>
      <vt:variant>
        <vt:i4>6553719</vt:i4>
      </vt:variant>
      <vt:variant>
        <vt:i4>1746</vt:i4>
      </vt:variant>
      <vt:variant>
        <vt:i4>0</vt:i4>
      </vt:variant>
      <vt:variant>
        <vt:i4>5</vt:i4>
      </vt:variant>
      <vt:variant>
        <vt:lpwstr>http://www.doh.state.fl.us/Environment/water/petroleum/saindex.html</vt:lpwstr>
      </vt:variant>
      <vt:variant>
        <vt:lpwstr/>
      </vt:variant>
      <vt:variant>
        <vt:i4>7274621</vt:i4>
      </vt:variant>
      <vt:variant>
        <vt:i4>1743</vt:i4>
      </vt:variant>
      <vt:variant>
        <vt:i4>0</vt:i4>
      </vt:variant>
      <vt:variant>
        <vt:i4>5</vt:i4>
      </vt:variant>
      <vt:variant>
        <vt:lpwstr>http://www.dep.state.fl.us/springs/</vt:lpwstr>
      </vt:variant>
      <vt:variant>
        <vt:lpwstr/>
      </vt:variant>
      <vt:variant>
        <vt:i4>1507410</vt:i4>
      </vt:variant>
      <vt:variant>
        <vt:i4>1740</vt:i4>
      </vt:variant>
      <vt:variant>
        <vt:i4>0</vt:i4>
      </vt:variant>
      <vt:variant>
        <vt:i4>5</vt:i4>
      </vt:variant>
      <vt:variant>
        <vt:lpwstr>http://www.dep.state.fl.us/water/monitoring/index.htm</vt:lpwstr>
      </vt:variant>
      <vt:variant>
        <vt:lpwstr/>
      </vt:variant>
      <vt:variant>
        <vt:i4>6225983</vt:i4>
      </vt:variant>
      <vt:variant>
        <vt:i4>1737</vt:i4>
      </vt:variant>
      <vt:variant>
        <vt:i4>0</vt:i4>
      </vt:variant>
      <vt:variant>
        <vt:i4>5</vt:i4>
      </vt:variant>
      <vt:variant>
        <vt:lpwstr>http://research.myfwc.com/features/category_sub.asp?id=3448</vt:lpwstr>
      </vt:variant>
      <vt:variant>
        <vt:lpwstr/>
      </vt:variant>
      <vt:variant>
        <vt:i4>3145834</vt:i4>
      </vt:variant>
      <vt:variant>
        <vt:i4>1734</vt:i4>
      </vt:variant>
      <vt:variant>
        <vt:i4>0</vt:i4>
      </vt:variant>
      <vt:variant>
        <vt:i4>5</vt:i4>
      </vt:variant>
      <vt:variant>
        <vt:lpwstr>http://www.dep.state.fl.us/WATER/monitoring/docs/seds/SQAGs_for_Florida_Inland_Waters_01_03.PDF</vt:lpwstr>
      </vt:variant>
      <vt:variant>
        <vt:lpwstr/>
      </vt:variant>
      <vt:variant>
        <vt:i4>7143495</vt:i4>
      </vt:variant>
      <vt:variant>
        <vt:i4>1731</vt:i4>
      </vt:variant>
      <vt:variant>
        <vt:i4>0</vt:i4>
      </vt:variant>
      <vt:variant>
        <vt:i4>5</vt:i4>
      </vt:variant>
      <vt:variant>
        <vt:lpwstr/>
      </vt:variant>
      <vt:variant>
        <vt:lpwstr>_Chapter_6:_</vt:lpwstr>
      </vt:variant>
      <vt:variant>
        <vt:i4>3276925</vt:i4>
      </vt:variant>
      <vt:variant>
        <vt:i4>1728</vt:i4>
      </vt:variant>
      <vt:variant>
        <vt:i4>0</vt:i4>
      </vt:variant>
      <vt:variant>
        <vt:i4>5</vt:i4>
      </vt:variant>
      <vt:variant>
        <vt:lpwstr>http://www.dep.state.fl.us/WATER/monitoring/docs/seds/estuarine.pdf</vt:lpwstr>
      </vt:variant>
      <vt:variant>
        <vt:lpwstr/>
      </vt:variant>
      <vt:variant>
        <vt:i4>7077971</vt:i4>
      </vt:variant>
      <vt:variant>
        <vt:i4>1725</vt:i4>
      </vt:variant>
      <vt:variant>
        <vt:i4>0</vt:i4>
      </vt:variant>
      <vt:variant>
        <vt:i4>5</vt:i4>
      </vt:variant>
      <vt:variant>
        <vt:lpwstr/>
      </vt:variant>
      <vt:variant>
        <vt:lpwstr>_Chapter_7._</vt:lpwstr>
      </vt:variant>
      <vt:variant>
        <vt:i4>5505109</vt:i4>
      </vt:variant>
      <vt:variant>
        <vt:i4>1722</vt:i4>
      </vt:variant>
      <vt:variant>
        <vt:i4>0</vt:i4>
      </vt:variant>
      <vt:variant>
        <vt:i4>5</vt:i4>
      </vt:variant>
      <vt:variant>
        <vt:lpwstr>http://www.dep.state.fl.us/water/watersheds/assessment/index.htm</vt:lpwstr>
      </vt:variant>
      <vt:variant>
        <vt:lpwstr/>
      </vt:variant>
      <vt:variant>
        <vt:i4>7077971</vt:i4>
      </vt:variant>
      <vt:variant>
        <vt:i4>1719</vt:i4>
      </vt:variant>
      <vt:variant>
        <vt:i4>0</vt:i4>
      </vt:variant>
      <vt:variant>
        <vt:i4>5</vt:i4>
      </vt:variant>
      <vt:variant>
        <vt:lpwstr/>
      </vt:variant>
      <vt:variant>
        <vt:lpwstr>_Chapter_7._</vt:lpwstr>
      </vt:variant>
      <vt:variant>
        <vt:i4>7471137</vt:i4>
      </vt:variant>
      <vt:variant>
        <vt:i4>1716</vt:i4>
      </vt:variant>
      <vt:variant>
        <vt:i4>0</vt:i4>
      </vt:variant>
      <vt:variant>
        <vt:i4>5</vt:i4>
      </vt:variant>
      <vt:variant>
        <vt:lpwstr>https://www.flrules.org/Default.asp</vt:lpwstr>
      </vt:variant>
      <vt:variant>
        <vt:lpwstr/>
      </vt:variant>
      <vt:variant>
        <vt:i4>7077940</vt:i4>
      </vt:variant>
      <vt:variant>
        <vt:i4>1713</vt:i4>
      </vt:variant>
      <vt:variant>
        <vt:i4>0</vt:i4>
      </vt:variant>
      <vt:variant>
        <vt:i4>5</vt:i4>
      </vt:variant>
      <vt:variant>
        <vt:lpwstr>http://www.dep.state.fl.us/water/tmdl/index.htm</vt:lpwstr>
      </vt:variant>
      <vt:variant>
        <vt:lpwstr/>
      </vt:variant>
      <vt:variant>
        <vt:i4>5505109</vt:i4>
      </vt:variant>
      <vt:variant>
        <vt:i4>1710</vt:i4>
      </vt:variant>
      <vt:variant>
        <vt:i4>0</vt:i4>
      </vt:variant>
      <vt:variant>
        <vt:i4>5</vt:i4>
      </vt:variant>
      <vt:variant>
        <vt:lpwstr>http://www.dep.state.fl.us/water/watersheds/assessment/index.htm</vt:lpwstr>
      </vt:variant>
      <vt:variant>
        <vt:lpwstr/>
      </vt:variant>
      <vt:variant>
        <vt:i4>7077940</vt:i4>
      </vt:variant>
      <vt:variant>
        <vt:i4>1707</vt:i4>
      </vt:variant>
      <vt:variant>
        <vt:i4>0</vt:i4>
      </vt:variant>
      <vt:variant>
        <vt:i4>5</vt:i4>
      </vt:variant>
      <vt:variant>
        <vt:lpwstr>http://www.dep.state.fl.us/water/tmdl/index.htm</vt:lpwstr>
      </vt:variant>
      <vt:variant>
        <vt:lpwstr/>
      </vt:variant>
      <vt:variant>
        <vt:i4>6422589</vt:i4>
      </vt:variant>
      <vt:variant>
        <vt:i4>1704</vt:i4>
      </vt:variant>
      <vt:variant>
        <vt:i4>0</vt:i4>
      </vt:variant>
      <vt:variant>
        <vt:i4>5</vt:i4>
      </vt:variant>
      <vt:variant>
        <vt:lpwstr>http://lakewatch.ifas.ufl.edu/</vt:lpwstr>
      </vt:variant>
      <vt:variant>
        <vt:lpwstr/>
      </vt:variant>
      <vt:variant>
        <vt:i4>2490418</vt:i4>
      </vt:variant>
      <vt:variant>
        <vt:i4>1701</vt:i4>
      </vt:variant>
      <vt:variant>
        <vt:i4>0</vt:i4>
      </vt:variant>
      <vt:variant>
        <vt:i4>5</vt:i4>
      </vt:variant>
      <vt:variant>
        <vt:lpwstr>http://water.usgs.gov/</vt:lpwstr>
      </vt:variant>
      <vt:variant>
        <vt:lpwstr/>
      </vt:variant>
      <vt:variant>
        <vt:i4>6094932</vt:i4>
      </vt:variant>
      <vt:variant>
        <vt:i4>1698</vt:i4>
      </vt:variant>
      <vt:variant>
        <vt:i4>0</vt:i4>
      </vt:variant>
      <vt:variant>
        <vt:i4>5</vt:i4>
      </vt:variant>
      <vt:variant>
        <vt:lpwstr>http://www8.swfwmd.state.fl.us/WMIS/ResourceData/ExtDefault.aspx</vt:lpwstr>
      </vt:variant>
      <vt:variant>
        <vt:lpwstr/>
      </vt:variant>
      <vt:variant>
        <vt:i4>6553711</vt:i4>
      </vt:variant>
      <vt:variant>
        <vt:i4>1695</vt:i4>
      </vt:variant>
      <vt:variant>
        <vt:i4>0</vt:i4>
      </vt:variant>
      <vt:variant>
        <vt:i4>5</vt:i4>
      </vt:variant>
      <vt:variant>
        <vt:lpwstr>http://www.envirobase.usgs.gov/</vt:lpwstr>
      </vt:variant>
      <vt:variant>
        <vt:lpwstr/>
      </vt:variant>
      <vt:variant>
        <vt:i4>6815804</vt:i4>
      </vt:variant>
      <vt:variant>
        <vt:i4>1692</vt:i4>
      </vt:variant>
      <vt:variant>
        <vt:i4>0</vt:i4>
      </vt:variant>
      <vt:variant>
        <vt:i4>5</vt:i4>
      </vt:variant>
      <vt:variant>
        <vt:lpwstr>http://www.epa.gov/storet/</vt:lpwstr>
      </vt:variant>
      <vt:variant>
        <vt:lpwstr/>
      </vt:variant>
      <vt:variant>
        <vt:i4>327751</vt:i4>
      </vt:variant>
      <vt:variant>
        <vt:i4>1689</vt:i4>
      </vt:variant>
      <vt:variant>
        <vt:i4>0</vt:i4>
      </vt:variant>
      <vt:variant>
        <vt:i4>5</vt:i4>
      </vt:variant>
      <vt:variant>
        <vt:lpwstr>http://www.dep.state.fl.us/water/storet/index.htm</vt:lpwstr>
      </vt:variant>
      <vt:variant>
        <vt:lpwstr/>
      </vt:variant>
      <vt:variant>
        <vt:i4>7471151</vt:i4>
      </vt:variant>
      <vt:variant>
        <vt:i4>1686</vt:i4>
      </vt:variant>
      <vt:variant>
        <vt:i4>0</vt:i4>
      </vt:variant>
      <vt:variant>
        <vt:i4>5</vt:i4>
      </vt:variant>
      <vt:variant>
        <vt:lpwstr>http://www.dep.state.fl.us/legal/Rules/shared/62-303/62-303.pdf</vt:lpwstr>
      </vt:variant>
      <vt:variant>
        <vt:lpwstr/>
      </vt:variant>
      <vt:variant>
        <vt:i4>983116</vt:i4>
      </vt:variant>
      <vt:variant>
        <vt:i4>1683</vt:i4>
      </vt:variant>
      <vt:variant>
        <vt:i4>0</vt:i4>
      </vt:variant>
      <vt:variant>
        <vt:i4>5</vt:i4>
      </vt:variant>
      <vt:variant>
        <vt:lpwstr/>
      </vt:variant>
      <vt:variant>
        <vt:lpwstr>_Chapter_11:_</vt:lpwstr>
      </vt:variant>
      <vt:variant>
        <vt:i4>7077940</vt:i4>
      </vt:variant>
      <vt:variant>
        <vt:i4>1680</vt:i4>
      </vt:variant>
      <vt:variant>
        <vt:i4>0</vt:i4>
      </vt:variant>
      <vt:variant>
        <vt:i4>5</vt:i4>
      </vt:variant>
      <vt:variant>
        <vt:lpwstr>http://www.dep.state.fl.us/water/tmdl/index.htm</vt:lpwstr>
      </vt:variant>
      <vt:variant>
        <vt:lpwstr/>
      </vt:variant>
      <vt:variant>
        <vt:i4>7209000</vt:i4>
      </vt:variant>
      <vt:variant>
        <vt:i4>1677</vt:i4>
      </vt:variant>
      <vt:variant>
        <vt:i4>0</vt:i4>
      </vt:variant>
      <vt:variant>
        <vt:i4>5</vt:i4>
      </vt:variant>
      <vt:variant>
        <vt:lpwstr>ftp://ftp.dep.state.fl.us/pub/incoming/2010 integrated report/Watershed Assessment Program</vt:lpwstr>
      </vt:variant>
      <vt:variant>
        <vt:lpwstr/>
      </vt:variant>
      <vt:variant>
        <vt:i4>1507410</vt:i4>
      </vt:variant>
      <vt:variant>
        <vt:i4>1674</vt:i4>
      </vt:variant>
      <vt:variant>
        <vt:i4>0</vt:i4>
      </vt:variant>
      <vt:variant>
        <vt:i4>5</vt:i4>
      </vt:variant>
      <vt:variant>
        <vt:lpwstr>http://www.dep.state.fl.us/water/monitoring/index.htm</vt:lpwstr>
      </vt:variant>
      <vt:variant>
        <vt:lpwstr/>
      </vt:variant>
      <vt:variant>
        <vt:i4>3670122</vt:i4>
      </vt:variant>
      <vt:variant>
        <vt:i4>1671</vt:i4>
      </vt:variant>
      <vt:variant>
        <vt:i4>0</vt:i4>
      </vt:variant>
      <vt:variant>
        <vt:i4>5</vt:i4>
      </vt:variant>
      <vt:variant>
        <vt:lpwstr>http://www.dep.state.fl.us/water/monitoring/basins.htm</vt:lpwstr>
      </vt:variant>
      <vt:variant>
        <vt:lpwstr/>
      </vt:variant>
      <vt:variant>
        <vt:i4>1507410</vt:i4>
      </vt:variant>
      <vt:variant>
        <vt:i4>1668</vt:i4>
      </vt:variant>
      <vt:variant>
        <vt:i4>0</vt:i4>
      </vt:variant>
      <vt:variant>
        <vt:i4>5</vt:i4>
      </vt:variant>
      <vt:variant>
        <vt:lpwstr>http://www.dep.state.fl.us/water/monitoring/index.htm</vt:lpwstr>
      </vt:variant>
      <vt:variant>
        <vt:lpwstr/>
      </vt:variant>
      <vt:variant>
        <vt:i4>65600</vt:i4>
      </vt:variant>
      <vt:variant>
        <vt:i4>1665</vt:i4>
      </vt:variant>
      <vt:variant>
        <vt:i4>0</vt:i4>
      </vt:variant>
      <vt:variant>
        <vt:i4>5</vt:i4>
      </vt:variant>
      <vt:variant>
        <vt:lpwstr>http://www.dep.state.fl.us/water/monitoring/sediments.htm</vt:lpwstr>
      </vt:variant>
      <vt:variant>
        <vt:lpwstr/>
      </vt:variant>
      <vt:variant>
        <vt:i4>3145834</vt:i4>
      </vt:variant>
      <vt:variant>
        <vt:i4>1662</vt:i4>
      </vt:variant>
      <vt:variant>
        <vt:i4>0</vt:i4>
      </vt:variant>
      <vt:variant>
        <vt:i4>5</vt:i4>
      </vt:variant>
      <vt:variant>
        <vt:lpwstr>http://www.dep.state.fl.us/WATER/monitoring/docs/seds/SQAGs_for_Florida_Inland_Waters_01_03.PDF</vt:lpwstr>
      </vt:variant>
      <vt:variant>
        <vt:lpwstr/>
      </vt:variant>
      <vt:variant>
        <vt:i4>4325435</vt:i4>
      </vt:variant>
      <vt:variant>
        <vt:i4>1659</vt:i4>
      </vt:variant>
      <vt:variant>
        <vt:i4>0</vt:i4>
      </vt:variant>
      <vt:variant>
        <vt:i4>5</vt:i4>
      </vt:variant>
      <vt:variant>
        <vt:lpwstr>http://www.dep.state.fl.us/waste/quick_topics/publications/documents/sediment/volume2.pdf</vt:lpwstr>
      </vt:variant>
      <vt:variant>
        <vt:lpwstr/>
      </vt:variant>
      <vt:variant>
        <vt:i4>4259872</vt:i4>
      </vt:variant>
      <vt:variant>
        <vt:i4>1656</vt:i4>
      </vt:variant>
      <vt:variant>
        <vt:i4>0</vt:i4>
      </vt:variant>
      <vt:variant>
        <vt:i4>5</vt:i4>
      </vt:variant>
      <vt:variant>
        <vt:lpwstr>http://www.dep.state.fl.us/water/monitoring/docs/seds/FFW_Metals_Report_Final.pdf</vt:lpwstr>
      </vt:variant>
      <vt:variant>
        <vt:lpwstr/>
      </vt:variant>
      <vt:variant>
        <vt:i4>3276925</vt:i4>
      </vt:variant>
      <vt:variant>
        <vt:i4>1653</vt:i4>
      </vt:variant>
      <vt:variant>
        <vt:i4>0</vt:i4>
      </vt:variant>
      <vt:variant>
        <vt:i4>5</vt:i4>
      </vt:variant>
      <vt:variant>
        <vt:lpwstr>http://www.dep.state.fl.us/water/monitoring/docs/seds/estuarine.pdf</vt:lpwstr>
      </vt:variant>
      <vt:variant>
        <vt:lpwstr/>
      </vt:variant>
      <vt:variant>
        <vt:i4>3670122</vt:i4>
      </vt:variant>
      <vt:variant>
        <vt:i4>1650</vt:i4>
      </vt:variant>
      <vt:variant>
        <vt:i4>0</vt:i4>
      </vt:variant>
      <vt:variant>
        <vt:i4>5</vt:i4>
      </vt:variant>
      <vt:variant>
        <vt:lpwstr>http://www.dep.state.fl.us/water/monitoring/basins.htm</vt:lpwstr>
      </vt:variant>
      <vt:variant>
        <vt:lpwstr/>
      </vt:variant>
      <vt:variant>
        <vt:i4>7209043</vt:i4>
      </vt:variant>
      <vt:variant>
        <vt:i4>1647</vt:i4>
      </vt:variant>
      <vt:variant>
        <vt:i4>0</vt:i4>
      </vt:variant>
      <vt:variant>
        <vt:i4>5</vt:i4>
      </vt:variant>
      <vt:variant>
        <vt:lpwstr/>
      </vt:variant>
      <vt:variant>
        <vt:lpwstr>_Chapter_5._</vt:lpwstr>
      </vt:variant>
      <vt:variant>
        <vt:i4>3604509</vt:i4>
      </vt:variant>
      <vt:variant>
        <vt:i4>1644</vt:i4>
      </vt:variant>
      <vt:variant>
        <vt:i4>0</vt:i4>
      </vt:variant>
      <vt:variant>
        <vt:i4>5</vt:i4>
      </vt:variant>
      <vt:variant>
        <vt:lpwstr>http://www.dep.state.fl.us/water/monitoring/docs/design_document_final_12_09_09.pdf</vt:lpwstr>
      </vt:variant>
      <vt:variant>
        <vt:lpwstr/>
      </vt:variant>
      <vt:variant>
        <vt:i4>3604509</vt:i4>
      </vt:variant>
      <vt:variant>
        <vt:i4>1641</vt:i4>
      </vt:variant>
      <vt:variant>
        <vt:i4>0</vt:i4>
      </vt:variant>
      <vt:variant>
        <vt:i4>5</vt:i4>
      </vt:variant>
      <vt:variant>
        <vt:lpwstr>http://www.dep.state.fl.us/water/monitoring/docs/design_document_final_12_09_09.pdf</vt:lpwstr>
      </vt:variant>
      <vt:variant>
        <vt:lpwstr/>
      </vt:variant>
      <vt:variant>
        <vt:i4>3145834</vt:i4>
      </vt:variant>
      <vt:variant>
        <vt:i4>1638</vt:i4>
      </vt:variant>
      <vt:variant>
        <vt:i4>0</vt:i4>
      </vt:variant>
      <vt:variant>
        <vt:i4>5</vt:i4>
      </vt:variant>
      <vt:variant>
        <vt:lpwstr>http://www.dep.state.fl.us/water/monitoring/docs/seds/SQAGs_for_Florida_Inland_Waters_01_03.PDF</vt:lpwstr>
      </vt:variant>
      <vt:variant>
        <vt:lpwstr/>
      </vt:variant>
      <vt:variant>
        <vt:i4>2228324</vt:i4>
      </vt:variant>
      <vt:variant>
        <vt:i4>1635</vt:i4>
      </vt:variant>
      <vt:variant>
        <vt:i4>0</vt:i4>
      </vt:variant>
      <vt:variant>
        <vt:i4>5</vt:i4>
      </vt:variant>
      <vt:variant>
        <vt:lpwstr>http://www.dep.state.fl.us/water/monitoring/fwseds.htm</vt:lpwstr>
      </vt:variant>
      <vt:variant>
        <vt:lpwstr/>
      </vt:variant>
      <vt:variant>
        <vt:i4>7602179</vt:i4>
      </vt:variant>
      <vt:variant>
        <vt:i4>1632</vt:i4>
      </vt:variant>
      <vt:variant>
        <vt:i4>0</vt:i4>
      </vt:variant>
      <vt:variant>
        <vt:i4>5</vt:i4>
      </vt:variant>
      <vt:variant>
        <vt:lpwstr>http://publicfiles.dep.state.fl.us/dear/labs/sas/sopdoc/lci_final.pdf</vt:lpwstr>
      </vt:variant>
      <vt:variant>
        <vt:lpwstr/>
      </vt:variant>
      <vt:variant>
        <vt:i4>7602204</vt:i4>
      </vt:variant>
      <vt:variant>
        <vt:i4>1629</vt:i4>
      </vt:variant>
      <vt:variant>
        <vt:i4>0</vt:i4>
      </vt:variant>
      <vt:variant>
        <vt:i4>5</vt:i4>
      </vt:variant>
      <vt:variant>
        <vt:lpwstr>http://publicfiles.dep.state.fl.us/dear/labs/sas/sopdoc/sci_final.pdf</vt:lpwstr>
      </vt:variant>
      <vt:variant>
        <vt:lpwstr/>
      </vt:variant>
      <vt:variant>
        <vt:i4>1376339</vt:i4>
      </vt:variant>
      <vt:variant>
        <vt:i4>1626</vt:i4>
      </vt:variant>
      <vt:variant>
        <vt:i4>0</vt:i4>
      </vt:variant>
      <vt:variant>
        <vt:i4>5</vt:i4>
      </vt:variant>
      <vt:variant>
        <vt:lpwstr>http://www.epa.gov/emap/</vt:lpwstr>
      </vt:variant>
      <vt:variant>
        <vt:lpwstr/>
      </vt:variant>
      <vt:variant>
        <vt:i4>65620</vt:i4>
      </vt:variant>
      <vt:variant>
        <vt:i4>1623</vt:i4>
      </vt:variant>
      <vt:variant>
        <vt:i4>0</vt:i4>
      </vt:variant>
      <vt:variant>
        <vt:i4>5</vt:i4>
      </vt:variant>
      <vt:variant>
        <vt:lpwstr>http://www.dep.state.fl.us/water/watersheds/index.htm</vt:lpwstr>
      </vt:variant>
      <vt:variant>
        <vt:lpwstr/>
      </vt:variant>
      <vt:variant>
        <vt:i4>82</vt:i4>
      </vt:variant>
      <vt:variant>
        <vt:i4>1620</vt:i4>
      </vt:variant>
      <vt:variant>
        <vt:i4>0</vt:i4>
      </vt:variant>
      <vt:variant>
        <vt:i4>5</vt:i4>
      </vt:variant>
      <vt:variant>
        <vt:lpwstr>http://www.dep.state.fl.us/water/monitoring/trend.htm</vt:lpwstr>
      </vt:variant>
      <vt:variant>
        <vt:lpwstr/>
      </vt:variant>
      <vt:variant>
        <vt:i4>3145842</vt:i4>
      </vt:variant>
      <vt:variant>
        <vt:i4>1617</vt:i4>
      </vt:variant>
      <vt:variant>
        <vt:i4>0</vt:i4>
      </vt:variant>
      <vt:variant>
        <vt:i4>5</vt:i4>
      </vt:variant>
      <vt:variant>
        <vt:lpwstr>http://www.dep.state.fl.us/water/monitoring/status.htm</vt:lpwstr>
      </vt:variant>
      <vt:variant>
        <vt:lpwstr/>
      </vt:variant>
      <vt:variant>
        <vt:i4>4063334</vt:i4>
      </vt:variant>
      <vt:variant>
        <vt:i4>1614</vt:i4>
      </vt:variant>
      <vt:variant>
        <vt:i4>0</vt:i4>
      </vt:variant>
      <vt:variant>
        <vt:i4>5</vt:i4>
      </vt:variant>
      <vt:variant>
        <vt:lpwstr>http://www.epa.gov/owow/TMDL/2002wqma.html</vt:lpwstr>
      </vt:variant>
      <vt:variant>
        <vt:lpwstr/>
      </vt:variant>
      <vt:variant>
        <vt:i4>6226044</vt:i4>
      </vt:variant>
      <vt:variant>
        <vt:i4>1611</vt:i4>
      </vt:variant>
      <vt:variant>
        <vt:i4>0</vt:i4>
      </vt:variant>
      <vt:variant>
        <vt:i4>5</vt:i4>
      </vt:variant>
      <vt:variant>
        <vt:lpwstr>http://publicfiles.dep.state.fl.us/dear/labs/sas/library/docs/wet_stfp.pdf</vt:lpwstr>
      </vt:variant>
      <vt:variant>
        <vt:lpwstr/>
      </vt:variant>
      <vt:variant>
        <vt:i4>6029427</vt:i4>
      </vt:variant>
      <vt:variant>
        <vt:i4>1608</vt:i4>
      </vt:variant>
      <vt:variant>
        <vt:i4>0</vt:i4>
      </vt:variant>
      <vt:variant>
        <vt:i4>5</vt:i4>
      </vt:variant>
      <vt:variant>
        <vt:lpwstr>http://publicfiles.dep.state.fl.us/dear/labs/sas/library/docs/wet_herb.pdf</vt:lpwstr>
      </vt:variant>
      <vt:variant>
        <vt:lpwstr/>
      </vt:variant>
      <vt:variant>
        <vt:i4>5767293</vt:i4>
      </vt:variant>
      <vt:variant>
        <vt:i4>1605</vt:i4>
      </vt:variant>
      <vt:variant>
        <vt:i4>0</vt:i4>
      </vt:variant>
      <vt:variant>
        <vt:i4>5</vt:i4>
      </vt:variant>
      <vt:variant>
        <vt:lpwstr>http://publicfiles.dep.state.fl.us/dear/labs/sas/library/docs/wet_depf.pdf</vt:lpwstr>
      </vt:variant>
      <vt:variant>
        <vt:lpwstr/>
      </vt:variant>
      <vt:variant>
        <vt:i4>7602204</vt:i4>
      </vt:variant>
      <vt:variant>
        <vt:i4>1602</vt:i4>
      </vt:variant>
      <vt:variant>
        <vt:i4>0</vt:i4>
      </vt:variant>
      <vt:variant>
        <vt:i4>5</vt:i4>
      </vt:variant>
      <vt:variant>
        <vt:lpwstr>http://publicfiles.dep.state.fl.us/dear/labs/sas/sopdoc/sci_final.pdf</vt:lpwstr>
      </vt:variant>
      <vt:variant>
        <vt:lpwstr/>
      </vt:variant>
      <vt:variant>
        <vt:i4>6946875</vt:i4>
      </vt:variant>
      <vt:variant>
        <vt:i4>1599</vt:i4>
      </vt:variant>
      <vt:variant>
        <vt:i4>0</vt:i4>
      </vt:variant>
      <vt:variant>
        <vt:i4>5</vt:i4>
      </vt:variant>
      <vt:variant>
        <vt:lpwstr>http://www.dep.state.fl.us/labs/qa/sops.htm</vt:lpwstr>
      </vt:variant>
      <vt:variant>
        <vt:lpwstr/>
      </vt:variant>
      <vt:variant>
        <vt:i4>393342</vt:i4>
      </vt:variant>
      <vt:variant>
        <vt:i4>1596</vt:i4>
      </vt:variant>
      <vt:variant>
        <vt:i4>0</vt:i4>
      </vt:variant>
      <vt:variant>
        <vt:i4>5</vt:i4>
      </vt:variant>
      <vt:variant>
        <vt:lpwstr>http://www.dep.state.fl.us/water/monitoring/docs/MonitoringStrategy_106.pdf</vt:lpwstr>
      </vt:variant>
      <vt:variant>
        <vt:lpwstr/>
      </vt:variant>
      <vt:variant>
        <vt:i4>4718614</vt:i4>
      </vt:variant>
      <vt:variant>
        <vt:i4>1593</vt:i4>
      </vt:variant>
      <vt:variant>
        <vt:i4>0</vt:i4>
      </vt:variant>
      <vt:variant>
        <vt:i4>5</vt:i4>
      </vt:variant>
      <vt:variant>
        <vt:lpwstr>http://www.epa.gov/owow/monitoring/elements/</vt:lpwstr>
      </vt:variant>
      <vt:variant>
        <vt:lpwstr/>
      </vt:variant>
      <vt:variant>
        <vt:i4>1507410</vt:i4>
      </vt:variant>
      <vt:variant>
        <vt:i4>1590</vt:i4>
      </vt:variant>
      <vt:variant>
        <vt:i4>0</vt:i4>
      </vt:variant>
      <vt:variant>
        <vt:i4>5</vt:i4>
      </vt:variant>
      <vt:variant>
        <vt:lpwstr>http://www.dep.state.fl.us/water/monitoring/index.htm</vt:lpwstr>
      </vt:variant>
      <vt:variant>
        <vt:lpwstr/>
      </vt:variant>
      <vt:variant>
        <vt:i4>7209043</vt:i4>
      </vt:variant>
      <vt:variant>
        <vt:i4>1587</vt:i4>
      </vt:variant>
      <vt:variant>
        <vt:i4>0</vt:i4>
      </vt:variant>
      <vt:variant>
        <vt:i4>5</vt:i4>
      </vt:variant>
      <vt:variant>
        <vt:lpwstr/>
      </vt:variant>
      <vt:variant>
        <vt:lpwstr>_Chapter_5._</vt:lpwstr>
      </vt:variant>
      <vt:variant>
        <vt:i4>6815804</vt:i4>
      </vt:variant>
      <vt:variant>
        <vt:i4>1584</vt:i4>
      </vt:variant>
      <vt:variant>
        <vt:i4>0</vt:i4>
      </vt:variant>
      <vt:variant>
        <vt:i4>5</vt:i4>
      </vt:variant>
      <vt:variant>
        <vt:lpwstr>http://www.epa.gov/storet/</vt:lpwstr>
      </vt:variant>
      <vt:variant>
        <vt:lpwstr/>
      </vt:variant>
      <vt:variant>
        <vt:i4>327751</vt:i4>
      </vt:variant>
      <vt:variant>
        <vt:i4>1581</vt:i4>
      </vt:variant>
      <vt:variant>
        <vt:i4>0</vt:i4>
      </vt:variant>
      <vt:variant>
        <vt:i4>5</vt:i4>
      </vt:variant>
      <vt:variant>
        <vt:lpwstr>http://www.dep.state.fl.us/water/storet/index.htm</vt:lpwstr>
      </vt:variant>
      <vt:variant>
        <vt:lpwstr/>
      </vt:variant>
      <vt:variant>
        <vt:i4>5374032</vt:i4>
      </vt:variant>
      <vt:variant>
        <vt:i4>1578</vt:i4>
      </vt:variant>
      <vt:variant>
        <vt:i4>0</vt:i4>
      </vt:variant>
      <vt:variant>
        <vt:i4>5</vt:i4>
      </vt:variant>
      <vt:variant>
        <vt:lpwstr>http://www.dep.state.fl.us/water/esoc.htm</vt:lpwstr>
      </vt:variant>
      <vt:variant>
        <vt:lpwstr/>
      </vt:variant>
      <vt:variant>
        <vt:i4>5111887</vt:i4>
      </vt:variant>
      <vt:variant>
        <vt:i4>1575</vt:i4>
      </vt:variant>
      <vt:variant>
        <vt:i4>0</vt:i4>
      </vt:variant>
      <vt:variant>
        <vt:i4>5</vt:i4>
      </vt:variant>
      <vt:variant>
        <vt:lpwstr>http://www.dep.state.fl.us/Water/wetlands/erp/rules/stormwater/index.htm</vt:lpwstr>
      </vt:variant>
      <vt:variant>
        <vt:lpwstr/>
      </vt:variant>
      <vt:variant>
        <vt:i4>5636135</vt:i4>
      </vt:variant>
      <vt:variant>
        <vt:i4>1572</vt:i4>
      </vt:variant>
      <vt:variant>
        <vt:i4>0</vt:i4>
      </vt:variant>
      <vt:variant>
        <vt:i4>5</vt:i4>
      </vt:variant>
      <vt:variant>
        <vt:lpwstr>http://www.dep.state.fl.us/Water/wetlands/erp/rules/stormwater/docs/ah_rule_draft_031710.pdf</vt:lpwstr>
      </vt:variant>
      <vt:variant>
        <vt:lpwstr/>
      </vt:variant>
      <vt:variant>
        <vt:i4>720961</vt:i4>
      </vt:variant>
      <vt:variant>
        <vt:i4>1569</vt:i4>
      </vt:variant>
      <vt:variant>
        <vt:i4>0</vt:i4>
      </vt:variant>
      <vt:variant>
        <vt:i4>5</vt:i4>
      </vt:variant>
      <vt:variant>
        <vt:lpwstr>http://edis.ifas.ufl.edu/pdffiles/SS/SS52800.pdf</vt:lpwstr>
      </vt:variant>
      <vt:variant>
        <vt:lpwstr/>
      </vt:variant>
      <vt:variant>
        <vt:i4>1572883</vt:i4>
      </vt:variant>
      <vt:variant>
        <vt:i4>1566</vt:i4>
      </vt:variant>
      <vt:variant>
        <vt:i4>0</vt:i4>
      </vt:variant>
      <vt:variant>
        <vt:i4>5</vt:i4>
      </vt:variant>
      <vt:variant>
        <vt:lpwstr>http://www.dep.state.fl.us/water/wqssp/nutrients/</vt:lpwstr>
      </vt:variant>
      <vt:variant>
        <vt:lpwstr/>
      </vt:variant>
      <vt:variant>
        <vt:i4>983116</vt:i4>
      </vt:variant>
      <vt:variant>
        <vt:i4>1563</vt:i4>
      </vt:variant>
      <vt:variant>
        <vt:i4>0</vt:i4>
      </vt:variant>
      <vt:variant>
        <vt:i4>5</vt:i4>
      </vt:variant>
      <vt:variant>
        <vt:lpwstr/>
      </vt:variant>
      <vt:variant>
        <vt:lpwstr>_Chapter_11:_</vt:lpwstr>
      </vt:variant>
      <vt:variant>
        <vt:i4>6422631</vt:i4>
      </vt:variant>
      <vt:variant>
        <vt:i4>1560</vt:i4>
      </vt:variant>
      <vt:variant>
        <vt:i4>0</vt:i4>
      </vt:variant>
      <vt:variant>
        <vt:i4>5</vt:i4>
      </vt:variant>
      <vt:variant>
        <vt:lpwstr>http://research.myfwc.com/fishkill/</vt:lpwstr>
      </vt:variant>
      <vt:variant>
        <vt:lpwstr/>
      </vt:variant>
      <vt:variant>
        <vt:i4>7864370</vt:i4>
      </vt:variant>
      <vt:variant>
        <vt:i4>1557</vt:i4>
      </vt:variant>
      <vt:variant>
        <vt:i4>0</vt:i4>
      </vt:variant>
      <vt:variant>
        <vt:i4>5</vt:i4>
      </vt:variant>
      <vt:variant>
        <vt:lpwstr>http://habsos.noaa.gov/gis-mapping</vt:lpwstr>
      </vt:variant>
      <vt:variant>
        <vt:lpwstr/>
      </vt:variant>
      <vt:variant>
        <vt:i4>3801118</vt:i4>
      </vt:variant>
      <vt:variant>
        <vt:i4>1554</vt:i4>
      </vt:variant>
      <vt:variant>
        <vt:i4>0</vt:i4>
      </vt:variant>
      <vt:variant>
        <vt:i4>5</vt:i4>
      </vt:variant>
      <vt:variant>
        <vt:lpwstr>http://www.floridaaquaculture.com/SEAS/SEAS_intro.htm</vt:lpwstr>
      </vt:variant>
      <vt:variant>
        <vt:lpwstr/>
      </vt:variant>
      <vt:variant>
        <vt:i4>6684789</vt:i4>
      </vt:variant>
      <vt:variant>
        <vt:i4>1551</vt:i4>
      </vt:variant>
      <vt:variant>
        <vt:i4>0</vt:i4>
      </vt:variant>
      <vt:variant>
        <vt:i4>5</vt:i4>
      </vt:variant>
      <vt:variant>
        <vt:lpwstr>http://research.myfwc.com/</vt:lpwstr>
      </vt:variant>
      <vt:variant>
        <vt:lpwstr/>
      </vt:variant>
      <vt:variant>
        <vt:i4>8126475</vt:i4>
      </vt:variant>
      <vt:variant>
        <vt:i4>1548</vt:i4>
      </vt:variant>
      <vt:variant>
        <vt:i4>0</vt:i4>
      </vt:variant>
      <vt:variant>
        <vt:i4>5</vt:i4>
      </vt:variant>
      <vt:variant>
        <vt:lpwstr>http://research.myfwc.com/features/view_article.asp?id=27095</vt:lpwstr>
      </vt:variant>
      <vt:variant>
        <vt:lpwstr/>
      </vt:variant>
      <vt:variant>
        <vt:i4>4522009</vt:i4>
      </vt:variant>
      <vt:variant>
        <vt:i4>1545</vt:i4>
      </vt:variant>
      <vt:variant>
        <vt:i4>0</vt:i4>
      </vt:variant>
      <vt:variant>
        <vt:i4>5</vt:i4>
      </vt:variant>
      <vt:variant>
        <vt:lpwstr>http://gulfofmexicoalliance.org/</vt:lpwstr>
      </vt:variant>
      <vt:variant>
        <vt:lpwstr/>
      </vt:variant>
      <vt:variant>
        <vt:i4>7143486</vt:i4>
      </vt:variant>
      <vt:variant>
        <vt:i4>1542</vt:i4>
      </vt:variant>
      <vt:variant>
        <vt:i4>0</vt:i4>
      </vt:variant>
      <vt:variant>
        <vt:i4>5</vt:i4>
      </vt:variant>
      <vt:variant>
        <vt:lpwstr>ftp://ftp.dep.state.fl.us/pub/incoming/2010 integrated report/A Strategic Implementation Plan for Florida COOS:</vt:lpwstr>
      </vt:variant>
      <vt:variant>
        <vt:lpwstr/>
      </vt:variant>
      <vt:variant>
        <vt:i4>6357083</vt:i4>
      </vt:variant>
      <vt:variant>
        <vt:i4>1539</vt:i4>
      </vt:variant>
      <vt:variant>
        <vt:i4>0</vt:i4>
      </vt:variant>
      <vt:variant>
        <vt:i4>5</vt:i4>
      </vt:variant>
      <vt:variant>
        <vt:lpwstr>http://research.myfwc.com/features/category_main.asp?id=2343</vt:lpwstr>
      </vt:variant>
      <vt:variant>
        <vt:lpwstr/>
      </vt:variant>
      <vt:variant>
        <vt:i4>6094873</vt:i4>
      </vt:variant>
      <vt:variant>
        <vt:i4>1536</vt:i4>
      </vt:variant>
      <vt:variant>
        <vt:i4>0</vt:i4>
      </vt:variant>
      <vt:variant>
        <vt:i4>5</vt:i4>
      </vt:variant>
      <vt:variant>
        <vt:lpwstr>http://www.epa.gov/ogwdw000/ccl/ccl3.html</vt:lpwstr>
      </vt:variant>
      <vt:variant>
        <vt:lpwstr>chemical</vt:lpwstr>
      </vt:variant>
      <vt:variant>
        <vt:i4>3473470</vt:i4>
      </vt:variant>
      <vt:variant>
        <vt:i4>1533</vt:i4>
      </vt:variant>
      <vt:variant>
        <vt:i4>0</vt:i4>
      </vt:variant>
      <vt:variant>
        <vt:i4>5</vt:i4>
      </vt:variant>
      <vt:variant>
        <vt:lpwstr>http://www.doh.state.fl.us/Environment/medicine/aquatic/index.html</vt:lpwstr>
      </vt:variant>
      <vt:variant>
        <vt:lpwstr/>
      </vt:variant>
      <vt:variant>
        <vt:i4>2555938</vt:i4>
      </vt:variant>
      <vt:variant>
        <vt:i4>1530</vt:i4>
      </vt:variant>
      <vt:variant>
        <vt:i4>0</vt:i4>
      </vt:variant>
      <vt:variant>
        <vt:i4>5</vt:i4>
      </vt:variant>
      <vt:variant>
        <vt:lpwstr>http://esetappsdoh.doh.state.fl.us/irm00beachwater/default.aspx</vt:lpwstr>
      </vt:variant>
      <vt:variant>
        <vt:lpwstr/>
      </vt:variant>
      <vt:variant>
        <vt:i4>3801118</vt:i4>
      </vt:variant>
      <vt:variant>
        <vt:i4>1527</vt:i4>
      </vt:variant>
      <vt:variant>
        <vt:i4>0</vt:i4>
      </vt:variant>
      <vt:variant>
        <vt:i4>5</vt:i4>
      </vt:variant>
      <vt:variant>
        <vt:lpwstr>http://www.floridaaquaculture.com/SEAS/SEAS_intro.htm</vt:lpwstr>
      </vt:variant>
      <vt:variant>
        <vt:lpwstr/>
      </vt:variant>
      <vt:variant>
        <vt:i4>5505119</vt:i4>
      </vt:variant>
      <vt:variant>
        <vt:i4>1524</vt:i4>
      </vt:variant>
      <vt:variant>
        <vt:i4>0</vt:i4>
      </vt:variant>
      <vt:variant>
        <vt:i4>5</vt:i4>
      </vt:variant>
      <vt:variant>
        <vt:lpwstr>http://www.doh.state.fl.us/environment/medicine/fishconsumptionadvisories/index.html</vt:lpwstr>
      </vt:variant>
      <vt:variant>
        <vt:lpwstr/>
      </vt:variant>
      <vt:variant>
        <vt:i4>2293866</vt:i4>
      </vt:variant>
      <vt:variant>
        <vt:i4>1521</vt:i4>
      </vt:variant>
      <vt:variant>
        <vt:i4>0</vt:i4>
      </vt:variant>
      <vt:variant>
        <vt:i4>5</vt:i4>
      </vt:variant>
      <vt:variant>
        <vt:lpwstr>http://www.dep.state.fl.us/labs/bars/sas/mercury/index.htm</vt:lpwstr>
      </vt:variant>
      <vt:variant>
        <vt:lpwstr/>
      </vt:variant>
      <vt:variant>
        <vt:i4>2555938</vt:i4>
      </vt:variant>
      <vt:variant>
        <vt:i4>1518</vt:i4>
      </vt:variant>
      <vt:variant>
        <vt:i4>0</vt:i4>
      </vt:variant>
      <vt:variant>
        <vt:i4>5</vt:i4>
      </vt:variant>
      <vt:variant>
        <vt:lpwstr>http://esetappsdoh.doh.state.fl.us/irm00beachwater/default.aspx</vt:lpwstr>
      </vt:variant>
      <vt:variant>
        <vt:lpwstr/>
      </vt:variant>
      <vt:variant>
        <vt:i4>4522053</vt:i4>
      </vt:variant>
      <vt:variant>
        <vt:i4>1515</vt:i4>
      </vt:variant>
      <vt:variant>
        <vt:i4>0</vt:i4>
      </vt:variant>
      <vt:variant>
        <vt:i4>5</vt:i4>
      </vt:variant>
      <vt:variant>
        <vt:lpwstr>http://esetappsdoh.doh.state.fl.us/irm00beachwater/terms.htm</vt:lpwstr>
      </vt:variant>
      <vt:variant>
        <vt:lpwstr/>
      </vt:variant>
      <vt:variant>
        <vt:i4>7602231</vt:i4>
      </vt:variant>
      <vt:variant>
        <vt:i4>1512</vt:i4>
      </vt:variant>
      <vt:variant>
        <vt:i4>0</vt:i4>
      </vt:variant>
      <vt:variant>
        <vt:i4>5</vt:i4>
      </vt:variant>
      <vt:variant>
        <vt:lpwstr>http://www.doh.state.fl.us/environment/water/index.html</vt:lpwstr>
      </vt:variant>
      <vt:variant>
        <vt:lpwstr/>
      </vt:variant>
      <vt:variant>
        <vt:i4>720960</vt:i4>
      </vt:variant>
      <vt:variant>
        <vt:i4>1509</vt:i4>
      </vt:variant>
      <vt:variant>
        <vt:i4>0</vt:i4>
      </vt:variant>
      <vt:variant>
        <vt:i4>5</vt:i4>
      </vt:variant>
      <vt:variant>
        <vt:lpwstr>http://www.dep.state.fl.us/water/drinkingwater/index.htm</vt:lpwstr>
      </vt:variant>
      <vt:variant>
        <vt:lpwstr/>
      </vt:variant>
      <vt:variant>
        <vt:i4>983116</vt:i4>
      </vt:variant>
      <vt:variant>
        <vt:i4>1506</vt:i4>
      </vt:variant>
      <vt:variant>
        <vt:i4>0</vt:i4>
      </vt:variant>
      <vt:variant>
        <vt:i4>5</vt:i4>
      </vt:variant>
      <vt:variant>
        <vt:lpwstr/>
      </vt:variant>
      <vt:variant>
        <vt:lpwstr>_Chapter_11:_</vt:lpwstr>
      </vt:variant>
      <vt:variant>
        <vt:i4>2555988</vt:i4>
      </vt:variant>
      <vt:variant>
        <vt:i4>1500</vt:i4>
      </vt:variant>
      <vt:variant>
        <vt:i4>0</vt:i4>
      </vt:variant>
      <vt:variant>
        <vt:i4>5</vt:i4>
      </vt:variant>
      <vt:variant>
        <vt:lpwstr>http://www.epa.gov/region4/water/watersheds/watershed_summaries.html</vt:lpwstr>
      </vt:variant>
      <vt:variant>
        <vt:lpwstr/>
      </vt:variant>
      <vt:variant>
        <vt:i4>983116</vt:i4>
      </vt:variant>
      <vt:variant>
        <vt:i4>1497</vt:i4>
      </vt:variant>
      <vt:variant>
        <vt:i4>0</vt:i4>
      </vt:variant>
      <vt:variant>
        <vt:i4>5</vt:i4>
      </vt:variant>
      <vt:variant>
        <vt:lpwstr/>
      </vt:variant>
      <vt:variant>
        <vt:lpwstr>_Chapter_11:_</vt:lpwstr>
      </vt:variant>
      <vt:variant>
        <vt:i4>917515</vt:i4>
      </vt:variant>
      <vt:variant>
        <vt:i4>1491</vt:i4>
      </vt:variant>
      <vt:variant>
        <vt:i4>0</vt:i4>
      </vt:variant>
      <vt:variant>
        <vt:i4>5</vt:i4>
      </vt:variant>
      <vt:variant>
        <vt:lpwstr>http://www.americasroof.com/highest/fl.shtml</vt:lpwstr>
      </vt:variant>
      <vt:variant>
        <vt:lpwstr/>
      </vt:variant>
      <vt:variant>
        <vt:i4>7209013</vt:i4>
      </vt:variant>
      <vt:variant>
        <vt:i4>1488</vt:i4>
      </vt:variant>
      <vt:variant>
        <vt:i4>0</vt:i4>
      </vt:variant>
      <vt:variant>
        <vt:i4>5</vt:i4>
      </vt:variant>
      <vt:variant>
        <vt:lpwstr>http://www.sfwmd.gov/portal/page/portal/levelthree/americas everglades</vt:lpwstr>
      </vt:variant>
      <vt:variant>
        <vt:lpwstr/>
      </vt:variant>
      <vt:variant>
        <vt:i4>7143493</vt:i4>
      </vt:variant>
      <vt:variant>
        <vt:i4>1485</vt:i4>
      </vt:variant>
      <vt:variant>
        <vt:i4>0</vt:i4>
      </vt:variant>
      <vt:variant>
        <vt:i4>5</vt:i4>
      </vt:variant>
      <vt:variant>
        <vt:lpwstr>http://www.epa.gov/wed/pages/ecoregions/fl_eco.htm</vt:lpwstr>
      </vt:variant>
      <vt:variant>
        <vt:lpwstr/>
      </vt:variant>
      <vt:variant>
        <vt:i4>6422589</vt:i4>
      </vt:variant>
      <vt:variant>
        <vt:i4>1482</vt:i4>
      </vt:variant>
      <vt:variant>
        <vt:i4>0</vt:i4>
      </vt:variant>
      <vt:variant>
        <vt:i4>5</vt:i4>
      </vt:variant>
      <vt:variant>
        <vt:lpwstr>http://lakewatch.ifas.ufl.edu/</vt:lpwstr>
      </vt:variant>
      <vt:variant>
        <vt:lpwstr/>
      </vt:variant>
      <vt:variant>
        <vt:i4>3276903</vt:i4>
      </vt:variant>
      <vt:variant>
        <vt:i4>1479</vt:i4>
      </vt:variant>
      <vt:variant>
        <vt:i4>0</vt:i4>
      </vt:variant>
      <vt:variant>
        <vt:i4>5</vt:i4>
      </vt:variant>
      <vt:variant>
        <vt:lpwstr>http://www.sfwmd.gov/portal/page/portal/levelthree/kissimmee river</vt:lpwstr>
      </vt:variant>
      <vt:variant>
        <vt:lpwstr/>
      </vt:variant>
      <vt:variant>
        <vt:i4>458838</vt:i4>
      </vt:variant>
      <vt:variant>
        <vt:i4>1476</vt:i4>
      </vt:variant>
      <vt:variant>
        <vt:i4>0</vt:i4>
      </vt:variant>
      <vt:variant>
        <vt:i4>5</vt:i4>
      </vt:variant>
      <vt:variant>
        <vt:lpwstr>http://www.srwmd.state.fl.us/</vt:lpwstr>
      </vt:variant>
      <vt:variant>
        <vt:lpwstr/>
      </vt:variant>
      <vt:variant>
        <vt:i4>3735653</vt:i4>
      </vt:variant>
      <vt:variant>
        <vt:i4>1473</vt:i4>
      </vt:variant>
      <vt:variant>
        <vt:i4>0</vt:i4>
      </vt:variant>
      <vt:variant>
        <vt:i4>5</vt:i4>
      </vt:variant>
      <vt:variant>
        <vt:lpwstr>http://www.flclimatechange.us/documents.cfm</vt:lpwstr>
      </vt:variant>
      <vt:variant>
        <vt:lpwstr/>
      </vt:variant>
      <vt:variant>
        <vt:i4>3670122</vt:i4>
      </vt:variant>
      <vt:variant>
        <vt:i4>1470</vt:i4>
      </vt:variant>
      <vt:variant>
        <vt:i4>0</vt:i4>
      </vt:variant>
      <vt:variant>
        <vt:i4>5</vt:i4>
      </vt:variant>
      <vt:variant>
        <vt:lpwstr>http://www.dep.state.fl.us/water/monitoring/basins.htm</vt:lpwstr>
      </vt:variant>
      <vt:variant>
        <vt:lpwstr/>
      </vt:variant>
      <vt:variant>
        <vt:i4>983116</vt:i4>
      </vt:variant>
      <vt:variant>
        <vt:i4>1467</vt:i4>
      </vt:variant>
      <vt:variant>
        <vt:i4>0</vt:i4>
      </vt:variant>
      <vt:variant>
        <vt:i4>5</vt:i4>
      </vt:variant>
      <vt:variant>
        <vt:lpwstr/>
      </vt:variant>
      <vt:variant>
        <vt:lpwstr>_Chapter_11:_</vt:lpwstr>
      </vt:variant>
      <vt:variant>
        <vt:i4>983116</vt:i4>
      </vt:variant>
      <vt:variant>
        <vt:i4>1464</vt:i4>
      </vt:variant>
      <vt:variant>
        <vt:i4>0</vt:i4>
      </vt:variant>
      <vt:variant>
        <vt:i4>5</vt:i4>
      </vt:variant>
      <vt:variant>
        <vt:lpwstr/>
      </vt:variant>
      <vt:variant>
        <vt:lpwstr>_Chapter_11:_</vt:lpwstr>
      </vt:variant>
      <vt:variant>
        <vt:i4>6094860</vt:i4>
      </vt:variant>
      <vt:variant>
        <vt:i4>1461</vt:i4>
      </vt:variant>
      <vt:variant>
        <vt:i4>0</vt:i4>
      </vt:variant>
      <vt:variant>
        <vt:i4>5</vt:i4>
      </vt:variant>
      <vt:variant>
        <vt:lpwstr/>
      </vt:variant>
      <vt:variant>
        <vt:lpwstr>_Chapter_7.__1</vt:lpwstr>
      </vt:variant>
      <vt:variant>
        <vt:i4>6815815</vt:i4>
      </vt:variant>
      <vt:variant>
        <vt:i4>1458</vt:i4>
      </vt:variant>
      <vt:variant>
        <vt:i4>0</vt:i4>
      </vt:variant>
      <vt:variant>
        <vt:i4>5</vt:i4>
      </vt:variant>
      <vt:variant>
        <vt:lpwstr/>
      </vt:variant>
      <vt:variant>
        <vt:lpwstr>_Chapter_3:_</vt:lpwstr>
      </vt:variant>
      <vt:variant>
        <vt:i4>983116</vt:i4>
      </vt:variant>
      <vt:variant>
        <vt:i4>1455</vt:i4>
      </vt:variant>
      <vt:variant>
        <vt:i4>0</vt:i4>
      </vt:variant>
      <vt:variant>
        <vt:i4>5</vt:i4>
      </vt:variant>
      <vt:variant>
        <vt:lpwstr/>
      </vt:variant>
      <vt:variant>
        <vt:lpwstr>_Chapter_11:_</vt:lpwstr>
      </vt:variant>
      <vt:variant>
        <vt:i4>983117</vt:i4>
      </vt:variant>
      <vt:variant>
        <vt:i4>1452</vt:i4>
      </vt:variant>
      <vt:variant>
        <vt:i4>0</vt:i4>
      </vt:variant>
      <vt:variant>
        <vt:i4>5</vt:i4>
      </vt:variant>
      <vt:variant>
        <vt:lpwstr/>
      </vt:variant>
      <vt:variant>
        <vt:lpwstr>_Chapter_10:_</vt:lpwstr>
      </vt:variant>
      <vt:variant>
        <vt:i4>7143495</vt:i4>
      </vt:variant>
      <vt:variant>
        <vt:i4>1449</vt:i4>
      </vt:variant>
      <vt:variant>
        <vt:i4>0</vt:i4>
      </vt:variant>
      <vt:variant>
        <vt:i4>5</vt:i4>
      </vt:variant>
      <vt:variant>
        <vt:lpwstr/>
      </vt:variant>
      <vt:variant>
        <vt:lpwstr>_Chapter_6:_</vt:lpwstr>
      </vt:variant>
      <vt:variant>
        <vt:i4>1966129</vt:i4>
      </vt:variant>
      <vt:variant>
        <vt:i4>1442</vt:i4>
      </vt:variant>
      <vt:variant>
        <vt:i4>0</vt:i4>
      </vt:variant>
      <vt:variant>
        <vt:i4>5</vt:i4>
      </vt:variant>
      <vt:variant>
        <vt:lpwstr/>
      </vt:variant>
      <vt:variant>
        <vt:lpwstr>_Toc271029074</vt:lpwstr>
      </vt:variant>
      <vt:variant>
        <vt:i4>1966129</vt:i4>
      </vt:variant>
      <vt:variant>
        <vt:i4>1436</vt:i4>
      </vt:variant>
      <vt:variant>
        <vt:i4>0</vt:i4>
      </vt:variant>
      <vt:variant>
        <vt:i4>5</vt:i4>
      </vt:variant>
      <vt:variant>
        <vt:lpwstr/>
      </vt:variant>
      <vt:variant>
        <vt:lpwstr>_Toc271029073</vt:lpwstr>
      </vt:variant>
      <vt:variant>
        <vt:i4>1966129</vt:i4>
      </vt:variant>
      <vt:variant>
        <vt:i4>1430</vt:i4>
      </vt:variant>
      <vt:variant>
        <vt:i4>0</vt:i4>
      </vt:variant>
      <vt:variant>
        <vt:i4>5</vt:i4>
      </vt:variant>
      <vt:variant>
        <vt:lpwstr/>
      </vt:variant>
      <vt:variant>
        <vt:lpwstr>_Toc271029072</vt:lpwstr>
      </vt:variant>
      <vt:variant>
        <vt:i4>1966129</vt:i4>
      </vt:variant>
      <vt:variant>
        <vt:i4>1424</vt:i4>
      </vt:variant>
      <vt:variant>
        <vt:i4>0</vt:i4>
      </vt:variant>
      <vt:variant>
        <vt:i4>5</vt:i4>
      </vt:variant>
      <vt:variant>
        <vt:lpwstr/>
      </vt:variant>
      <vt:variant>
        <vt:lpwstr>_Toc271029071</vt:lpwstr>
      </vt:variant>
      <vt:variant>
        <vt:i4>1966129</vt:i4>
      </vt:variant>
      <vt:variant>
        <vt:i4>1418</vt:i4>
      </vt:variant>
      <vt:variant>
        <vt:i4>0</vt:i4>
      </vt:variant>
      <vt:variant>
        <vt:i4>5</vt:i4>
      </vt:variant>
      <vt:variant>
        <vt:lpwstr/>
      </vt:variant>
      <vt:variant>
        <vt:lpwstr>_Toc271029070</vt:lpwstr>
      </vt:variant>
      <vt:variant>
        <vt:i4>2031665</vt:i4>
      </vt:variant>
      <vt:variant>
        <vt:i4>1412</vt:i4>
      </vt:variant>
      <vt:variant>
        <vt:i4>0</vt:i4>
      </vt:variant>
      <vt:variant>
        <vt:i4>5</vt:i4>
      </vt:variant>
      <vt:variant>
        <vt:lpwstr/>
      </vt:variant>
      <vt:variant>
        <vt:lpwstr>_Toc271029069</vt:lpwstr>
      </vt:variant>
      <vt:variant>
        <vt:i4>2031665</vt:i4>
      </vt:variant>
      <vt:variant>
        <vt:i4>1406</vt:i4>
      </vt:variant>
      <vt:variant>
        <vt:i4>0</vt:i4>
      </vt:variant>
      <vt:variant>
        <vt:i4>5</vt:i4>
      </vt:variant>
      <vt:variant>
        <vt:lpwstr/>
      </vt:variant>
      <vt:variant>
        <vt:lpwstr>_Toc271029068</vt:lpwstr>
      </vt:variant>
      <vt:variant>
        <vt:i4>2031665</vt:i4>
      </vt:variant>
      <vt:variant>
        <vt:i4>1400</vt:i4>
      </vt:variant>
      <vt:variant>
        <vt:i4>0</vt:i4>
      </vt:variant>
      <vt:variant>
        <vt:i4>5</vt:i4>
      </vt:variant>
      <vt:variant>
        <vt:lpwstr/>
      </vt:variant>
      <vt:variant>
        <vt:lpwstr>_Toc271029067</vt:lpwstr>
      </vt:variant>
      <vt:variant>
        <vt:i4>2031665</vt:i4>
      </vt:variant>
      <vt:variant>
        <vt:i4>1394</vt:i4>
      </vt:variant>
      <vt:variant>
        <vt:i4>0</vt:i4>
      </vt:variant>
      <vt:variant>
        <vt:i4>5</vt:i4>
      </vt:variant>
      <vt:variant>
        <vt:lpwstr/>
      </vt:variant>
      <vt:variant>
        <vt:lpwstr>_Toc271029066</vt:lpwstr>
      </vt:variant>
      <vt:variant>
        <vt:i4>2031665</vt:i4>
      </vt:variant>
      <vt:variant>
        <vt:i4>1388</vt:i4>
      </vt:variant>
      <vt:variant>
        <vt:i4>0</vt:i4>
      </vt:variant>
      <vt:variant>
        <vt:i4>5</vt:i4>
      </vt:variant>
      <vt:variant>
        <vt:lpwstr/>
      </vt:variant>
      <vt:variant>
        <vt:lpwstr>_Toc271029065</vt:lpwstr>
      </vt:variant>
      <vt:variant>
        <vt:i4>2031665</vt:i4>
      </vt:variant>
      <vt:variant>
        <vt:i4>1382</vt:i4>
      </vt:variant>
      <vt:variant>
        <vt:i4>0</vt:i4>
      </vt:variant>
      <vt:variant>
        <vt:i4>5</vt:i4>
      </vt:variant>
      <vt:variant>
        <vt:lpwstr/>
      </vt:variant>
      <vt:variant>
        <vt:lpwstr>_Toc271029064</vt:lpwstr>
      </vt:variant>
      <vt:variant>
        <vt:i4>2031665</vt:i4>
      </vt:variant>
      <vt:variant>
        <vt:i4>1376</vt:i4>
      </vt:variant>
      <vt:variant>
        <vt:i4>0</vt:i4>
      </vt:variant>
      <vt:variant>
        <vt:i4>5</vt:i4>
      </vt:variant>
      <vt:variant>
        <vt:lpwstr/>
      </vt:variant>
      <vt:variant>
        <vt:lpwstr>_Toc271029063</vt:lpwstr>
      </vt:variant>
      <vt:variant>
        <vt:i4>2031665</vt:i4>
      </vt:variant>
      <vt:variant>
        <vt:i4>1370</vt:i4>
      </vt:variant>
      <vt:variant>
        <vt:i4>0</vt:i4>
      </vt:variant>
      <vt:variant>
        <vt:i4>5</vt:i4>
      </vt:variant>
      <vt:variant>
        <vt:lpwstr/>
      </vt:variant>
      <vt:variant>
        <vt:lpwstr>_Toc271029062</vt:lpwstr>
      </vt:variant>
      <vt:variant>
        <vt:i4>2031665</vt:i4>
      </vt:variant>
      <vt:variant>
        <vt:i4>1364</vt:i4>
      </vt:variant>
      <vt:variant>
        <vt:i4>0</vt:i4>
      </vt:variant>
      <vt:variant>
        <vt:i4>5</vt:i4>
      </vt:variant>
      <vt:variant>
        <vt:lpwstr/>
      </vt:variant>
      <vt:variant>
        <vt:lpwstr>_Toc271029061</vt:lpwstr>
      </vt:variant>
      <vt:variant>
        <vt:i4>2031665</vt:i4>
      </vt:variant>
      <vt:variant>
        <vt:i4>1358</vt:i4>
      </vt:variant>
      <vt:variant>
        <vt:i4>0</vt:i4>
      </vt:variant>
      <vt:variant>
        <vt:i4>5</vt:i4>
      </vt:variant>
      <vt:variant>
        <vt:lpwstr/>
      </vt:variant>
      <vt:variant>
        <vt:lpwstr>_Toc271029060</vt:lpwstr>
      </vt:variant>
      <vt:variant>
        <vt:i4>1835057</vt:i4>
      </vt:variant>
      <vt:variant>
        <vt:i4>1352</vt:i4>
      </vt:variant>
      <vt:variant>
        <vt:i4>0</vt:i4>
      </vt:variant>
      <vt:variant>
        <vt:i4>5</vt:i4>
      </vt:variant>
      <vt:variant>
        <vt:lpwstr/>
      </vt:variant>
      <vt:variant>
        <vt:lpwstr>_Toc271029059</vt:lpwstr>
      </vt:variant>
      <vt:variant>
        <vt:i4>1835057</vt:i4>
      </vt:variant>
      <vt:variant>
        <vt:i4>1346</vt:i4>
      </vt:variant>
      <vt:variant>
        <vt:i4>0</vt:i4>
      </vt:variant>
      <vt:variant>
        <vt:i4>5</vt:i4>
      </vt:variant>
      <vt:variant>
        <vt:lpwstr/>
      </vt:variant>
      <vt:variant>
        <vt:lpwstr>_Toc271029058</vt:lpwstr>
      </vt:variant>
      <vt:variant>
        <vt:i4>1835057</vt:i4>
      </vt:variant>
      <vt:variant>
        <vt:i4>1340</vt:i4>
      </vt:variant>
      <vt:variant>
        <vt:i4>0</vt:i4>
      </vt:variant>
      <vt:variant>
        <vt:i4>5</vt:i4>
      </vt:variant>
      <vt:variant>
        <vt:lpwstr/>
      </vt:variant>
      <vt:variant>
        <vt:lpwstr>_Toc271029057</vt:lpwstr>
      </vt:variant>
      <vt:variant>
        <vt:i4>1835057</vt:i4>
      </vt:variant>
      <vt:variant>
        <vt:i4>1334</vt:i4>
      </vt:variant>
      <vt:variant>
        <vt:i4>0</vt:i4>
      </vt:variant>
      <vt:variant>
        <vt:i4>5</vt:i4>
      </vt:variant>
      <vt:variant>
        <vt:lpwstr/>
      </vt:variant>
      <vt:variant>
        <vt:lpwstr>_Toc271029056</vt:lpwstr>
      </vt:variant>
      <vt:variant>
        <vt:i4>1835057</vt:i4>
      </vt:variant>
      <vt:variant>
        <vt:i4>1328</vt:i4>
      </vt:variant>
      <vt:variant>
        <vt:i4>0</vt:i4>
      </vt:variant>
      <vt:variant>
        <vt:i4>5</vt:i4>
      </vt:variant>
      <vt:variant>
        <vt:lpwstr/>
      </vt:variant>
      <vt:variant>
        <vt:lpwstr>_Toc271029055</vt:lpwstr>
      </vt:variant>
      <vt:variant>
        <vt:i4>1835057</vt:i4>
      </vt:variant>
      <vt:variant>
        <vt:i4>1322</vt:i4>
      </vt:variant>
      <vt:variant>
        <vt:i4>0</vt:i4>
      </vt:variant>
      <vt:variant>
        <vt:i4>5</vt:i4>
      </vt:variant>
      <vt:variant>
        <vt:lpwstr/>
      </vt:variant>
      <vt:variant>
        <vt:lpwstr>_Toc271029054</vt:lpwstr>
      </vt:variant>
      <vt:variant>
        <vt:i4>1835057</vt:i4>
      </vt:variant>
      <vt:variant>
        <vt:i4>1316</vt:i4>
      </vt:variant>
      <vt:variant>
        <vt:i4>0</vt:i4>
      </vt:variant>
      <vt:variant>
        <vt:i4>5</vt:i4>
      </vt:variant>
      <vt:variant>
        <vt:lpwstr/>
      </vt:variant>
      <vt:variant>
        <vt:lpwstr>_Toc271029053</vt:lpwstr>
      </vt:variant>
      <vt:variant>
        <vt:i4>1835057</vt:i4>
      </vt:variant>
      <vt:variant>
        <vt:i4>1310</vt:i4>
      </vt:variant>
      <vt:variant>
        <vt:i4>0</vt:i4>
      </vt:variant>
      <vt:variant>
        <vt:i4>5</vt:i4>
      </vt:variant>
      <vt:variant>
        <vt:lpwstr/>
      </vt:variant>
      <vt:variant>
        <vt:lpwstr>_Toc271029052</vt:lpwstr>
      </vt:variant>
      <vt:variant>
        <vt:i4>1835057</vt:i4>
      </vt:variant>
      <vt:variant>
        <vt:i4>1304</vt:i4>
      </vt:variant>
      <vt:variant>
        <vt:i4>0</vt:i4>
      </vt:variant>
      <vt:variant>
        <vt:i4>5</vt:i4>
      </vt:variant>
      <vt:variant>
        <vt:lpwstr/>
      </vt:variant>
      <vt:variant>
        <vt:lpwstr>_Toc271029051</vt:lpwstr>
      </vt:variant>
      <vt:variant>
        <vt:i4>1835057</vt:i4>
      </vt:variant>
      <vt:variant>
        <vt:i4>1298</vt:i4>
      </vt:variant>
      <vt:variant>
        <vt:i4>0</vt:i4>
      </vt:variant>
      <vt:variant>
        <vt:i4>5</vt:i4>
      </vt:variant>
      <vt:variant>
        <vt:lpwstr/>
      </vt:variant>
      <vt:variant>
        <vt:lpwstr>_Toc271029050</vt:lpwstr>
      </vt:variant>
      <vt:variant>
        <vt:i4>1900593</vt:i4>
      </vt:variant>
      <vt:variant>
        <vt:i4>1292</vt:i4>
      </vt:variant>
      <vt:variant>
        <vt:i4>0</vt:i4>
      </vt:variant>
      <vt:variant>
        <vt:i4>5</vt:i4>
      </vt:variant>
      <vt:variant>
        <vt:lpwstr/>
      </vt:variant>
      <vt:variant>
        <vt:lpwstr>_Toc271029049</vt:lpwstr>
      </vt:variant>
      <vt:variant>
        <vt:i4>1900593</vt:i4>
      </vt:variant>
      <vt:variant>
        <vt:i4>1286</vt:i4>
      </vt:variant>
      <vt:variant>
        <vt:i4>0</vt:i4>
      </vt:variant>
      <vt:variant>
        <vt:i4>5</vt:i4>
      </vt:variant>
      <vt:variant>
        <vt:lpwstr/>
      </vt:variant>
      <vt:variant>
        <vt:lpwstr>_Toc271029048</vt:lpwstr>
      </vt:variant>
      <vt:variant>
        <vt:i4>1900593</vt:i4>
      </vt:variant>
      <vt:variant>
        <vt:i4>1280</vt:i4>
      </vt:variant>
      <vt:variant>
        <vt:i4>0</vt:i4>
      </vt:variant>
      <vt:variant>
        <vt:i4>5</vt:i4>
      </vt:variant>
      <vt:variant>
        <vt:lpwstr/>
      </vt:variant>
      <vt:variant>
        <vt:lpwstr>_Toc271029047</vt:lpwstr>
      </vt:variant>
      <vt:variant>
        <vt:i4>1900593</vt:i4>
      </vt:variant>
      <vt:variant>
        <vt:i4>1274</vt:i4>
      </vt:variant>
      <vt:variant>
        <vt:i4>0</vt:i4>
      </vt:variant>
      <vt:variant>
        <vt:i4>5</vt:i4>
      </vt:variant>
      <vt:variant>
        <vt:lpwstr/>
      </vt:variant>
      <vt:variant>
        <vt:lpwstr>_Toc271029046</vt:lpwstr>
      </vt:variant>
      <vt:variant>
        <vt:i4>1900593</vt:i4>
      </vt:variant>
      <vt:variant>
        <vt:i4>1268</vt:i4>
      </vt:variant>
      <vt:variant>
        <vt:i4>0</vt:i4>
      </vt:variant>
      <vt:variant>
        <vt:i4>5</vt:i4>
      </vt:variant>
      <vt:variant>
        <vt:lpwstr/>
      </vt:variant>
      <vt:variant>
        <vt:lpwstr>_Toc271029045</vt:lpwstr>
      </vt:variant>
      <vt:variant>
        <vt:i4>1900593</vt:i4>
      </vt:variant>
      <vt:variant>
        <vt:i4>1262</vt:i4>
      </vt:variant>
      <vt:variant>
        <vt:i4>0</vt:i4>
      </vt:variant>
      <vt:variant>
        <vt:i4>5</vt:i4>
      </vt:variant>
      <vt:variant>
        <vt:lpwstr/>
      </vt:variant>
      <vt:variant>
        <vt:lpwstr>_Toc271029044</vt:lpwstr>
      </vt:variant>
      <vt:variant>
        <vt:i4>1900593</vt:i4>
      </vt:variant>
      <vt:variant>
        <vt:i4>1256</vt:i4>
      </vt:variant>
      <vt:variant>
        <vt:i4>0</vt:i4>
      </vt:variant>
      <vt:variant>
        <vt:i4>5</vt:i4>
      </vt:variant>
      <vt:variant>
        <vt:lpwstr/>
      </vt:variant>
      <vt:variant>
        <vt:lpwstr>_Toc271029043</vt:lpwstr>
      </vt:variant>
      <vt:variant>
        <vt:i4>1900593</vt:i4>
      </vt:variant>
      <vt:variant>
        <vt:i4>1250</vt:i4>
      </vt:variant>
      <vt:variant>
        <vt:i4>0</vt:i4>
      </vt:variant>
      <vt:variant>
        <vt:i4>5</vt:i4>
      </vt:variant>
      <vt:variant>
        <vt:lpwstr/>
      </vt:variant>
      <vt:variant>
        <vt:lpwstr>_Toc271029042</vt:lpwstr>
      </vt:variant>
      <vt:variant>
        <vt:i4>1900593</vt:i4>
      </vt:variant>
      <vt:variant>
        <vt:i4>1244</vt:i4>
      </vt:variant>
      <vt:variant>
        <vt:i4>0</vt:i4>
      </vt:variant>
      <vt:variant>
        <vt:i4>5</vt:i4>
      </vt:variant>
      <vt:variant>
        <vt:lpwstr/>
      </vt:variant>
      <vt:variant>
        <vt:lpwstr>_Toc271029041</vt:lpwstr>
      </vt:variant>
      <vt:variant>
        <vt:i4>1900593</vt:i4>
      </vt:variant>
      <vt:variant>
        <vt:i4>1238</vt:i4>
      </vt:variant>
      <vt:variant>
        <vt:i4>0</vt:i4>
      </vt:variant>
      <vt:variant>
        <vt:i4>5</vt:i4>
      </vt:variant>
      <vt:variant>
        <vt:lpwstr/>
      </vt:variant>
      <vt:variant>
        <vt:lpwstr>_Toc271029040</vt:lpwstr>
      </vt:variant>
      <vt:variant>
        <vt:i4>1703985</vt:i4>
      </vt:variant>
      <vt:variant>
        <vt:i4>1232</vt:i4>
      </vt:variant>
      <vt:variant>
        <vt:i4>0</vt:i4>
      </vt:variant>
      <vt:variant>
        <vt:i4>5</vt:i4>
      </vt:variant>
      <vt:variant>
        <vt:lpwstr/>
      </vt:variant>
      <vt:variant>
        <vt:lpwstr>_Toc271029039</vt:lpwstr>
      </vt:variant>
      <vt:variant>
        <vt:i4>1703985</vt:i4>
      </vt:variant>
      <vt:variant>
        <vt:i4>1226</vt:i4>
      </vt:variant>
      <vt:variant>
        <vt:i4>0</vt:i4>
      </vt:variant>
      <vt:variant>
        <vt:i4>5</vt:i4>
      </vt:variant>
      <vt:variant>
        <vt:lpwstr/>
      </vt:variant>
      <vt:variant>
        <vt:lpwstr>_Toc271029038</vt:lpwstr>
      </vt:variant>
      <vt:variant>
        <vt:i4>1703985</vt:i4>
      </vt:variant>
      <vt:variant>
        <vt:i4>1220</vt:i4>
      </vt:variant>
      <vt:variant>
        <vt:i4>0</vt:i4>
      </vt:variant>
      <vt:variant>
        <vt:i4>5</vt:i4>
      </vt:variant>
      <vt:variant>
        <vt:lpwstr/>
      </vt:variant>
      <vt:variant>
        <vt:lpwstr>_Toc271029037</vt:lpwstr>
      </vt:variant>
      <vt:variant>
        <vt:i4>1703985</vt:i4>
      </vt:variant>
      <vt:variant>
        <vt:i4>1214</vt:i4>
      </vt:variant>
      <vt:variant>
        <vt:i4>0</vt:i4>
      </vt:variant>
      <vt:variant>
        <vt:i4>5</vt:i4>
      </vt:variant>
      <vt:variant>
        <vt:lpwstr/>
      </vt:variant>
      <vt:variant>
        <vt:lpwstr>_Toc271029036</vt:lpwstr>
      </vt:variant>
      <vt:variant>
        <vt:i4>1703985</vt:i4>
      </vt:variant>
      <vt:variant>
        <vt:i4>1208</vt:i4>
      </vt:variant>
      <vt:variant>
        <vt:i4>0</vt:i4>
      </vt:variant>
      <vt:variant>
        <vt:i4>5</vt:i4>
      </vt:variant>
      <vt:variant>
        <vt:lpwstr/>
      </vt:variant>
      <vt:variant>
        <vt:lpwstr>_Toc271029035</vt:lpwstr>
      </vt:variant>
      <vt:variant>
        <vt:i4>1703985</vt:i4>
      </vt:variant>
      <vt:variant>
        <vt:i4>1202</vt:i4>
      </vt:variant>
      <vt:variant>
        <vt:i4>0</vt:i4>
      </vt:variant>
      <vt:variant>
        <vt:i4>5</vt:i4>
      </vt:variant>
      <vt:variant>
        <vt:lpwstr/>
      </vt:variant>
      <vt:variant>
        <vt:lpwstr>_Toc271029034</vt:lpwstr>
      </vt:variant>
      <vt:variant>
        <vt:i4>1703985</vt:i4>
      </vt:variant>
      <vt:variant>
        <vt:i4>1196</vt:i4>
      </vt:variant>
      <vt:variant>
        <vt:i4>0</vt:i4>
      </vt:variant>
      <vt:variant>
        <vt:i4>5</vt:i4>
      </vt:variant>
      <vt:variant>
        <vt:lpwstr/>
      </vt:variant>
      <vt:variant>
        <vt:lpwstr>_Toc271029033</vt:lpwstr>
      </vt:variant>
      <vt:variant>
        <vt:i4>1703985</vt:i4>
      </vt:variant>
      <vt:variant>
        <vt:i4>1190</vt:i4>
      </vt:variant>
      <vt:variant>
        <vt:i4>0</vt:i4>
      </vt:variant>
      <vt:variant>
        <vt:i4>5</vt:i4>
      </vt:variant>
      <vt:variant>
        <vt:lpwstr/>
      </vt:variant>
      <vt:variant>
        <vt:lpwstr>_Toc271029032</vt:lpwstr>
      </vt:variant>
      <vt:variant>
        <vt:i4>1703985</vt:i4>
      </vt:variant>
      <vt:variant>
        <vt:i4>1184</vt:i4>
      </vt:variant>
      <vt:variant>
        <vt:i4>0</vt:i4>
      </vt:variant>
      <vt:variant>
        <vt:i4>5</vt:i4>
      </vt:variant>
      <vt:variant>
        <vt:lpwstr/>
      </vt:variant>
      <vt:variant>
        <vt:lpwstr>_Toc271029031</vt:lpwstr>
      </vt:variant>
      <vt:variant>
        <vt:i4>1703985</vt:i4>
      </vt:variant>
      <vt:variant>
        <vt:i4>1178</vt:i4>
      </vt:variant>
      <vt:variant>
        <vt:i4>0</vt:i4>
      </vt:variant>
      <vt:variant>
        <vt:i4>5</vt:i4>
      </vt:variant>
      <vt:variant>
        <vt:lpwstr/>
      </vt:variant>
      <vt:variant>
        <vt:lpwstr>_Toc271029030</vt:lpwstr>
      </vt:variant>
      <vt:variant>
        <vt:i4>1769521</vt:i4>
      </vt:variant>
      <vt:variant>
        <vt:i4>1172</vt:i4>
      </vt:variant>
      <vt:variant>
        <vt:i4>0</vt:i4>
      </vt:variant>
      <vt:variant>
        <vt:i4>5</vt:i4>
      </vt:variant>
      <vt:variant>
        <vt:lpwstr/>
      </vt:variant>
      <vt:variant>
        <vt:lpwstr>_Toc271029029</vt:lpwstr>
      </vt:variant>
      <vt:variant>
        <vt:i4>1769521</vt:i4>
      </vt:variant>
      <vt:variant>
        <vt:i4>1166</vt:i4>
      </vt:variant>
      <vt:variant>
        <vt:i4>0</vt:i4>
      </vt:variant>
      <vt:variant>
        <vt:i4>5</vt:i4>
      </vt:variant>
      <vt:variant>
        <vt:lpwstr/>
      </vt:variant>
      <vt:variant>
        <vt:lpwstr>_Toc271029028</vt:lpwstr>
      </vt:variant>
      <vt:variant>
        <vt:i4>1769521</vt:i4>
      </vt:variant>
      <vt:variant>
        <vt:i4>1160</vt:i4>
      </vt:variant>
      <vt:variant>
        <vt:i4>0</vt:i4>
      </vt:variant>
      <vt:variant>
        <vt:i4>5</vt:i4>
      </vt:variant>
      <vt:variant>
        <vt:lpwstr/>
      </vt:variant>
      <vt:variant>
        <vt:lpwstr>_Toc271029027</vt:lpwstr>
      </vt:variant>
      <vt:variant>
        <vt:i4>1769521</vt:i4>
      </vt:variant>
      <vt:variant>
        <vt:i4>1154</vt:i4>
      </vt:variant>
      <vt:variant>
        <vt:i4>0</vt:i4>
      </vt:variant>
      <vt:variant>
        <vt:i4>5</vt:i4>
      </vt:variant>
      <vt:variant>
        <vt:lpwstr/>
      </vt:variant>
      <vt:variant>
        <vt:lpwstr>_Toc271029026</vt:lpwstr>
      </vt:variant>
      <vt:variant>
        <vt:i4>1769521</vt:i4>
      </vt:variant>
      <vt:variant>
        <vt:i4>1148</vt:i4>
      </vt:variant>
      <vt:variant>
        <vt:i4>0</vt:i4>
      </vt:variant>
      <vt:variant>
        <vt:i4>5</vt:i4>
      </vt:variant>
      <vt:variant>
        <vt:lpwstr/>
      </vt:variant>
      <vt:variant>
        <vt:lpwstr>_Toc271029025</vt:lpwstr>
      </vt:variant>
      <vt:variant>
        <vt:i4>1769521</vt:i4>
      </vt:variant>
      <vt:variant>
        <vt:i4>1142</vt:i4>
      </vt:variant>
      <vt:variant>
        <vt:i4>0</vt:i4>
      </vt:variant>
      <vt:variant>
        <vt:i4>5</vt:i4>
      </vt:variant>
      <vt:variant>
        <vt:lpwstr/>
      </vt:variant>
      <vt:variant>
        <vt:lpwstr>_Toc271029024</vt:lpwstr>
      </vt:variant>
      <vt:variant>
        <vt:i4>1769521</vt:i4>
      </vt:variant>
      <vt:variant>
        <vt:i4>1136</vt:i4>
      </vt:variant>
      <vt:variant>
        <vt:i4>0</vt:i4>
      </vt:variant>
      <vt:variant>
        <vt:i4>5</vt:i4>
      </vt:variant>
      <vt:variant>
        <vt:lpwstr/>
      </vt:variant>
      <vt:variant>
        <vt:lpwstr>_Toc271029023</vt:lpwstr>
      </vt:variant>
      <vt:variant>
        <vt:i4>1769521</vt:i4>
      </vt:variant>
      <vt:variant>
        <vt:i4>1130</vt:i4>
      </vt:variant>
      <vt:variant>
        <vt:i4>0</vt:i4>
      </vt:variant>
      <vt:variant>
        <vt:i4>5</vt:i4>
      </vt:variant>
      <vt:variant>
        <vt:lpwstr/>
      </vt:variant>
      <vt:variant>
        <vt:lpwstr>_Toc271029022</vt:lpwstr>
      </vt:variant>
      <vt:variant>
        <vt:i4>1769521</vt:i4>
      </vt:variant>
      <vt:variant>
        <vt:i4>1121</vt:i4>
      </vt:variant>
      <vt:variant>
        <vt:i4>0</vt:i4>
      </vt:variant>
      <vt:variant>
        <vt:i4>5</vt:i4>
      </vt:variant>
      <vt:variant>
        <vt:lpwstr/>
      </vt:variant>
      <vt:variant>
        <vt:lpwstr>_Toc271029021</vt:lpwstr>
      </vt:variant>
      <vt:variant>
        <vt:i4>1769521</vt:i4>
      </vt:variant>
      <vt:variant>
        <vt:i4>1115</vt:i4>
      </vt:variant>
      <vt:variant>
        <vt:i4>0</vt:i4>
      </vt:variant>
      <vt:variant>
        <vt:i4>5</vt:i4>
      </vt:variant>
      <vt:variant>
        <vt:lpwstr/>
      </vt:variant>
      <vt:variant>
        <vt:lpwstr>_Toc271029020</vt:lpwstr>
      </vt:variant>
      <vt:variant>
        <vt:i4>1572913</vt:i4>
      </vt:variant>
      <vt:variant>
        <vt:i4>1109</vt:i4>
      </vt:variant>
      <vt:variant>
        <vt:i4>0</vt:i4>
      </vt:variant>
      <vt:variant>
        <vt:i4>5</vt:i4>
      </vt:variant>
      <vt:variant>
        <vt:lpwstr/>
      </vt:variant>
      <vt:variant>
        <vt:lpwstr>_Toc271029019</vt:lpwstr>
      </vt:variant>
      <vt:variant>
        <vt:i4>1572913</vt:i4>
      </vt:variant>
      <vt:variant>
        <vt:i4>1103</vt:i4>
      </vt:variant>
      <vt:variant>
        <vt:i4>0</vt:i4>
      </vt:variant>
      <vt:variant>
        <vt:i4>5</vt:i4>
      </vt:variant>
      <vt:variant>
        <vt:lpwstr/>
      </vt:variant>
      <vt:variant>
        <vt:lpwstr>_Toc271029018</vt:lpwstr>
      </vt:variant>
      <vt:variant>
        <vt:i4>1572913</vt:i4>
      </vt:variant>
      <vt:variant>
        <vt:i4>1097</vt:i4>
      </vt:variant>
      <vt:variant>
        <vt:i4>0</vt:i4>
      </vt:variant>
      <vt:variant>
        <vt:i4>5</vt:i4>
      </vt:variant>
      <vt:variant>
        <vt:lpwstr/>
      </vt:variant>
      <vt:variant>
        <vt:lpwstr>_Toc271029017</vt:lpwstr>
      </vt:variant>
      <vt:variant>
        <vt:i4>1572913</vt:i4>
      </vt:variant>
      <vt:variant>
        <vt:i4>1091</vt:i4>
      </vt:variant>
      <vt:variant>
        <vt:i4>0</vt:i4>
      </vt:variant>
      <vt:variant>
        <vt:i4>5</vt:i4>
      </vt:variant>
      <vt:variant>
        <vt:lpwstr/>
      </vt:variant>
      <vt:variant>
        <vt:lpwstr>_Toc271029016</vt:lpwstr>
      </vt:variant>
      <vt:variant>
        <vt:i4>1572913</vt:i4>
      </vt:variant>
      <vt:variant>
        <vt:i4>1085</vt:i4>
      </vt:variant>
      <vt:variant>
        <vt:i4>0</vt:i4>
      </vt:variant>
      <vt:variant>
        <vt:i4>5</vt:i4>
      </vt:variant>
      <vt:variant>
        <vt:lpwstr/>
      </vt:variant>
      <vt:variant>
        <vt:lpwstr>_Toc271029015</vt:lpwstr>
      </vt:variant>
      <vt:variant>
        <vt:i4>1572913</vt:i4>
      </vt:variant>
      <vt:variant>
        <vt:i4>1079</vt:i4>
      </vt:variant>
      <vt:variant>
        <vt:i4>0</vt:i4>
      </vt:variant>
      <vt:variant>
        <vt:i4>5</vt:i4>
      </vt:variant>
      <vt:variant>
        <vt:lpwstr/>
      </vt:variant>
      <vt:variant>
        <vt:lpwstr>_Toc271029014</vt:lpwstr>
      </vt:variant>
      <vt:variant>
        <vt:i4>1572913</vt:i4>
      </vt:variant>
      <vt:variant>
        <vt:i4>1073</vt:i4>
      </vt:variant>
      <vt:variant>
        <vt:i4>0</vt:i4>
      </vt:variant>
      <vt:variant>
        <vt:i4>5</vt:i4>
      </vt:variant>
      <vt:variant>
        <vt:lpwstr/>
      </vt:variant>
      <vt:variant>
        <vt:lpwstr>_Toc271029013</vt:lpwstr>
      </vt:variant>
      <vt:variant>
        <vt:i4>1572913</vt:i4>
      </vt:variant>
      <vt:variant>
        <vt:i4>1067</vt:i4>
      </vt:variant>
      <vt:variant>
        <vt:i4>0</vt:i4>
      </vt:variant>
      <vt:variant>
        <vt:i4>5</vt:i4>
      </vt:variant>
      <vt:variant>
        <vt:lpwstr/>
      </vt:variant>
      <vt:variant>
        <vt:lpwstr>_Toc271029012</vt:lpwstr>
      </vt:variant>
      <vt:variant>
        <vt:i4>1572913</vt:i4>
      </vt:variant>
      <vt:variant>
        <vt:i4>1061</vt:i4>
      </vt:variant>
      <vt:variant>
        <vt:i4>0</vt:i4>
      </vt:variant>
      <vt:variant>
        <vt:i4>5</vt:i4>
      </vt:variant>
      <vt:variant>
        <vt:lpwstr/>
      </vt:variant>
      <vt:variant>
        <vt:lpwstr>_Toc271029011</vt:lpwstr>
      </vt:variant>
      <vt:variant>
        <vt:i4>1572913</vt:i4>
      </vt:variant>
      <vt:variant>
        <vt:i4>1055</vt:i4>
      </vt:variant>
      <vt:variant>
        <vt:i4>0</vt:i4>
      </vt:variant>
      <vt:variant>
        <vt:i4>5</vt:i4>
      </vt:variant>
      <vt:variant>
        <vt:lpwstr/>
      </vt:variant>
      <vt:variant>
        <vt:lpwstr>_Toc271029010</vt:lpwstr>
      </vt:variant>
      <vt:variant>
        <vt:i4>1638449</vt:i4>
      </vt:variant>
      <vt:variant>
        <vt:i4>1049</vt:i4>
      </vt:variant>
      <vt:variant>
        <vt:i4>0</vt:i4>
      </vt:variant>
      <vt:variant>
        <vt:i4>5</vt:i4>
      </vt:variant>
      <vt:variant>
        <vt:lpwstr/>
      </vt:variant>
      <vt:variant>
        <vt:lpwstr>_Toc271029009</vt:lpwstr>
      </vt:variant>
      <vt:variant>
        <vt:i4>1638449</vt:i4>
      </vt:variant>
      <vt:variant>
        <vt:i4>1043</vt:i4>
      </vt:variant>
      <vt:variant>
        <vt:i4>0</vt:i4>
      </vt:variant>
      <vt:variant>
        <vt:i4>5</vt:i4>
      </vt:variant>
      <vt:variant>
        <vt:lpwstr/>
      </vt:variant>
      <vt:variant>
        <vt:lpwstr>_Toc271029008</vt:lpwstr>
      </vt:variant>
      <vt:variant>
        <vt:i4>1638449</vt:i4>
      </vt:variant>
      <vt:variant>
        <vt:i4>1037</vt:i4>
      </vt:variant>
      <vt:variant>
        <vt:i4>0</vt:i4>
      </vt:variant>
      <vt:variant>
        <vt:i4>5</vt:i4>
      </vt:variant>
      <vt:variant>
        <vt:lpwstr/>
      </vt:variant>
      <vt:variant>
        <vt:lpwstr>_Toc271029007</vt:lpwstr>
      </vt:variant>
      <vt:variant>
        <vt:i4>1638449</vt:i4>
      </vt:variant>
      <vt:variant>
        <vt:i4>1031</vt:i4>
      </vt:variant>
      <vt:variant>
        <vt:i4>0</vt:i4>
      </vt:variant>
      <vt:variant>
        <vt:i4>5</vt:i4>
      </vt:variant>
      <vt:variant>
        <vt:lpwstr/>
      </vt:variant>
      <vt:variant>
        <vt:lpwstr>_Toc271029006</vt:lpwstr>
      </vt:variant>
      <vt:variant>
        <vt:i4>1638449</vt:i4>
      </vt:variant>
      <vt:variant>
        <vt:i4>1025</vt:i4>
      </vt:variant>
      <vt:variant>
        <vt:i4>0</vt:i4>
      </vt:variant>
      <vt:variant>
        <vt:i4>5</vt:i4>
      </vt:variant>
      <vt:variant>
        <vt:lpwstr/>
      </vt:variant>
      <vt:variant>
        <vt:lpwstr>_Toc271029005</vt:lpwstr>
      </vt:variant>
      <vt:variant>
        <vt:i4>1638449</vt:i4>
      </vt:variant>
      <vt:variant>
        <vt:i4>1019</vt:i4>
      </vt:variant>
      <vt:variant>
        <vt:i4>0</vt:i4>
      </vt:variant>
      <vt:variant>
        <vt:i4>5</vt:i4>
      </vt:variant>
      <vt:variant>
        <vt:lpwstr/>
      </vt:variant>
      <vt:variant>
        <vt:lpwstr>_Toc271029004</vt:lpwstr>
      </vt:variant>
      <vt:variant>
        <vt:i4>1638449</vt:i4>
      </vt:variant>
      <vt:variant>
        <vt:i4>1013</vt:i4>
      </vt:variant>
      <vt:variant>
        <vt:i4>0</vt:i4>
      </vt:variant>
      <vt:variant>
        <vt:i4>5</vt:i4>
      </vt:variant>
      <vt:variant>
        <vt:lpwstr/>
      </vt:variant>
      <vt:variant>
        <vt:lpwstr>_Toc271029003</vt:lpwstr>
      </vt:variant>
      <vt:variant>
        <vt:i4>1638449</vt:i4>
      </vt:variant>
      <vt:variant>
        <vt:i4>1007</vt:i4>
      </vt:variant>
      <vt:variant>
        <vt:i4>0</vt:i4>
      </vt:variant>
      <vt:variant>
        <vt:i4>5</vt:i4>
      </vt:variant>
      <vt:variant>
        <vt:lpwstr/>
      </vt:variant>
      <vt:variant>
        <vt:lpwstr>_Toc271029002</vt:lpwstr>
      </vt:variant>
      <vt:variant>
        <vt:i4>1638449</vt:i4>
      </vt:variant>
      <vt:variant>
        <vt:i4>1001</vt:i4>
      </vt:variant>
      <vt:variant>
        <vt:i4>0</vt:i4>
      </vt:variant>
      <vt:variant>
        <vt:i4>5</vt:i4>
      </vt:variant>
      <vt:variant>
        <vt:lpwstr/>
      </vt:variant>
      <vt:variant>
        <vt:lpwstr>_Toc271029001</vt:lpwstr>
      </vt:variant>
      <vt:variant>
        <vt:i4>1638449</vt:i4>
      </vt:variant>
      <vt:variant>
        <vt:i4>995</vt:i4>
      </vt:variant>
      <vt:variant>
        <vt:i4>0</vt:i4>
      </vt:variant>
      <vt:variant>
        <vt:i4>5</vt:i4>
      </vt:variant>
      <vt:variant>
        <vt:lpwstr/>
      </vt:variant>
      <vt:variant>
        <vt:lpwstr>_Toc271029000</vt:lpwstr>
      </vt:variant>
      <vt:variant>
        <vt:i4>1114168</vt:i4>
      </vt:variant>
      <vt:variant>
        <vt:i4>989</vt:i4>
      </vt:variant>
      <vt:variant>
        <vt:i4>0</vt:i4>
      </vt:variant>
      <vt:variant>
        <vt:i4>5</vt:i4>
      </vt:variant>
      <vt:variant>
        <vt:lpwstr/>
      </vt:variant>
      <vt:variant>
        <vt:lpwstr>_Toc271028999</vt:lpwstr>
      </vt:variant>
      <vt:variant>
        <vt:i4>1114168</vt:i4>
      </vt:variant>
      <vt:variant>
        <vt:i4>983</vt:i4>
      </vt:variant>
      <vt:variant>
        <vt:i4>0</vt:i4>
      </vt:variant>
      <vt:variant>
        <vt:i4>5</vt:i4>
      </vt:variant>
      <vt:variant>
        <vt:lpwstr/>
      </vt:variant>
      <vt:variant>
        <vt:lpwstr>_Toc271028998</vt:lpwstr>
      </vt:variant>
      <vt:variant>
        <vt:i4>1114168</vt:i4>
      </vt:variant>
      <vt:variant>
        <vt:i4>977</vt:i4>
      </vt:variant>
      <vt:variant>
        <vt:i4>0</vt:i4>
      </vt:variant>
      <vt:variant>
        <vt:i4>5</vt:i4>
      </vt:variant>
      <vt:variant>
        <vt:lpwstr/>
      </vt:variant>
      <vt:variant>
        <vt:lpwstr>_Toc271028997</vt:lpwstr>
      </vt:variant>
      <vt:variant>
        <vt:i4>1114168</vt:i4>
      </vt:variant>
      <vt:variant>
        <vt:i4>971</vt:i4>
      </vt:variant>
      <vt:variant>
        <vt:i4>0</vt:i4>
      </vt:variant>
      <vt:variant>
        <vt:i4>5</vt:i4>
      </vt:variant>
      <vt:variant>
        <vt:lpwstr/>
      </vt:variant>
      <vt:variant>
        <vt:lpwstr>_Toc271028996</vt:lpwstr>
      </vt:variant>
      <vt:variant>
        <vt:i4>1114168</vt:i4>
      </vt:variant>
      <vt:variant>
        <vt:i4>965</vt:i4>
      </vt:variant>
      <vt:variant>
        <vt:i4>0</vt:i4>
      </vt:variant>
      <vt:variant>
        <vt:i4>5</vt:i4>
      </vt:variant>
      <vt:variant>
        <vt:lpwstr/>
      </vt:variant>
      <vt:variant>
        <vt:lpwstr>_Toc271028995</vt:lpwstr>
      </vt:variant>
      <vt:variant>
        <vt:i4>1114168</vt:i4>
      </vt:variant>
      <vt:variant>
        <vt:i4>959</vt:i4>
      </vt:variant>
      <vt:variant>
        <vt:i4>0</vt:i4>
      </vt:variant>
      <vt:variant>
        <vt:i4>5</vt:i4>
      </vt:variant>
      <vt:variant>
        <vt:lpwstr/>
      </vt:variant>
      <vt:variant>
        <vt:lpwstr>_Toc271028994</vt:lpwstr>
      </vt:variant>
      <vt:variant>
        <vt:i4>1114168</vt:i4>
      </vt:variant>
      <vt:variant>
        <vt:i4>953</vt:i4>
      </vt:variant>
      <vt:variant>
        <vt:i4>0</vt:i4>
      </vt:variant>
      <vt:variant>
        <vt:i4>5</vt:i4>
      </vt:variant>
      <vt:variant>
        <vt:lpwstr/>
      </vt:variant>
      <vt:variant>
        <vt:lpwstr>_Toc271028993</vt:lpwstr>
      </vt:variant>
      <vt:variant>
        <vt:i4>1114168</vt:i4>
      </vt:variant>
      <vt:variant>
        <vt:i4>947</vt:i4>
      </vt:variant>
      <vt:variant>
        <vt:i4>0</vt:i4>
      </vt:variant>
      <vt:variant>
        <vt:i4>5</vt:i4>
      </vt:variant>
      <vt:variant>
        <vt:lpwstr/>
      </vt:variant>
      <vt:variant>
        <vt:lpwstr>_Toc271028992</vt:lpwstr>
      </vt:variant>
      <vt:variant>
        <vt:i4>1114168</vt:i4>
      </vt:variant>
      <vt:variant>
        <vt:i4>941</vt:i4>
      </vt:variant>
      <vt:variant>
        <vt:i4>0</vt:i4>
      </vt:variant>
      <vt:variant>
        <vt:i4>5</vt:i4>
      </vt:variant>
      <vt:variant>
        <vt:lpwstr/>
      </vt:variant>
      <vt:variant>
        <vt:lpwstr>_Toc271028991</vt:lpwstr>
      </vt:variant>
      <vt:variant>
        <vt:i4>1114168</vt:i4>
      </vt:variant>
      <vt:variant>
        <vt:i4>935</vt:i4>
      </vt:variant>
      <vt:variant>
        <vt:i4>0</vt:i4>
      </vt:variant>
      <vt:variant>
        <vt:i4>5</vt:i4>
      </vt:variant>
      <vt:variant>
        <vt:lpwstr/>
      </vt:variant>
      <vt:variant>
        <vt:lpwstr>_Toc271028990</vt:lpwstr>
      </vt:variant>
      <vt:variant>
        <vt:i4>1048632</vt:i4>
      </vt:variant>
      <vt:variant>
        <vt:i4>929</vt:i4>
      </vt:variant>
      <vt:variant>
        <vt:i4>0</vt:i4>
      </vt:variant>
      <vt:variant>
        <vt:i4>5</vt:i4>
      </vt:variant>
      <vt:variant>
        <vt:lpwstr/>
      </vt:variant>
      <vt:variant>
        <vt:lpwstr>_Toc271028989</vt:lpwstr>
      </vt:variant>
      <vt:variant>
        <vt:i4>1048632</vt:i4>
      </vt:variant>
      <vt:variant>
        <vt:i4>923</vt:i4>
      </vt:variant>
      <vt:variant>
        <vt:i4>0</vt:i4>
      </vt:variant>
      <vt:variant>
        <vt:i4>5</vt:i4>
      </vt:variant>
      <vt:variant>
        <vt:lpwstr/>
      </vt:variant>
      <vt:variant>
        <vt:lpwstr>_Toc271028988</vt:lpwstr>
      </vt:variant>
      <vt:variant>
        <vt:i4>1048632</vt:i4>
      </vt:variant>
      <vt:variant>
        <vt:i4>917</vt:i4>
      </vt:variant>
      <vt:variant>
        <vt:i4>0</vt:i4>
      </vt:variant>
      <vt:variant>
        <vt:i4>5</vt:i4>
      </vt:variant>
      <vt:variant>
        <vt:lpwstr/>
      </vt:variant>
      <vt:variant>
        <vt:lpwstr>_Toc271028987</vt:lpwstr>
      </vt:variant>
      <vt:variant>
        <vt:i4>1048632</vt:i4>
      </vt:variant>
      <vt:variant>
        <vt:i4>911</vt:i4>
      </vt:variant>
      <vt:variant>
        <vt:i4>0</vt:i4>
      </vt:variant>
      <vt:variant>
        <vt:i4>5</vt:i4>
      </vt:variant>
      <vt:variant>
        <vt:lpwstr/>
      </vt:variant>
      <vt:variant>
        <vt:lpwstr>_Toc271028986</vt:lpwstr>
      </vt:variant>
      <vt:variant>
        <vt:i4>1048632</vt:i4>
      </vt:variant>
      <vt:variant>
        <vt:i4>905</vt:i4>
      </vt:variant>
      <vt:variant>
        <vt:i4>0</vt:i4>
      </vt:variant>
      <vt:variant>
        <vt:i4>5</vt:i4>
      </vt:variant>
      <vt:variant>
        <vt:lpwstr/>
      </vt:variant>
      <vt:variant>
        <vt:lpwstr>_Toc271028985</vt:lpwstr>
      </vt:variant>
      <vt:variant>
        <vt:i4>1048632</vt:i4>
      </vt:variant>
      <vt:variant>
        <vt:i4>899</vt:i4>
      </vt:variant>
      <vt:variant>
        <vt:i4>0</vt:i4>
      </vt:variant>
      <vt:variant>
        <vt:i4>5</vt:i4>
      </vt:variant>
      <vt:variant>
        <vt:lpwstr/>
      </vt:variant>
      <vt:variant>
        <vt:lpwstr>_Toc271028984</vt:lpwstr>
      </vt:variant>
      <vt:variant>
        <vt:i4>1048632</vt:i4>
      </vt:variant>
      <vt:variant>
        <vt:i4>893</vt:i4>
      </vt:variant>
      <vt:variant>
        <vt:i4>0</vt:i4>
      </vt:variant>
      <vt:variant>
        <vt:i4>5</vt:i4>
      </vt:variant>
      <vt:variant>
        <vt:lpwstr/>
      </vt:variant>
      <vt:variant>
        <vt:lpwstr>_Toc271028983</vt:lpwstr>
      </vt:variant>
      <vt:variant>
        <vt:i4>1048632</vt:i4>
      </vt:variant>
      <vt:variant>
        <vt:i4>887</vt:i4>
      </vt:variant>
      <vt:variant>
        <vt:i4>0</vt:i4>
      </vt:variant>
      <vt:variant>
        <vt:i4>5</vt:i4>
      </vt:variant>
      <vt:variant>
        <vt:lpwstr/>
      </vt:variant>
      <vt:variant>
        <vt:lpwstr>_Toc271028982</vt:lpwstr>
      </vt:variant>
      <vt:variant>
        <vt:i4>1048632</vt:i4>
      </vt:variant>
      <vt:variant>
        <vt:i4>881</vt:i4>
      </vt:variant>
      <vt:variant>
        <vt:i4>0</vt:i4>
      </vt:variant>
      <vt:variant>
        <vt:i4>5</vt:i4>
      </vt:variant>
      <vt:variant>
        <vt:lpwstr/>
      </vt:variant>
      <vt:variant>
        <vt:lpwstr>_Toc271028981</vt:lpwstr>
      </vt:variant>
      <vt:variant>
        <vt:i4>1048632</vt:i4>
      </vt:variant>
      <vt:variant>
        <vt:i4>875</vt:i4>
      </vt:variant>
      <vt:variant>
        <vt:i4>0</vt:i4>
      </vt:variant>
      <vt:variant>
        <vt:i4>5</vt:i4>
      </vt:variant>
      <vt:variant>
        <vt:lpwstr/>
      </vt:variant>
      <vt:variant>
        <vt:lpwstr>_Toc271028980</vt:lpwstr>
      </vt:variant>
      <vt:variant>
        <vt:i4>2031672</vt:i4>
      </vt:variant>
      <vt:variant>
        <vt:i4>869</vt:i4>
      </vt:variant>
      <vt:variant>
        <vt:i4>0</vt:i4>
      </vt:variant>
      <vt:variant>
        <vt:i4>5</vt:i4>
      </vt:variant>
      <vt:variant>
        <vt:lpwstr/>
      </vt:variant>
      <vt:variant>
        <vt:lpwstr>_Toc271028979</vt:lpwstr>
      </vt:variant>
      <vt:variant>
        <vt:i4>2031672</vt:i4>
      </vt:variant>
      <vt:variant>
        <vt:i4>863</vt:i4>
      </vt:variant>
      <vt:variant>
        <vt:i4>0</vt:i4>
      </vt:variant>
      <vt:variant>
        <vt:i4>5</vt:i4>
      </vt:variant>
      <vt:variant>
        <vt:lpwstr/>
      </vt:variant>
      <vt:variant>
        <vt:lpwstr>_Toc271028978</vt:lpwstr>
      </vt:variant>
      <vt:variant>
        <vt:i4>2031672</vt:i4>
      </vt:variant>
      <vt:variant>
        <vt:i4>857</vt:i4>
      </vt:variant>
      <vt:variant>
        <vt:i4>0</vt:i4>
      </vt:variant>
      <vt:variant>
        <vt:i4>5</vt:i4>
      </vt:variant>
      <vt:variant>
        <vt:lpwstr/>
      </vt:variant>
      <vt:variant>
        <vt:lpwstr>_Toc271028977</vt:lpwstr>
      </vt:variant>
      <vt:variant>
        <vt:i4>2031672</vt:i4>
      </vt:variant>
      <vt:variant>
        <vt:i4>851</vt:i4>
      </vt:variant>
      <vt:variant>
        <vt:i4>0</vt:i4>
      </vt:variant>
      <vt:variant>
        <vt:i4>5</vt:i4>
      </vt:variant>
      <vt:variant>
        <vt:lpwstr/>
      </vt:variant>
      <vt:variant>
        <vt:lpwstr>_Toc271028976</vt:lpwstr>
      </vt:variant>
      <vt:variant>
        <vt:i4>2031672</vt:i4>
      </vt:variant>
      <vt:variant>
        <vt:i4>845</vt:i4>
      </vt:variant>
      <vt:variant>
        <vt:i4>0</vt:i4>
      </vt:variant>
      <vt:variant>
        <vt:i4>5</vt:i4>
      </vt:variant>
      <vt:variant>
        <vt:lpwstr/>
      </vt:variant>
      <vt:variant>
        <vt:lpwstr>_Toc271028975</vt:lpwstr>
      </vt:variant>
      <vt:variant>
        <vt:i4>2031672</vt:i4>
      </vt:variant>
      <vt:variant>
        <vt:i4>839</vt:i4>
      </vt:variant>
      <vt:variant>
        <vt:i4>0</vt:i4>
      </vt:variant>
      <vt:variant>
        <vt:i4>5</vt:i4>
      </vt:variant>
      <vt:variant>
        <vt:lpwstr/>
      </vt:variant>
      <vt:variant>
        <vt:lpwstr>_Toc271028974</vt:lpwstr>
      </vt:variant>
      <vt:variant>
        <vt:i4>2031672</vt:i4>
      </vt:variant>
      <vt:variant>
        <vt:i4>833</vt:i4>
      </vt:variant>
      <vt:variant>
        <vt:i4>0</vt:i4>
      </vt:variant>
      <vt:variant>
        <vt:i4>5</vt:i4>
      </vt:variant>
      <vt:variant>
        <vt:lpwstr/>
      </vt:variant>
      <vt:variant>
        <vt:lpwstr>_Toc271028973</vt:lpwstr>
      </vt:variant>
      <vt:variant>
        <vt:i4>2031672</vt:i4>
      </vt:variant>
      <vt:variant>
        <vt:i4>827</vt:i4>
      </vt:variant>
      <vt:variant>
        <vt:i4>0</vt:i4>
      </vt:variant>
      <vt:variant>
        <vt:i4>5</vt:i4>
      </vt:variant>
      <vt:variant>
        <vt:lpwstr/>
      </vt:variant>
      <vt:variant>
        <vt:lpwstr>_Toc271028972</vt:lpwstr>
      </vt:variant>
      <vt:variant>
        <vt:i4>2031672</vt:i4>
      </vt:variant>
      <vt:variant>
        <vt:i4>821</vt:i4>
      </vt:variant>
      <vt:variant>
        <vt:i4>0</vt:i4>
      </vt:variant>
      <vt:variant>
        <vt:i4>5</vt:i4>
      </vt:variant>
      <vt:variant>
        <vt:lpwstr/>
      </vt:variant>
      <vt:variant>
        <vt:lpwstr>_Toc271028971</vt:lpwstr>
      </vt:variant>
      <vt:variant>
        <vt:i4>2031672</vt:i4>
      </vt:variant>
      <vt:variant>
        <vt:i4>815</vt:i4>
      </vt:variant>
      <vt:variant>
        <vt:i4>0</vt:i4>
      </vt:variant>
      <vt:variant>
        <vt:i4>5</vt:i4>
      </vt:variant>
      <vt:variant>
        <vt:lpwstr/>
      </vt:variant>
      <vt:variant>
        <vt:lpwstr>_Toc271028970</vt:lpwstr>
      </vt:variant>
      <vt:variant>
        <vt:i4>1966136</vt:i4>
      </vt:variant>
      <vt:variant>
        <vt:i4>809</vt:i4>
      </vt:variant>
      <vt:variant>
        <vt:i4>0</vt:i4>
      </vt:variant>
      <vt:variant>
        <vt:i4>5</vt:i4>
      </vt:variant>
      <vt:variant>
        <vt:lpwstr/>
      </vt:variant>
      <vt:variant>
        <vt:lpwstr>_Toc271028969</vt:lpwstr>
      </vt:variant>
      <vt:variant>
        <vt:i4>1966136</vt:i4>
      </vt:variant>
      <vt:variant>
        <vt:i4>803</vt:i4>
      </vt:variant>
      <vt:variant>
        <vt:i4>0</vt:i4>
      </vt:variant>
      <vt:variant>
        <vt:i4>5</vt:i4>
      </vt:variant>
      <vt:variant>
        <vt:lpwstr/>
      </vt:variant>
      <vt:variant>
        <vt:lpwstr>_Toc271028968</vt:lpwstr>
      </vt:variant>
      <vt:variant>
        <vt:i4>1966136</vt:i4>
      </vt:variant>
      <vt:variant>
        <vt:i4>797</vt:i4>
      </vt:variant>
      <vt:variant>
        <vt:i4>0</vt:i4>
      </vt:variant>
      <vt:variant>
        <vt:i4>5</vt:i4>
      </vt:variant>
      <vt:variant>
        <vt:lpwstr/>
      </vt:variant>
      <vt:variant>
        <vt:lpwstr>_Toc271028967</vt:lpwstr>
      </vt:variant>
      <vt:variant>
        <vt:i4>1966136</vt:i4>
      </vt:variant>
      <vt:variant>
        <vt:i4>791</vt:i4>
      </vt:variant>
      <vt:variant>
        <vt:i4>0</vt:i4>
      </vt:variant>
      <vt:variant>
        <vt:i4>5</vt:i4>
      </vt:variant>
      <vt:variant>
        <vt:lpwstr/>
      </vt:variant>
      <vt:variant>
        <vt:lpwstr>_Toc271028966</vt:lpwstr>
      </vt:variant>
      <vt:variant>
        <vt:i4>1966136</vt:i4>
      </vt:variant>
      <vt:variant>
        <vt:i4>785</vt:i4>
      </vt:variant>
      <vt:variant>
        <vt:i4>0</vt:i4>
      </vt:variant>
      <vt:variant>
        <vt:i4>5</vt:i4>
      </vt:variant>
      <vt:variant>
        <vt:lpwstr/>
      </vt:variant>
      <vt:variant>
        <vt:lpwstr>_Toc271028965</vt:lpwstr>
      </vt:variant>
      <vt:variant>
        <vt:i4>1966136</vt:i4>
      </vt:variant>
      <vt:variant>
        <vt:i4>779</vt:i4>
      </vt:variant>
      <vt:variant>
        <vt:i4>0</vt:i4>
      </vt:variant>
      <vt:variant>
        <vt:i4>5</vt:i4>
      </vt:variant>
      <vt:variant>
        <vt:lpwstr/>
      </vt:variant>
      <vt:variant>
        <vt:lpwstr>_Toc271028964</vt:lpwstr>
      </vt:variant>
      <vt:variant>
        <vt:i4>1966136</vt:i4>
      </vt:variant>
      <vt:variant>
        <vt:i4>773</vt:i4>
      </vt:variant>
      <vt:variant>
        <vt:i4>0</vt:i4>
      </vt:variant>
      <vt:variant>
        <vt:i4>5</vt:i4>
      </vt:variant>
      <vt:variant>
        <vt:lpwstr/>
      </vt:variant>
      <vt:variant>
        <vt:lpwstr>_Toc271028963</vt:lpwstr>
      </vt:variant>
      <vt:variant>
        <vt:i4>1966136</vt:i4>
      </vt:variant>
      <vt:variant>
        <vt:i4>767</vt:i4>
      </vt:variant>
      <vt:variant>
        <vt:i4>0</vt:i4>
      </vt:variant>
      <vt:variant>
        <vt:i4>5</vt:i4>
      </vt:variant>
      <vt:variant>
        <vt:lpwstr/>
      </vt:variant>
      <vt:variant>
        <vt:lpwstr>_Toc271028962</vt:lpwstr>
      </vt:variant>
      <vt:variant>
        <vt:i4>1966136</vt:i4>
      </vt:variant>
      <vt:variant>
        <vt:i4>761</vt:i4>
      </vt:variant>
      <vt:variant>
        <vt:i4>0</vt:i4>
      </vt:variant>
      <vt:variant>
        <vt:i4>5</vt:i4>
      </vt:variant>
      <vt:variant>
        <vt:lpwstr/>
      </vt:variant>
      <vt:variant>
        <vt:lpwstr>_Toc271028961</vt:lpwstr>
      </vt:variant>
      <vt:variant>
        <vt:i4>1966136</vt:i4>
      </vt:variant>
      <vt:variant>
        <vt:i4>755</vt:i4>
      </vt:variant>
      <vt:variant>
        <vt:i4>0</vt:i4>
      </vt:variant>
      <vt:variant>
        <vt:i4>5</vt:i4>
      </vt:variant>
      <vt:variant>
        <vt:lpwstr/>
      </vt:variant>
      <vt:variant>
        <vt:lpwstr>_Toc271028960</vt:lpwstr>
      </vt:variant>
      <vt:variant>
        <vt:i4>1900600</vt:i4>
      </vt:variant>
      <vt:variant>
        <vt:i4>749</vt:i4>
      </vt:variant>
      <vt:variant>
        <vt:i4>0</vt:i4>
      </vt:variant>
      <vt:variant>
        <vt:i4>5</vt:i4>
      </vt:variant>
      <vt:variant>
        <vt:lpwstr/>
      </vt:variant>
      <vt:variant>
        <vt:lpwstr>_Toc271028959</vt:lpwstr>
      </vt:variant>
      <vt:variant>
        <vt:i4>1900600</vt:i4>
      </vt:variant>
      <vt:variant>
        <vt:i4>743</vt:i4>
      </vt:variant>
      <vt:variant>
        <vt:i4>0</vt:i4>
      </vt:variant>
      <vt:variant>
        <vt:i4>5</vt:i4>
      </vt:variant>
      <vt:variant>
        <vt:lpwstr/>
      </vt:variant>
      <vt:variant>
        <vt:lpwstr>_Toc271028958</vt:lpwstr>
      </vt:variant>
      <vt:variant>
        <vt:i4>1900600</vt:i4>
      </vt:variant>
      <vt:variant>
        <vt:i4>737</vt:i4>
      </vt:variant>
      <vt:variant>
        <vt:i4>0</vt:i4>
      </vt:variant>
      <vt:variant>
        <vt:i4>5</vt:i4>
      </vt:variant>
      <vt:variant>
        <vt:lpwstr/>
      </vt:variant>
      <vt:variant>
        <vt:lpwstr>_Toc271028957</vt:lpwstr>
      </vt:variant>
      <vt:variant>
        <vt:i4>1900600</vt:i4>
      </vt:variant>
      <vt:variant>
        <vt:i4>731</vt:i4>
      </vt:variant>
      <vt:variant>
        <vt:i4>0</vt:i4>
      </vt:variant>
      <vt:variant>
        <vt:i4>5</vt:i4>
      </vt:variant>
      <vt:variant>
        <vt:lpwstr/>
      </vt:variant>
      <vt:variant>
        <vt:lpwstr>_Toc271028956</vt:lpwstr>
      </vt:variant>
      <vt:variant>
        <vt:i4>1900600</vt:i4>
      </vt:variant>
      <vt:variant>
        <vt:i4>725</vt:i4>
      </vt:variant>
      <vt:variant>
        <vt:i4>0</vt:i4>
      </vt:variant>
      <vt:variant>
        <vt:i4>5</vt:i4>
      </vt:variant>
      <vt:variant>
        <vt:lpwstr/>
      </vt:variant>
      <vt:variant>
        <vt:lpwstr>_Toc271028955</vt:lpwstr>
      </vt:variant>
      <vt:variant>
        <vt:i4>1900600</vt:i4>
      </vt:variant>
      <vt:variant>
        <vt:i4>719</vt:i4>
      </vt:variant>
      <vt:variant>
        <vt:i4>0</vt:i4>
      </vt:variant>
      <vt:variant>
        <vt:i4>5</vt:i4>
      </vt:variant>
      <vt:variant>
        <vt:lpwstr/>
      </vt:variant>
      <vt:variant>
        <vt:lpwstr>_Toc271028954</vt:lpwstr>
      </vt:variant>
      <vt:variant>
        <vt:i4>1900600</vt:i4>
      </vt:variant>
      <vt:variant>
        <vt:i4>713</vt:i4>
      </vt:variant>
      <vt:variant>
        <vt:i4>0</vt:i4>
      </vt:variant>
      <vt:variant>
        <vt:i4>5</vt:i4>
      </vt:variant>
      <vt:variant>
        <vt:lpwstr/>
      </vt:variant>
      <vt:variant>
        <vt:lpwstr>_Toc271028953</vt:lpwstr>
      </vt:variant>
      <vt:variant>
        <vt:i4>1900600</vt:i4>
      </vt:variant>
      <vt:variant>
        <vt:i4>707</vt:i4>
      </vt:variant>
      <vt:variant>
        <vt:i4>0</vt:i4>
      </vt:variant>
      <vt:variant>
        <vt:i4>5</vt:i4>
      </vt:variant>
      <vt:variant>
        <vt:lpwstr/>
      </vt:variant>
      <vt:variant>
        <vt:lpwstr>_Toc271028952</vt:lpwstr>
      </vt:variant>
      <vt:variant>
        <vt:i4>1900600</vt:i4>
      </vt:variant>
      <vt:variant>
        <vt:i4>701</vt:i4>
      </vt:variant>
      <vt:variant>
        <vt:i4>0</vt:i4>
      </vt:variant>
      <vt:variant>
        <vt:i4>5</vt:i4>
      </vt:variant>
      <vt:variant>
        <vt:lpwstr/>
      </vt:variant>
      <vt:variant>
        <vt:lpwstr>_Toc271028951</vt:lpwstr>
      </vt:variant>
      <vt:variant>
        <vt:i4>1900600</vt:i4>
      </vt:variant>
      <vt:variant>
        <vt:i4>695</vt:i4>
      </vt:variant>
      <vt:variant>
        <vt:i4>0</vt:i4>
      </vt:variant>
      <vt:variant>
        <vt:i4>5</vt:i4>
      </vt:variant>
      <vt:variant>
        <vt:lpwstr/>
      </vt:variant>
      <vt:variant>
        <vt:lpwstr>_Toc271028950</vt:lpwstr>
      </vt:variant>
      <vt:variant>
        <vt:i4>1835064</vt:i4>
      </vt:variant>
      <vt:variant>
        <vt:i4>686</vt:i4>
      </vt:variant>
      <vt:variant>
        <vt:i4>0</vt:i4>
      </vt:variant>
      <vt:variant>
        <vt:i4>5</vt:i4>
      </vt:variant>
      <vt:variant>
        <vt:lpwstr/>
      </vt:variant>
      <vt:variant>
        <vt:lpwstr>_Toc271028949</vt:lpwstr>
      </vt:variant>
      <vt:variant>
        <vt:i4>1835064</vt:i4>
      </vt:variant>
      <vt:variant>
        <vt:i4>680</vt:i4>
      </vt:variant>
      <vt:variant>
        <vt:i4>0</vt:i4>
      </vt:variant>
      <vt:variant>
        <vt:i4>5</vt:i4>
      </vt:variant>
      <vt:variant>
        <vt:lpwstr/>
      </vt:variant>
      <vt:variant>
        <vt:lpwstr>_Toc271028948</vt:lpwstr>
      </vt:variant>
      <vt:variant>
        <vt:i4>1835064</vt:i4>
      </vt:variant>
      <vt:variant>
        <vt:i4>674</vt:i4>
      </vt:variant>
      <vt:variant>
        <vt:i4>0</vt:i4>
      </vt:variant>
      <vt:variant>
        <vt:i4>5</vt:i4>
      </vt:variant>
      <vt:variant>
        <vt:lpwstr/>
      </vt:variant>
      <vt:variant>
        <vt:lpwstr>_Toc271028947</vt:lpwstr>
      </vt:variant>
      <vt:variant>
        <vt:i4>1835064</vt:i4>
      </vt:variant>
      <vt:variant>
        <vt:i4>668</vt:i4>
      </vt:variant>
      <vt:variant>
        <vt:i4>0</vt:i4>
      </vt:variant>
      <vt:variant>
        <vt:i4>5</vt:i4>
      </vt:variant>
      <vt:variant>
        <vt:lpwstr/>
      </vt:variant>
      <vt:variant>
        <vt:lpwstr>_Toc271028946</vt:lpwstr>
      </vt:variant>
      <vt:variant>
        <vt:i4>1835064</vt:i4>
      </vt:variant>
      <vt:variant>
        <vt:i4>662</vt:i4>
      </vt:variant>
      <vt:variant>
        <vt:i4>0</vt:i4>
      </vt:variant>
      <vt:variant>
        <vt:i4>5</vt:i4>
      </vt:variant>
      <vt:variant>
        <vt:lpwstr/>
      </vt:variant>
      <vt:variant>
        <vt:lpwstr>_Toc271028945</vt:lpwstr>
      </vt:variant>
      <vt:variant>
        <vt:i4>1835064</vt:i4>
      </vt:variant>
      <vt:variant>
        <vt:i4>656</vt:i4>
      </vt:variant>
      <vt:variant>
        <vt:i4>0</vt:i4>
      </vt:variant>
      <vt:variant>
        <vt:i4>5</vt:i4>
      </vt:variant>
      <vt:variant>
        <vt:lpwstr/>
      </vt:variant>
      <vt:variant>
        <vt:lpwstr>_Toc271028944</vt:lpwstr>
      </vt:variant>
      <vt:variant>
        <vt:i4>1835064</vt:i4>
      </vt:variant>
      <vt:variant>
        <vt:i4>650</vt:i4>
      </vt:variant>
      <vt:variant>
        <vt:i4>0</vt:i4>
      </vt:variant>
      <vt:variant>
        <vt:i4>5</vt:i4>
      </vt:variant>
      <vt:variant>
        <vt:lpwstr/>
      </vt:variant>
      <vt:variant>
        <vt:lpwstr>_Toc271028943</vt:lpwstr>
      </vt:variant>
      <vt:variant>
        <vt:i4>1835064</vt:i4>
      </vt:variant>
      <vt:variant>
        <vt:i4>644</vt:i4>
      </vt:variant>
      <vt:variant>
        <vt:i4>0</vt:i4>
      </vt:variant>
      <vt:variant>
        <vt:i4>5</vt:i4>
      </vt:variant>
      <vt:variant>
        <vt:lpwstr/>
      </vt:variant>
      <vt:variant>
        <vt:lpwstr>_Toc271028942</vt:lpwstr>
      </vt:variant>
      <vt:variant>
        <vt:i4>1835064</vt:i4>
      </vt:variant>
      <vt:variant>
        <vt:i4>638</vt:i4>
      </vt:variant>
      <vt:variant>
        <vt:i4>0</vt:i4>
      </vt:variant>
      <vt:variant>
        <vt:i4>5</vt:i4>
      </vt:variant>
      <vt:variant>
        <vt:lpwstr/>
      </vt:variant>
      <vt:variant>
        <vt:lpwstr>_Toc271028941</vt:lpwstr>
      </vt:variant>
      <vt:variant>
        <vt:i4>1835064</vt:i4>
      </vt:variant>
      <vt:variant>
        <vt:i4>632</vt:i4>
      </vt:variant>
      <vt:variant>
        <vt:i4>0</vt:i4>
      </vt:variant>
      <vt:variant>
        <vt:i4>5</vt:i4>
      </vt:variant>
      <vt:variant>
        <vt:lpwstr/>
      </vt:variant>
      <vt:variant>
        <vt:lpwstr>_Toc271028940</vt:lpwstr>
      </vt:variant>
      <vt:variant>
        <vt:i4>1769528</vt:i4>
      </vt:variant>
      <vt:variant>
        <vt:i4>626</vt:i4>
      </vt:variant>
      <vt:variant>
        <vt:i4>0</vt:i4>
      </vt:variant>
      <vt:variant>
        <vt:i4>5</vt:i4>
      </vt:variant>
      <vt:variant>
        <vt:lpwstr/>
      </vt:variant>
      <vt:variant>
        <vt:lpwstr>_Toc271028939</vt:lpwstr>
      </vt:variant>
      <vt:variant>
        <vt:i4>1769528</vt:i4>
      </vt:variant>
      <vt:variant>
        <vt:i4>620</vt:i4>
      </vt:variant>
      <vt:variant>
        <vt:i4>0</vt:i4>
      </vt:variant>
      <vt:variant>
        <vt:i4>5</vt:i4>
      </vt:variant>
      <vt:variant>
        <vt:lpwstr/>
      </vt:variant>
      <vt:variant>
        <vt:lpwstr>_Toc271028938</vt:lpwstr>
      </vt:variant>
      <vt:variant>
        <vt:i4>1769528</vt:i4>
      </vt:variant>
      <vt:variant>
        <vt:i4>614</vt:i4>
      </vt:variant>
      <vt:variant>
        <vt:i4>0</vt:i4>
      </vt:variant>
      <vt:variant>
        <vt:i4>5</vt:i4>
      </vt:variant>
      <vt:variant>
        <vt:lpwstr/>
      </vt:variant>
      <vt:variant>
        <vt:lpwstr>_Toc271028937</vt:lpwstr>
      </vt:variant>
      <vt:variant>
        <vt:i4>1769528</vt:i4>
      </vt:variant>
      <vt:variant>
        <vt:i4>608</vt:i4>
      </vt:variant>
      <vt:variant>
        <vt:i4>0</vt:i4>
      </vt:variant>
      <vt:variant>
        <vt:i4>5</vt:i4>
      </vt:variant>
      <vt:variant>
        <vt:lpwstr/>
      </vt:variant>
      <vt:variant>
        <vt:lpwstr>_Toc271028936</vt:lpwstr>
      </vt:variant>
      <vt:variant>
        <vt:i4>1769528</vt:i4>
      </vt:variant>
      <vt:variant>
        <vt:i4>602</vt:i4>
      </vt:variant>
      <vt:variant>
        <vt:i4>0</vt:i4>
      </vt:variant>
      <vt:variant>
        <vt:i4>5</vt:i4>
      </vt:variant>
      <vt:variant>
        <vt:lpwstr/>
      </vt:variant>
      <vt:variant>
        <vt:lpwstr>_Toc271028935</vt:lpwstr>
      </vt:variant>
      <vt:variant>
        <vt:i4>1769528</vt:i4>
      </vt:variant>
      <vt:variant>
        <vt:i4>596</vt:i4>
      </vt:variant>
      <vt:variant>
        <vt:i4>0</vt:i4>
      </vt:variant>
      <vt:variant>
        <vt:i4>5</vt:i4>
      </vt:variant>
      <vt:variant>
        <vt:lpwstr/>
      </vt:variant>
      <vt:variant>
        <vt:lpwstr>_Toc271028934</vt:lpwstr>
      </vt:variant>
      <vt:variant>
        <vt:i4>1769528</vt:i4>
      </vt:variant>
      <vt:variant>
        <vt:i4>590</vt:i4>
      </vt:variant>
      <vt:variant>
        <vt:i4>0</vt:i4>
      </vt:variant>
      <vt:variant>
        <vt:i4>5</vt:i4>
      </vt:variant>
      <vt:variant>
        <vt:lpwstr/>
      </vt:variant>
      <vt:variant>
        <vt:lpwstr>_Toc271028933</vt:lpwstr>
      </vt:variant>
      <vt:variant>
        <vt:i4>1769528</vt:i4>
      </vt:variant>
      <vt:variant>
        <vt:i4>584</vt:i4>
      </vt:variant>
      <vt:variant>
        <vt:i4>0</vt:i4>
      </vt:variant>
      <vt:variant>
        <vt:i4>5</vt:i4>
      </vt:variant>
      <vt:variant>
        <vt:lpwstr/>
      </vt:variant>
      <vt:variant>
        <vt:lpwstr>_Toc271028932</vt:lpwstr>
      </vt:variant>
      <vt:variant>
        <vt:i4>1769528</vt:i4>
      </vt:variant>
      <vt:variant>
        <vt:i4>578</vt:i4>
      </vt:variant>
      <vt:variant>
        <vt:i4>0</vt:i4>
      </vt:variant>
      <vt:variant>
        <vt:i4>5</vt:i4>
      </vt:variant>
      <vt:variant>
        <vt:lpwstr/>
      </vt:variant>
      <vt:variant>
        <vt:lpwstr>_Toc271028931</vt:lpwstr>
      </vt:variant>
      <vt:variant>
        <vt:i4>1769528</vt:i4>
      </vt:variant>
      <vt:variant>
        <vt:i4>572</vt:i4>
      </vt:variant>
      <vt:variant>
        <vt:i4>0</vt:i4>
      </vt:variant>
      <vt:variant>
        <vt:i4>5</vt:i4>
      </vt:variant>
      <vt:variant>
        <vt:lpwstr/>
      </vt:variant>
      <vt:variant>
        <vt:lpwstr>_Toc271028930</vt:lpwstr>
      </vt:variant>
      <vt:variant>
        <vt:i4>1703992</vt:i4>
      </vt:variant>
      <vt:variant>
        <vt:i4>566</vt:i4>
      </vt:variant>
      <vt:variant>
        <vt:i4>0</vt:i4>
      </vt:variant>
      <vt:variant>
        <vt:i4>5</vt:i4>
      </vt:variant>
      <vt:variant>
        <vt:lpwstr/>
      </vt:variant>
      <vt:variant>
        <vt:lpwstr>_Toc271028929</vt:lpwstr>
      </vt:variant>
      <vt:variant>
        <vt:i4>1703992</vt:i4>
      </vt:variant>
      <vt:variant>
        <vt:i4>560</vt:i4>
      </vt:variant>
      <vt:variant>
        <vt:i4>0</vt:i4>
      </vt:variant>
      <vt:variant>
        <vt:i4>5</vt:i4>
      </vt:variant>
      <vt:variant>
        <vt:lpwstr/>
      </vt:variant>
      <vt:variant>
        <vt:lpwstr>_Toc271028928</vt:lpwstr>
      </vt:variant>
      <vt:variant>
        <vt:i4>1703992</vt:i4>
      </vt:variant>
      <vt:variant>
        <vt:i4>554</vt:i4>
      </vt:variant>
      <vt:variant>
        <vt:i4>0</vt:i4>
      </vt:variant>
      <vt:variant>
        <vt:i4>5</vt:i4>
      </vt:variant>
      <vt:variant>
        <vt:lpwstr/>
      </vt:variant>
      <vt:variant>
        <vt:lpwstr>_Toc271028927</vt:lpwstr>
      </vt:variant>
      <vt:variant>
        <vt:i4>1703992</vt:i4>
      </vt:variant>
      <vt:variant>
        <vt:i4>548</vt:i4>
      </vt:variant>
      <vt:variant>
        <vt:i4>0</vt:i4>
      </vt:variant>
      <vt:variant>
        <vt:i4>5</vt:i4>
      </vt:variant>
      <vt:variant>
        <vt:lpwstr/>
      </vt:variant>
      <vt:variant>
        <vt:lpwstr>_Toc271028926</vt:lpwstr>
      </vt:variant>
      <vt:variant>
        <vt:i4>1703992</vt:i4>
      </vt:variant>
      <vt:variant>
        <vt:i4>542</vt:i4>
      </vt:variant>
      <vt:variant>
        <vt:i4>0</vt:i4>
      </vt:variant>
      <vt:variant>
        <vt:i4>5</vt:i4>
      </vt:variant>
      <vt:variant>
        <vt:lpwstr/>
      </vt:variant>
      <vt:variant>
        <vt:lpwstr>_Toc271028925</vt:lpwstr>
      </vt:variant>
      <vt:variant>
        <vt:i4>1703992</vt:i4>
      </vt:variant>
      <vt:variant>
        <vt:i4>536</vt:i4>
      </vt:variant>
      <vt:variant>
        <vt:i4>0</vt:i4>
      </vt:variant>
      <vt:variant>
        <vt:i4>5</vt:i4>
      </vt:variant>
      <vt:variant>
        <vt:lpwstr/>
      </vt:variant>
      <vt:variant>
        <vt:lpwstr>_Toc271028924</vt:lpwstr>
      </vt:variant>
      <vt:variant>
        <vt:i4>1703992</vt:i4>
      </vt:variant>
      <vt:variant>
        <vt:i4>530</vt:i4>
      </vt:variant>
      <vt:variant>
        <vt:i4>0</vt:i4>
      </vt:variant>
      <vt:variant>
        <vt:i4>5</vt:i4>
      </vt:variant>
      <vt:variant>
        <vt:lpwstr/>
      </vt:variant>
      <vt:variant>
        <vt:lpwstr>_Toc271028923</vt:lpwstr>
      </vt:variant>
      <vt:variant>
        <vt:i4>1703992</vt:i4>
      </vt:variant>
      <vt:variant>
        <vt:i4>524</vt:i4>
      </vt:variant>
      <vt:variant>
        <vt:i4>0</vt:i4>
      </vt:variant>
      <vt:variant>
        <vt:i4>5</vt:i4>
      </vt:variant>
      <vt:variant>
        <vt:lpwstr/>
      </vt:variant>
      <vt:variant>
        <vt:lpwstr>_Toc271028922</vt:lpwstr>
      </vt:variant>
      <vt:variant>
        <vt:i4>1703992</vt:i4>
      </vt:variant>
      <vt:variant>
        <vt:i4>518</vt:i4>
      </vt:variant>
      <vt:variant>
        <vt:i4>0</vt:i4>
      </vt:variant>
      <vt:variant>
        <vt:i4>5</vt:i4>
      </vt:variant>
      <vt:variant>
        <vt:lpwstr/>
      </vt:variant>
      <vt:variant>
        <vt:lpwstr>_Toc271028921</vt:lpwstr>
      </vt:variant>
      <vt:variant>
        <vt:i4>1703992</vt:i4>
      </vt:variant>
      <vt:variant>
        <vt:i4>512</vt:i4>
      </vt:variant>
      <vt:variant>
        <vt:i4>0</vt:i4>
      </vt:variant>
      <vt:variant>
        <vt:i4>5</vt:i4>
      </vt:variant>
      <vt:variant>
        <vt:lpwstr/>
      </vt:variant>
      <vt:variant>
        <vt:lpwstr>_Toc271028920</vt:lpwstr>
      </vt:variant>
      <vt:variant>
        <vt:i4>1638456</vt:i4>
      </vt:variant>
      <vt:variant>
        <vt:i4>506</vt:i4>
      </vt:variant>
      <vt:variant>
        <vt:i4>0</vt:i4>
      </vt:variant>
      <vt:variant>
        <vt:i4>5</vt:i4>
      </vt:variant>
      <vt:variant>
        <vt:lpwstr/>
      </vt:variant>
      <vt:variant>
        <vt:lpwstr>_Toc271028919</vt:lpwstr>
      </vt:variant>
      <vt:variant>
        <vt:i4>1638456</vt:i4>
      </vt:variant>
      <vt:variant>
        <vt:i4>500</vt:i4>
      </vt:variant>
      <vt:variant>
        <vt:i4>0</vt:i4>
      </vt:variant>
      <vt:variant>
        <vt:i4>5</vt:i4>
      </vt:variant>
      <vt:variant>
        <vt:lpwstr/>
      </vt:variant>
      <vt:variant>
        <vt:lpwstr>_Toc271028918</vt:lpwstr>
      </vt:variant>
      <vt:variant>
        <vt:i4>1638456</vt:i4>
      </vt:variant>
      <vt:variant>
        <vt:i4>494</vt:i4>
      </vt:variant>
      <vt:variant>
        <vt:i4>0</vt:i4>
      </vt:variant>
      <vt:variant>
        <vt:i4>5</vt:i4>
      </vt:variant>
      <vt:variant>
        <vt:lpwstr/>
      </vt:variant>
      <vt:variant>
        <vt:lpwstr>_Toc271028917</vt:lpwstr>
      </vt:variant>
      <vt:variant>
        <vt:i4>1638456</vt:i4>
      </vt:variant>
      <vt:variant>
        <vt:i4>488</vt:i4>
      </vt:variant>
      <vt:variant>
        <vt:i4>0</vt:i4>
      </vt:variant>
      <vt:variant>
        <vt:i4>5</vt:i4>
      </vt:variant>
      <vt:variant>
        <vt:lpwstr/>
      </vt:variant>
      <vt:variant>
        <vt:lpwstr>_Toc271028916</vt:lpwstr>
      </vt:variant>
      <vt:variant>
        <vt:i4>1638456</vt:i4>
      </vt:variant>
      <vt:variant>
        <vt:i4>482</vt:i4>
      </vt:variant>
      <vt:variant>
        <vt:i4>0</vt:i4>
      </vt:variant>
      <vt:variant>
        <vt:i4>5</vt:i4>
      </vt:variant>
      <vt:variant>
        <vt:lpwstr/>
      </vt:variant>
      <vt:variant>
        <vt:lpwstr>_Toc271028915</vt:lpwstr>
      </vt:variant>
      <vt:variant>
        <vt:i4>1638456</vt:i4>
      </vt:variant>
      <vt:variant>
        <vt:i4>476</vt:i4>
      </vt:variant>
      <vt:variant>
        <vt:i4>0</vt:i4>
      </vt:variant>
      <vt:variant>
        <vt:i4>5</vt:i4>
      </vt:variant>
      <vt:variant>
        <vt:lpwstr/>
      </vt:variant>
      <vt:variant>
        <vt:lpwstr>_Toc271028914</vt:lpwstr>
      </vt:variant>
      <vt:variant>
        <vt:i4>1638456</vt:i4>
      </vt:variant>
      <vt:variant>
        <vt:i4>470</vt:i4>
      </vt:variant>
      <vt:variant>
        <vt:i4>0</vt:i4>
      </vt:variant>
      <vt:variant>
        <vt:i4>5</vt:i4>
      </vt:variant>
      <vt:variant>
        <vt:lpwstr/>
      </vt:variant>
      <vt:variant>
        <vt:lpwstr>_Toc271028913</vt:lpwstr>
      </vt:variant>
      <vt:variant>
        <vt:i4>1638456</vt:i4>
      </vt:variant>
      <vt:variant>
        <vt:i4>464</vt:i4>
      </vt:variant>
      <vt:variant>
        <vt:i4>0</vt:i4>
      </vt:variant>
      <vt:variant>
        <vt:i4>5</vt:i4>
      </vt:variant>
      <vt:variant>
        <vt:lpwstr/>
      </vt:variant>
      <vt:variant>
        <vt:lpwstr>_Toc271028912</vt:lpwstr>
      </vt:variant>
      <vt:variant>
        <vt:i4>1638456</vt:i4>
      </vt:variant>
      <vt:variant>
        <vt:i4>458</vt:i4>
      </vt:variant>
      <vt:variant>
        <vt:i4>0</vt:i4>
      </vt:variant>
      <vt:variant>
        <vt:i4>5</vt:i4>
      </vt:variant>
      <vt:variant>
        <vt:lpwstr/>
      </vt:variant>
      <vt:variant>
        <vt:lpwstr>_Toc271028911</vt:lpwstr>
      </vt:variant>
      <vt:variant>
        <vt:i4>1638456</vt:i4>
      </vt:variant>
      <vt:variant>
        <vt:i4>452</vt:i4>
      </vt:variant>
      <vt:variant>
        <vt:i4>0</vt:i4>
      </vt:variant>
      <vt:variant>
        <vt:i4>5</vt:i4>
      </vt:variant>
      <vt:variant>
        <vt:lpwstr/>
      </vt:variant>
      <vt:variant>
        <vt:lpwstr>_Toc271028910</vt:lpwstr>
      </vt:variant>
      <vt:variant>
        <vt:i4>1572920</vt:i4>
      </vt:variant>
      <vt:variant>
        <vt:i4>446</vt:i4>
      </vt:variant>
      <vt:variant>
        <vt:i4>0</vt:i4>
      </vt:variant>
      <vt:variant>
        <vt:i4>5</vt:i4>
      </vt:variant>
      <vt:variant>
        <vt:lpwstr/>
      </vt:variant>
      <vt:variant>
        <vt:lpwstr>_Toc271028909</vt:lpwstr>
      </vt:variant>
      <vt:variant>
        <vt:i4>1572920</vt:i4>
      </vt:variant>
      <vt:variant>
        <vt:i4>440</vt:i4>
      </vt:variant>
      <vt:variant>
        <vt:i4>0</vt:i4>
      </vt:variant>
      <vt:variant>
        <vt:i4>5</vt:i4>
      </vt:variant>
      <vt:variant>
        <vt:lpwstr/>
      </vt:variant>
      <vt:variant>
        <vt:lpwstr>_Toc271028908</vt:lpwstr>
      </vt:variant>
      <vt:variant>
        <vt:i4>1572920</vt:i4>
      </vt:variant>
      <vt:variant>
        <vt:i4>434</vt:i4>
      </vt:variant>
      <vt:variant>
        <vt:i4>0</vt:i4>
      </vt:variant>
      <vt:variant>
        <vt:i4>5</vt:i4>
      </vt:variant>
      <vt:variant>
        <vt:lpwstr/>
      </vt:variant>
      <vt:variant>
        <vt:lpwstr>_Toc271028907</vt:lpwstr>
      </vt:variant>
      <vt:variant>
        <vt:i4>1572920</vt:i4>
      </vt:variant>
      <vt:variant>
        <vt:i4>428</vt:i4>
      </vt:variant>
      <vt:variant>
        <vt:i4>0</vt:i4>
      </vt:variant>
      <vt:variant>
        <vt:i4>5</vt:i4>
      </vt:variant>
      <vt:variant>
        <vt:lpwstr/>
      </vt:variant>
      <vt:variant>
        <vt:lpwstr>_Toc271028906</vt:lpwstr>
      </vt:variant>
      <vt:variant>
        <vt:i4>1572920</vt:i4>
      </vt:variant>
      <vt:variant>
        <vt:i4>422</vt:i4>
      </vt:variant>
      <vt:variant>
        <vt:i4>0</vt:i4>
      </vt:variant>
      <vt:variant>
        <vt:i4>5</vt:i4>
      </vt:variant>
      <vt:variant>
        <vt:lpwstr/>
      </vt:variant>
      <vt:variant>
        <vt:lpwstr>_Toc271028905</vt:lpwstr>
      </vt:variant>
      <vt:variant>
        <vt:i4>1572920</vt:i4>
      </vt:variant>
      <vt:variant>
        <vt:i4>416</vt:i4>
      </vt:variant>
      <vt:variant>
        <vt:i4>0</vt:i4>
      </vt:variant>
      <vt:variant>
        <vt:i4>5</vt:i4>
      </vt:variant>
      <vt:variant>
        <vt:lpwstr/>
      </vt:variant>
      <vt:variant>
        <vt:lpwstr>_Toc271028904</vt:lpwstr>
      </vt:variant>
      <vt:variant>
        <vt:i4>1572920</vt:i4>
      </vt:variant>
      <vt:variant>
        <vt:i4>410</vt:i4>
      </vt:variant>
      <vt:variant>
        <vt:i4>0</vt:i4>
      </vt:variant>
      <vt:variant>
        <vt:i4>5</vt:i4>
      </vt:variant>
      <vt:variant>
        <vt:lpwstr/>
      </vt:variant>
      <vt:variant>
        <vt:lpwstr>_Toc271028903</vt:lpwstr>
      </vt:variant>
      <vt:variant>
        <vt:i4>1572920</vt:i4>
      </vt:variant>
      <vt:variant>
        <vt:i4>404</vt:i4>
      </vt:variant>
      <vt:variant>
        <vt:i4>0</vt:i4>
      </vt:variant>
      <vt:variant>
        <vt:i4>5</vt:i4>
      </vt:variant>
      <vt:variant>
        <vt:lpwstr/>
      </vt:variant>
      <vt:variant>
        <vt:lpwstr>_Toc271028902</vt:lpwstr>
      </vt:variant>
      <vt:variant>
        <vt:i4>1572920</vt:i4>
      </vt:variant>
      <vt:variant>
        <vt:i4>398</vt:i4>
      </vt:variant>
      <vt:variant>
        <vt:i4>0</vt:i4>
      </vt:variant>
      <vt:variant>
        <vt:i4>5</vt:i4>
      </vt:variant>
      <vt:variant>
        <vt:lpwstr/>
      </vt:variant>
      <vt:variant>
        <vt:lpwstr>_Toc271028901</vt:lpwstr>
      </vt:variant>
      <vt:variant>
        <vt:i4>1572920</vt:i4>
      </vt:variant>
      <vt:variant>
        <vt:i4>392</vt:i4>
      </vt:variant>
      <vt:variant>
        <vt:i4>0</vt:i4>
      </vt:variant>
      <vt:variant>
        <vt:i4>5</vt:i4>
      </vt:variant>
      <vt:variant>
        <vt:lpwstr/>
      </vt:variant>
      <vt:variant>
        <vt:lpwstr>_Toc271028900</vt:lpwstr>
      </vt:variant>
      <vt:variant>
        <vt:i4>1114169</vt:i4>
      </vt:variant>
      <vt:variant>
        <vt:i4>386</vt:i4>
      </vt:variant>
      <vt:variant>
        <vt:i4>0</vt:i4>
      </vt:variant>
      <vt:variant>
        <vt:i4>5</vt:i4>
      </vt:variant>
      <vt:variant>
        <vt:lpwstr/>
      </vt:variant>
      <vt:variant>
        <vt:lpwstr>_Toc271028899</vt:lpwstr>
      </vt:variant>
      <vt:variant>
        <vt:i4>1114169</vt:i4>
      </vt:variant>
      <vt:variant>
        <vt:i4>380</vt:i4>
      </vt:variant>
      <vt:variant>
        <vt:i4>0</vt:i4>
      </vt:variant>
      <vt:variant>
        <vt:i4>5</vt:i4>
      </vt:variant>
      <vt:variant>
        <vt:lpwstr/>
      </vt:variant>
      <vt:variant>
        <vt:lpwstr>_Toc271028898</vt:lpwstr>
      </vt:variant>
      <vt:variant>
        <vt:i4>1114169</vt:i4>
      </vt:variant>
      <vt:variant>
        <vt:i4>374</vt:i4>
      </vt:variant>
      <vt:variant>
        <vt:i4>0</vt:i4>
      </vt:variant>
      <vt:variant>
        <vt:i4>5</vt:i4>
      </vt:variant>
      <vt:variant>
        <vt:lpwstr/>
      </vt:variant>
      <vt:variant>
        <vt:lpwstr>_Toc271028897</vt:lpwstr>
      </vt:variant>
      <vt:variant>
        <vt:i4>1114169</vt:i4>
      </vt:variant>
      <vt:variant>
        <vt:i4>368</vt:i4>
      </vt:variant>
      <vt:variant>
        <vt:i4>0</vt:i4>
      </vt:variant>
      <vt:variant>
        <vt:i4>5</vt:i4>
      </vt:variant>
      <vt:variant>
        <vt:lpwstr/>
      </vt:variant>
      <vt:variant>
        <vt:lpwstr>_Toc271028896</vt:lpwstr>
      </vt:variant>
      <vt:variant>
        <vt:i4>1114169</vt:i4>
      </vt:variant>
      <vt:variant>
        <vt:i4>362</vt:i4>
      </vt:variant>
      <vt:variant>
        <vt:i4>0</vt:i4>
      </vt:variant>
      <vt:variant>
        <vt:i4>5</vt:i4>
      </vt:variant>
      <vt:variant>
        <vt:lpwstr/>
      </vt:variant>
      <vt:variant>
        <vt:lpwstr>_Toc271028895</vt:lpwstr>
      </vt:variant>
      <vt:variant>
        <vt:i4>1114169</vt:i4>
      </vt:variant>
      <vt:variant>
        <vt:i4>356</vt:i4>
      </vt:variant>
      <vt:variant>
        <vt:i4>0</vt:i4>
      </vt:variant>
      <vt:variant>
        <vt:i4>5</vt:i4>
      </vt:variant>
      <vt:variant>
        <vt:lpwstr/>
      </vt:variant>
      <vt:variant>
        <vt:lpwstr>_Toc271028894</vt:lpwstr>
      </vt:variant>
      <vt:variant>
        <vt:i4>1114169</vt:i4>
      </vt:variant>
      <vt:variant>
        <vt:i4>350</vt:i4>
      </vt:variant>
      <vt:variant>
        <vt:i4>0</vt:i4>
      </vt:variant>
      <vt:variant>
        <vt:i4>5</vt:i4>
      </vt:variant>
      <vt:variant>
        <vt:lpwstr/>
      </vt:variant>
      <vt:variant>
        <vt:lpwstr>_Toc271028893</vt:lpwstr>
      </vt:variant>
      <vt:variant>
        <vt:i4>1114169</vt:i4>
      </vt:variant>
      <vt:variant>
        <vt:i4>344</vt:i4>
      </vt:variant>
      <vt:variant>
        <vt:i4>0</vt:i4>
      </vt:variant>
      <vt:variant>
        <vt:i4>5</vt:i4>
      </vt:variant>
      <vt:variant>
        <vt:lpwstr/>
      </vt:variant>
      <vt:variant>
        <vt:lpwstr>_Toc271028892</vt:lpwstr>
      </vt:variant>
      <vt:variant>
        <vt:i4>1114169</vt:i4>
      </vt:variant>
      <vt:variant>
        <vt:i4>338</vt:i4>
      </vt:variant>
      <vt:variant>
        <vt:i4>0</vt:i4>
      </vt:variant>
      <vt:variant>
        <vt:i4>5</vt:i4>
      </vt:variant>
      <vt:variant>
        <vt:lpwstr/>
      </vt:variant>
      <vt:variant>
        <vt:lpwstr>_Toc271028891</vt:lpwstr>
      </vt:variant>
      <vt:variant>
        <vt:i4>1114169</vt:i4>
      </vt:variant>
      <vt:variant>
        <vt:i4>332</vt:i4>
      </vt:variant>
      <vt:variant>
        <vt:i4>0</vt:i4>
      </vt:variant>
      <vt:variant>
        <vt:i4>5</vt:i4>
      </vt:variant>
      <vt:variant>
        <vt:lpwstr/>
      </vt:variant>
      <vt:variant>
        <vt:lpwstr>_Toc271028890</vt:lpwstr>
      </vt:variant>
      <vt:variant>
        <vt:i4>1048633</vt:i4>
      </vt:variant>
      <vt:variant>
        <vt:i4>326</vt:i4>
      </vt:variant>
      <vt:variant>
        <vt:i4>0</vt:i4>
      </vt:variant>
      <vt:variant>
        <vt:i4>5</vt:i4>
      </vt:variant>
      <vt:variant>
        <vt:lpwstr/>
      </vt:variant>
      <vt:variant>
        <vt:lpwstr>_Toc271028889</vt:lpwstr>
      </vt:variant>
      <vt:variant>
        <vt:i4>1048633</vt:i4>
      </vt:variant>
      <vt:variant>
        <vt:i4>320</vt:i4>
      </vt:variant>
      <vt:variant>
        <vt:i4>0</vt:i4>
      </vt:variant>
      <vt:variant>
        <vt:i4>5</vt:i4>
      </vt:variant>
      <vt:variant>
        <vt:lpwstr/>
      </vt:variant>
      <vt:variant>
        <vt:lpwstr>_Toc271028888</vt:lpwstr>
      </vt:variant>
      <vt:variant>
        <vt:i4>1048633</vt:i4>
      </vt:variant>
      <vt:variant>
        <vt:i4>314</vt:i4>
      </vt:variant>
      <vt:variant>
        <vt:i4>0</vt:i4>
      </vt:variant>
      <vt:variant>
        <vt:i4>5</vt:i4>
      </vt:variant>
      <vt:variant>
        <vt:lpwstr/>
      </vt:variant>
      <vt:variant>
        <vt:lpwstr>_Toc271028887</vt:lpwstr>
      </vt:variant>
      <vt:variant>
        <vt:i4>1048633</vt:i4>
      </vt:variant>
      <vt:variant>
        <vt:i4>308</vt:i4>
      </vt:variant>
      <vt:variant>
        <vt:i4>0</vt:i4>
      </vt:variant>
      <vt:variant>
        <vt:i4>5</vt:i4>
      </vt:variant>
      <vt:variant>
        <vt:lpwstr/>
      </vt:variant>
      <vt:variant>
        <vt:lpwstr>_Toc271028886</vt:lpwstr>
      </vt:variant>
      <vt:variant>
        <vt:i4>1048633</vt:i4>
      </vt:variant>
      <vt:variant>
        <vt:i4>302</vt:i4>
      </vt:variant>
      <vt:variant>
        <vt:i4>0</vt:i4>
      </vt:variant>
      <vt:variant>
        <vt:i4>5</vt:i4>
      </vt:variant>
      <vt:variant>
        <vt:lpwstr/>
      </vt:variant>
      <vt:variant>
        <vt:lpwstr>_Toc271028885</vt:lpwstr>
      </vt:variant>
      <vt:variant>
        <vt:i4>1048633</vt:i4>
      </vt:variant>
      <vt:variant>
        <vt:i4>296</vt:i4>
      </vt:variant>
      <vt:variant>
        <vt:i4>0</vt:i4>
      </vt:variant>
      <vt:variant>
        <vt:i4>5</vt:i4>
      </vt:variant>
      <vt:variant>
        <vt:lpwstr/>
      </vt:variant>
      <vt:variant>
        <vt:lpwstr>_Toc271028884</vt:lpwstr>
      </vt:variant>
      <vt:variant>
        <vt:i4>1048633</vt:i4>
      </vt:variant>
      <vt:variant>
        <vt:i4>290</vt:i4>
      </vt:variant>
      <vt:variant>
        <vt:i4>0</vt:i4>
      </vt:variant>
      <vt:variant>
        <vt:i4>5</vt:i4>
      </vt:variant>
      <vt:variant>
        <vt:lpwstr/>
      </vt:variant>
      <vt:variant>
        <vt:lpwstr>_Toc271028883</vt:lpwstr>
      </vt:variant>
      <vt:variant>
        <vt:i4>1048633</vt:i4>
      </vt:variant>
      <vt:variant>
        <vt:i4>284</vt:i4>
      </vt:variant>
      <vt:variant>
        <vt:i4>0</vt:i4>
      </vt:variant>
      <vt:variant>
        <vt:i4>5</vt:i4>
      </vt:variant>
      <vt:variant>
        <vt:lpwstr/>
      </vt:variant>
      <vt:variant>
        <vt:lpwstr>_Toc271028882</vt:lpwstr>
      </vt:variant>
      <vt:variant>
        <vt:i4>1048633</vt:i4>
      </vt:variant>
      <vt:variant>
        <vt:i4>278</vt:i4>
      </vt:variant>
      <vt:variant>
        <vt:i4>0</vt:i4>
      </vt:variant>
      <vt:variant>
        <vt:i4>5</vt:i4>
      </vt:variant>
      <vt:variant>
        <vt:lpwstr/>
      </vt:variant>
      <vt:variant>
        <vt:lpwstr>_Toc271028881</vt:lpwstr>
      </vt:variant>
      <vt:variant>
        <vt:i4>1048633</vt:i4>
      </vt:variant>
      <vt:variant>
        <vt:i4>272</vt:i4>
      </vt:variant>
      <vt:variant>
        <vt:i4>0</vt:i4>
      </vt:variant>
      <vt:variant>
        <vt:i4>5</vt:i4>
      </vt:variant>
      <vt:variant>
        <vt:lpwstr/>
      </vt:variant>
      <vt:variant>
        <vt:lpwstr>_Toc271028880</vt:lpwstr>
      </vt:variant>
      <vt:variant>
        <vt:i4>2031673</vt:i4>
      </vt:variant>
      <vt:variant>
        <vt:i4>266</vt:i4>
      </vt:variant>
      <vt:variant>
        <vt:i4>0</vt:i4>
      </vt:variant>
      <vt:variant>
        <vt:i4>5</vt:i4>
      </vt:variant>
      <vt:variant>
        <vt:lpwstr/>
      </vt:variant>
      <vt:variant>
        <vt:lpwstr>_Toc271028879</vt:lpwstr>
      </vt:variant>
      <vt:variant>
        <vt:i4>2031673</vt:i4>
      </vt:variant>
      <vt:variant>
        <vt:i4>260</vt:i4>
      </vt:variant>
      <vt:variant>
        <vt:i4>0</vt:i4>
      </vt:variant>
      <vt:variant>
        <vt:i4>5</vt:i4>
      </vt:variant>
      <vt:variant>
        <vt:lpwstr/>
      </vt:variant>
      <vt:variant>
        <vt:lpwstr>_Toc271028878</vt:lpwstr>
      </vt:variant>
      <vt:variant>
        <vt:i4>2031673</vt:i4>
      </vt:variant>
      <vt:variant>
        <vt:i4>254</vt:i4>
      </vt:variant>
      <vt:variant>
        <vt:i4>0</vt:i4>
      </vt:variant>
      <vt:variant>
        <vt:i4>5</vt:i4>
      </vt:variant>
      <vt:variant>
        <vt:lpwstr/>
      </vt:variant>
      <vt:variant>
        <vt:lpwstr>_Toc271028877</vt:lpwstr>
      </vt:variant>
      <vt:variant>
        <vt:i4>2031673</vt:i4>
      </vt:variant>
      <vt:variant>
        <vt:i4>248</vt:i4>
      </vt:variant>
      <vt:variant>
        <vt:i4>0</vt:i4>
      </vt:variant>
      <vt:variant>
        <vt:i4>5</vt:i4>
      </vt:variant>
      <vt:variant>
        <vt:lpwstr/>
      </vt:variant>
      <vt:variant>
        <vt:lpwstr>_Toc271028876</vt:lpwstr>
      </vt:variant>
      <vt:variant>
        <vt:i4>2031673</vt:i4>
      </vt:variant>
      <vt:variant>
        <vt:i4>242</vt:i4>
      </vt:variant>
      <vt:variant>
        <vt:i4>0</vt:i4>
      </vt:variant>
      <vt:variant>
        <vt:i4>5</vt:i4>
      </vt:variant>
      <vt:variant>
        <vt:lpwstr/>
      </vt:variant>
      <vt:variant>
        <vt:lpwstr>_Toc271028875</vt:lpwstr>
      </vt:variant>
      <vt:variant>
        <vt:i4>2031673</vt:i4>
      </vt:variant>
      <vt:variant>
        <vt:i4>236</vt:i4>
      </vt:variant>
      <vt:variant>
        <vt:i4>0</vt:i4>
      </vt:variant>
      <vt:variant>
        <vt:i4>5</vt:i4>
      </vt:variant>
      <vt:variant>
        <vt:lpwstr/>
      </vt:variant>
      <vt:variant>
        <vt:lpwstr>_Toc271028874</vt:lpwstr>
      </vt:variant>
      <vt:variant>
        <vt:i4>2031673</vt:i4>
      </vt:variant>
      <vt:variant>
        <vt:i4>230</vt:i4>
      </vt:variant>
      <vt:variant>
        <vt:i4>0</vt:i4>
      </vt:variant>
      <vt:variant>
        <vt:i4>5</vt:i4>
      </vt:variant>
      <vt:variant>
        <vt:lpwstr/>
      </vt:variant>
      <vt:variant>
        <vt:lpwstr>_Toc271028873</vt:lpwstr>
      </vt:variant>
      <vt:variant>
        <vt:i4>2031673</vt:i4>
      </vt:variant>
      <vt:variant>
        <vt:i4>224</vt:i4>
      </vt:variant>
      <vt:variant>
        <vt:i4>0</vt:i4>
      </vt:variant>
      <vt:variant>
        <vt:i4>5</vt:i4>
      </vt:variant>
      <vt:variant>
        <vt:lpwstr/>
      </vt:variant>
      <vt:variant>
        <vt:lpwstr>_Toc271028872</vt:lpwstr>
      </vt:variant>
      <vt:variant>
        <vt:i4>2031673</vt:i4>
      </vt:variant>
      <vt:variant>
        <vt:i4>218</vt:i4>
      </vt:variant>
      <vt:variant>
        <vt:i4>0</vt:i4>
      </vt:variant>
      <vt:variant>
        <vt:i4>5</vt:i4>
      </vt:variant>
      <vt:variant>
        <vt:lpwstr/>
      </vt:variant>
      <vt:variant>
        <vt:lpwstr>_Toc271028871</vt:lpwstr>
      </vt:variant>
      <vt:variant>
        <vt:i4>2031673</vt:i4>
      </vt:variant>
      <vt:variant>
        <vt:i4>212</vt:i4>
      </vt:variant>
      <vt:variant>
        <vt:i4>0</vt:i4>
      </vt:variant>
      <vt:variant>
        <vt:i4>5</vt:i4>
      </vt:variant>
      <vt:variant>
        <vt:lpwstr/>
      </vt:variant>
      <vt:variant>
        <vt:lpwstr>_Toc271028870</vt:lpwstr>
      </vt:variant>
      <vt:variant>
        <vt:i4>1966137</vt:i4>
      </vt:variant>
      <vt:variant>
        <vt:i4>206</vt:i4>
      </vt:variant>
      <vt:variant>
        <vt:i4>0</vt:i4>
      </vt:variant>
      <vt:variant>
        <vt:i4>5</vt:i4>
      </vt:variant>
      <vt:variant>
        <vt:lpwstr/>
      </vt:variant>
      <vt:variant>
        <vt:lpwstr>_Toc271028869</vt:lpwstr>
      </vt:variant>
      <vt:variant>
        <vt:i4>1966137</vt:i4>
      </vt:variant>
      <vt:variant>
        <vt:i4>200</vt:i4>
      </vt:variant>
      <vt:variant>
        <vt:i4>0</vt:i4>
      </vt:variant>
      <vt:variant>
        <vt:i4>5</vt:i4>
      </vt:variant>
      <vt:variant>
        <vt:lpwstr/>
      </vt:variant>
      <vt:variant>
        <vt:lpwstr>_Toc271028868</vt:lpwstr>
      </vt:variant>
      <vt:variant>
        <vt:i4>1966137</vt:i4>
      </vt:variant>
      <vt:variant>
        <vt:i4>194</vt:i4>
      </vt:variant>
      <vt:variant>
        <vt:i4>0</vt:i4>
      </vt:variant>
      <vt:variant>
        <vt:i4>5</vt:i4>
      </vt:variant>
      <vt:variant>
        <vt:lpwstr/>
      </vt:variant>
      <vt:variant>
        <vt:lpwstr>_Toc271028867</vt:lpwstr>
      </vt:variant>
      <vt:variant>
        <vt:i4>1966137</vt:i4>
      </vt:variant>
      <vt:variant>
        <vt:i4>188</vt:i4>
      </vt:variant>
      <vt:variant>
        <vt:i4>0</vt:i4>
      </vt:variant>
      <vt:variant>
        <vt:i4>5</vt:i4>
      </vt:variant>
      <vt:variant>
        <vt:lpwstr/>
      </vt:variant>
      <vt:variant>
        <vt:lpwstr>_Toc271028866</vt:lpwstr>
      </vt:variant>
      <vt:variant>
        <vt:i4>1966137</vt:i4>
      </vt:variant>
      <vt:variant>
        <vt:i4>182</vt:i4>
      </vt:variant>
      <vt:variant>
        <vt:i4>0</vt:i4>
      </vt:variant>
      <vt:variant>
        <vt:i4>5</vt:i4>
      </vt:variant>
      <vt:variant>
        <vt:lpwstr/>
      </vt:variant>
      <vt:variant>
        <vt:lpwstr>_Toc271028865</vt:lpwstr>
      </vt:variant>
      <vt:variant>
        <vt:i4>1966137</vt:i4>
      </vt:variant>
      <vt:variant>
        <vt:i4>176</vt:i4>
      </vt:variant>
      <vt:variant>
        <vt:i4>0</vt:i4>
      </vt:variant>
      <vt:variant>
        <vt:i4>5</vt:i4>
      </vt:variant>
      <vt:variant>
        <vt:lpwstr/>
      </vt:variant>
      <vt:variant>
        <vt:lpwstr>_Toc271028864</vt:lpwstr>
      </vt:variant>
      <vt:variant>
        <vt:i4>1966137</vt:i4>
      </vt:variant>
      <vt:variant>
        <vt:i4>170</vt:i4>
      </vt:variant>
      <vt:variant>
        <vt:i4>0</vt:i4>
      </vt:variant>
      <vt:variant>
        <vt:i4>5</vt:i4>
      </vt:variant>
      <vt:variant>
        <vt:lpwstr/>
      </vt:variant>
      <vt:variant>
        <vt:lpwstr>_Toc271028863</vt:lpwstr>
      </vt:variant>
      <vt:variant>
        <vt:i4>1966137</vt:i4>
      </vt:variant>
      <vt:variant>
        <vt:i4>164</vt:i4>
      </vt:variant>
      <vt:variant>
        <vt:i4>0</vt:i4>
      </vt:variant>
      <vt:variant>
        <vt:i4>5</vt:i4>
      </vt:variant>
      <vt:variant>
        <vt:lpwstr/>
      </vt:variant>
      <vt:variant>
        <vt:lpwstr>_Toc271028862</vt:lpwstr>
      </vt:variant>
      <vt:variant>
        <vt:i4>1966137</vt:i4>
      </vt:variant>
      <vt:variant>
        <vt:i4>158</vt:i4>
      </vt:variant>
      <vt:variant>
        <vt:i4>0</vt:i4>
      </vt:variant>
      <vt:variant>
        <vt:i4>5</vt:i4>
      </vt:variant>
      <vt:variant>
        <vt:lpwstr/>
      </vt:variant>
      <vt:variant>
        <vt:lpwstr>_Toc271028861</vt:lpwstr>
      </vt:variant>
      <vt:variant>
        <vt:i4>1966137</vt:i4>
      </vt:variant>
      <vt:variant>
        <vt:i4>152</vt:i4>
      </vt:variant>
      <vt:variant>
        <vt:i4>0</vt:i4>
      </vt:variant>
      <vt:variant>
        <vt:i4>5</vt:i4>
      </vt:variant>
      <vt:variant>
        <vt:lpwstr/>
      </vt:variant>
      <vt:variant>
        <vt:lpwstr>_Toc271028860</vt:lpwstr>
      </vt:variant>
      <vt:variant>
        <vt:i4>1900601</vt:i4>
      </vt:variant>
      <vt:variant>
        <vt:i4>146</vt:i4>
      </vt:variant>
      <vt:variant>
        <vt:i4>0</vt:i4>
      </vt:variant>
      <vt:variant>
        <vt:i4>5</vt:i4>
      </vt:variant>
      <vt:variant>
        <vt:lpwstr/>
      </vt:variant>
      <vt:variant>
        <vt:lpwstr>_Toc271028859</vt:lpwstr>
      </vt:variant>
      <vt:variant>
        <vt:i4>1900601</vt:i4>
      </vt:variant>
      <vt:variant>
        <vt:i4>140</vt:i4>
      </vt:variant>
      <vt:variant>
        <vt:i4>0</vt:i4>
      </vt:variant>
      <vt:variant>
        <vt:i4>5</vt:i4>
      </vt:variant>
      <vt:variant>
        <vt:lpwstr/>
      </vt:variant>
      <vt:variant>
        <vt:lpwstr>_Toc271028858</vt:lpwstr>
      </vt:variant>
      <vt:variant>
        <vt:i4>1900601</vt:i4>
      </vt:variant>
      <vt:variant>
        <vt:i4>134</vt:i4>
      </vt:variant>
      <vt:variant>
        <vt:i4>0</vt:i4>
      </vt:variant>
      <vt:variant>
        <vt:i4>5</vt:i4>
      </vt:variant>
      <vt:variant>
        <vt:lpwstr/>
      </vt:variant>
      <vt:variant>
        <vt:lpwstr>_Toc271028857</vt:lpwstr>
      </vt:variant>
      <vt:variant>
        <vt:i4>1900601</vt:i4>
      </vt:variant>
      <vt:variant>
        <vt:i4>128</vt:i4>
      </vt:variant>
      <vt:variant>
        <vt:i4>0</vt:i4>
      </vt:variant>
      <vt:variant>
        <vt:i4>5</vt:i4>
      </vt:variant>
      <vt:variant>
        <vt:lpwstr/>
      </vt:variant>
      <vt:variant>
        <vt:lpwstr>_Toc271028856</vt:lpwstr>
      </vt:variant>
      <vt:variant>
        <vt:i4>1900601</vt:i4>
      </vt:variant>
      <vt:variant>
        <vt:i4>122</vt:i4>
      </vt:variant>
      <vt:variant>
        <vt:i4>0</vt:i4>
      </vt:variant>
      <vt:variant>
        <vt:i4>5</vt:i4>
      </vt:variant>
      <vt:variant>
        <vt:lpwstr/>
      </vt:variant>
      <vt:variant>
        <vt:lpwstr>_Toc271028855</vt:lpwstr>
      </vt:variant>
      <vt:variant>
        <vt:i4>1900601</vt:i4>
      </vt:variant>
      <vt:variant>
        <vt:i4>116</vt:i4>
      </vt:variant>
      <vt:variant>
        <vt:i4>0</vt:i4>
      </vt:variant>
      <vt:variant>
        <vt:i4>5</vt:i4>
      </vt:variant>
      <vt:variant>
        <vt:lpwstr/>
      </vt:variant>
      <vt:variant>
        <vt:lpwstr>_Toc271028854</vt:lpwstr>
      </vt:variant>
      <vt:variant>
        <vt:i4>1900601</vt:i4>
      </vt:variant>
      <vt:variant>
        <vt:i4>110</vt:i4>
      </vt:variant>
      <vt:variant>
        <vt:i4>0</vt:i4>
      </vt:variant>
      <vt:variant>
        <vt:i4>5</vt:i4>
      </vt:variant>
      <vt:variant>
        <vt:lpwstr/>
      </vt:variant>
      <vt:variant>
        <vt:lpwstr>_Toc271028853</vt:lpwstr>
      </vt:variant>
      <vt:variant>
        <vt:i4>1900601</vt:i4>
      </vt:variant>
      <vt:variant>
        <vt:i4>104</vt:i4>
      </vt:variant>
      <vt:variant>
        <vt:i4>0</vt:i4>
      </vt:variant>
      <vt:variant>
        <vt:i4>5</vt:i4>
      </vt:variant>
      <vt:variant>
        <vt:lpwstr/>
      </vt:variant>
      <vt:variant>
        <vt:lpwstr>_Toc271028852</vt:lpwstr>
      </vt:variant>
      <vt:variant>
        <vt:i4>1900601</vt:i4>
      </vt:variant>
      <vt:variant>
        <vt:i4>98</vt:i4>
      </vt:variant>
      <vt:variant>
        <vt:i4>0</vt:i4>
      </vt:variant>
      <vt:variant>
        <vt:i4>5</vt:i4>
      </vt:variant>
      <vt:variant>
        <vt:lpwstr/>
      </vt:variant>
      <vt:variant>
        <vt:lpwstr>_Toc271028851</vt:lpwstr>
      </vt:variant>
      <vt:variant>
        <vt:i4>1900601</vt:i4>
      </vt:variant>
      <vt:variant>
        <vt:i4>92</vt:i4>
      </vt:variant>
      <vt:variant>
        <vt:i4>0</vt:i4>
      </vt:variant>
      <vt:variant>
        <vt:i4>5</vt:i4>
      </vt:variant>
      <vt:variant>
        <vt:lpwstr/>
      </vt:variant>
      <vt:variant>
        <vt:lpwstr>_Toc271028850</vt:lpwstr>
      </vt:variant>
      <vt:variant>
        <vt:i4>1835065</vt:i4>
      </vt:variant>
      <vt:variant>
        <vt:i4>86</vt:i4>
      </vt:variant>
      <vt:variant>
        <vt:i4>0</vt:i4>
      </vt:variant>
      <vt:variant>
        <vt:i4>5</vt:i4>
      </vt:variant>
      <vt:variant>
        <vt:lpwstr/>
      </vt:variant>
      <vt:variant>
        <vt:lpwstr>_Toc271028849</vt:lpwstr>
      </vt:variant>
      <vt:variant>
        <vt:i4>1835065</vt:i4>
      </vt:variant>
      <vt:variant>
        <vt:i4>80</vt:i4>
      </vt:variant>
      <vt:variant>
        <vt:i4>0</vt:i4>
      </vt:variant>
      <vt:variant>
        <vt:i4>5</vt:i4>
      </vt:variant>
      <vt:variant>
        <vt:lpwstr/>
      </vt:variant>
      <vt:variant>
        <vt:lpwstr>_Toc271028848</vt:lpwstr>
      </vt:variant>
      <vt:variant>
        <vt:i4>1835065</vt:i4>
      </vt:variant>
      <vt:variant>
        <vt:i4>74</vt:i4>
      </vt:variant>
      <vt:variant>
        <vt:i4>0</vt:i4>
      </vt:variant>
      <vt:variant>
        <vt:i4>5</vt:i4>
      </vt:variant>
      <vt:variant>
        <vt:lpwstr/>
      </vt:variant>
      <vt:variant>
        <vt:lpwstr>_Toc271028847</vt:lpwstr>
      </vt:variant>
      <vt:variant>
        <vt:i4>1835065</vt:i4>
      </vt:variant>
      <vt:variant>
        <vt:i4>68</vt:i4>
      </vt:variant>
      <vt:variant>
        <vt:i4>0</vt:i4>
      </vt:variant>
      <vt:variant>
        <vt:i4>5</vt:i4>
      </vt:variant>
      <vt:variant>
        <vt:lpwstr/>
      </vt:variant>
      <vt:variant>
        <vt:lpwstr>_Toc271028846</vt:lpwstr>
      </vt:variant>
      <vt:variant>
        <vt:i4>1835065</vt:i4>
      </vt:variant>
      <vt:variant>
        <vt:i4>62</vt:i4>
      </vt:variant>
      <vt:variant>
        <vt:i4>0</vt:i4>
      </vt:variant>
      <vt:variant>
        <vt:i4>5</vt:i4>
      </vt:variant>
      <vt:variant>
        <vt:lpwstr/>
      </vt:variant>
      <vt:variant>
        <vt:lpwstr>_Toc271028845</vt:lpwstr>
      </vt:variant>
      <vt:variant>
        <vt:i4>1835065</vt:i4>
      </vt:variant>
      <vt:variant>
        <vt:i4>56</vt:i4>
      </vt:variant>
      <vt:variant>
        <vt:i4>0</vt:i4>
      </vt:variant>
      <vt:variant>
        <vt:i4>5</vt:i4>
      </vt:variant>
      <vt:variant>
        <vt:lpwstr/>
      </vt:variant>
      <vt:variant>
        <vt:lpwstr>_Toc271028844</vt:lpwstr>
      </vt:variant>
      <vt:variant>
        <vt:i4>1835065</vt:i4>
      </vt:variant>
      <vt:variant>
        <vt:i4>50</vt:i4>
      </vt:variant>
      <vt:variant>
        <vt:i4>0</vt:i4>
      </vt:variant>
      <vt:variant>
        <vt:i4>5</vt:i4>
      </vt:variant>
      <vt:variant>
        <vt:lpwstr/>
      </vt:variant>
      <vt:variant>
        <vt:lpwstr>_Toc271028843</vt:lpwstr>
      </vt:variant>
      <vt:variant>
        <vt:i4>1835065</vt:i4>
      </vt:variant>
      <vt:variant>
        <vt:i4>44</vt:i4>
      </vt:variant>
      <vt:variant>
        <vt:i4>0</vt:i4>
      </vt:variant>
      <vt:variant>
        <vt:i4>5</vt:i4>
      </vt:variant>
      <vt:variant>
        <vt:lpwstr/>
      </vt:variant>
      <vt:variant>
        <vt:lpwstr>_Toc271028842</vt:lpwstr>
      </vt:variant>
      <vt:variant>
        <vt:i4>1835065</vt:i4>
      </vt:variant>
      <vt:variant>
        <vt:i4>38</vt:i4>
      </vt:variant>
      <vt:variant>
        <vt:i4>0</vt:i4>
      </vt:variant>
      <vt:variant>
        <vt:i4>5</vt:i4>
      </vt:variant>
      <vt:variant>
        <vt:lpwstr/>
      </vt:variant>
      <vt:variant>
        <vt:lpwstr>_Toc271028841</vt:lpwstr>
      </vt:variant>
      <vt:variant>
        <vt:i4>1835065</vt:i4>
      </vt:variant>
      <vt:variant>
        <vt:i4>32</vt:i4>
      </vt:variant>
      <vt:variant>
        <vt:i4>0</vt:i4>
      </vt:variant>
      <vt:variant>
        <vt:i4>5</vt:i4>
      </vt:variant>
      <vt:variant>
        <vt:lpwstr/>
      </vt:variant>
      <vt:variant>
        <vt:lpwstr>_Toc271028840</vt:lpwstr>
      </vt:variant>
      <vt:variant>
        <vt:i4>1769529</vt:i4>
      </vt:variant>
      <vt:variant>
        <vt:i4>26</vt:i4>
      </vt:variant>
      <vt:variant>
        <vt:i4>0</vt:i4>
      </vt:variant>
      <vt:variant>
        <vt:i4>5</vt:i4>
      </vt:variant>
      <vt:variant>
        <vt:lpwstr/>
      </vt:variant>
      <vt:variant>
        <vt:lpwstr>_Toc271028839</vt:lpwstr>
      </vt:variant>
      <vt:variant>
        <vt:i4>1769529</vt:i4>
      </vt:variant>
      <vt:variant>
        <vt:i4>20</vt:i4>
      </vt:variant>
      <vt:variant>
        <vt:i4>0</vt:i4>
      </vt:variant>
      <vt:variant>
        <vt:i4>5</vt:i4>
      </vt:variant>
      <vt:variant>
        <vt:lpwstr/>
      </vt:variant>
      <vt:variant>
        <vt:lpwstr>_Toc271028838</vt:lpwstr>
      </vt:variant>
      <vt:variant>
        <vt:i4>1769529</vt:i4>
      </vt:variant>
      <vt:variant>
        <vt:i4>14</vt:i4>
      </vt:variant>
      <vt:variant>
        <vt:i4>0</vt:i4>
      </vt:variant>
      <vt:variant>
        <vt:i4>5</vt:i4>
      </vt:variant>
      <vt:variant>
        <vt:lpwstr/>
      </vt:variant>
      <vt:variant>
        <vt:lpwstr>_Toc271028837</vt:lpwstr>
      </vt:variant>
      <vt:variant>
        <vt:i4>1769529</vt:i4>
      </vt:variant>
      <vt:variant>
        <vt:i4>8</vt:i4>
      </vt:variant>
      <vt:variant>
        <vt:i4>0</vt:i4>
      </vt:variant>
      <vt:variant>
        <vt:i4>5</vt:i4>
      </vt:variant>
      <vt:variant>
        <vt:lpwstr/>
      </vt:variant>
      <vt:variant>
        <vt:lpwstr>_Toc271028836</vt:lpwstr>
      </vt:variant>
      <vt:variant>
        <vt:i4>1769529</vt:i4>
      </vt:variant>
      <vt:variant>
        <vt:i4>2</vt:i4>
      </vt:variant>
      <vt:variant>
        <vt:i4>0</vt:i4>
      </vt:variant>
      <vt:variant>
        <vt:i4>5</vt:i4>
      </vt:variant>
      <vt:variant>
        <vt:lpwstr/>
      </vt:variant>
      <vt:variant>
        <vt:lpwstr>_Toc271028835</vt:lpwstr>
      </vt:variant>
      <vt:variant>
        <vt:i4>2555907</vt:i4>
      </vt:variant>
      <vt:variant>
        <vt:i4>0</vt:i4>
      </vt:variant>
      <vt:variant>
        <vt:i4>0</vt:i4>
      </vt:variant>
      <vt:variant>
        <vt:i4>5</vt:i4>
      </vt:variant>
      <vt:variant>
        <vt:lpwstr>http://publicfiles.dep.state.fl.us/FGS/FGS_Publications/FGS Library Documents/FLCoastSedContamAtlas.pdf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Annotated Outline, 2006 Integrated Report</dc:title>
  <dc:subject/>
  <dc:creator>Linda Lord</dc:creator>
  <cp:keywords/>
  <dc:description/>
  <cp:lastModifiedBy>mcguire_s</cp:lastModifiedBy>
  <cp:revision>5</cp:revision>
  <cp:lastPrinted>2010-09-10T18:11:00Z</cp:lastPrinted>
  <dcterms:created xsi:type="dcterms:W3CDTF">2010-09-09T16:46:00Z</dcterms:created>
  <dcterms:modified xsi:type="dcterms:W3CDTF">2010-09-10T18:16:00Z</dcterms:modified>
</cp:coreProperties>
</file>