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130" w:type="dxa"/>
        <w:tblInd w:w="-725" w:type="dxa"/>
        <w:tblLayout w:type="fixed"/>
        <w:tblLook w:val="0420" w:firstRow="1" w:lastRow="0" w:firstColumn="0" w:lastColumn="0" w:noHBand="0" w:noVBand="1"/>
      </w:tblPr>
      <w:tblGrid>
        <w:gridCol w:w="1260"/>
        <w:gridCol w:w="1170"/>
        <w:gridCol w:w="7830"/>
        <w:gridCol w:w="3870"/>
      </w:tblGrid>
      <w:tr w:rsidR="00F82BD3" w:rsidRPr="00D3061B" w14:paraId="4C7A3477" w14:textId="77777777" w:rsidTr="00A273F3">
        <w:trPr>
          <w:tblHeader/>
        </w:trPr>
        <w:tc>
          <w:tcPr>
            <w:tcW w:w="1260" w:type="dxa"/>
          </w:tcPr>
          <w:p w14:paraId="7439B0FE" w14:textId="77777777" w:rsidR="00F82BD3" w:rsidRPr="00D3061B" w:rsidRDefault="00F82BD3" w:rsidP="00872773">
            <w:pPr>
              <w:jc w:val="center"/>
              <w:rPr>
                <w:rFonts w:ascii="Times New Roman" w:hAnsi="Times New Roman" w:cs="Times New Roman"/>
                <w:b/>
                <w:bCs/>
              </w:rPr>
            </w:pPr>
            <w:bookmarkStart w:id="0" w:name="_GoBack"/>
            <w:r w:rsidRPr="00D3061B">
              <w:rPr>
                <w:rFonts w:ascii="Times New Roman" w:hAnsi="Times New Roman" w:cs="Times New Roman"/>
                <w:b/>
                <w:bCs/>
              </w:rPr>
              <w:t>Who</w:t>
            </w:r>
          </w:p>
        </w:tc>
        <w:tc>
          <w:tcPr>
            <w:tcW w:w="1170" w:type="dxa"/>
          </w:tcPr>
          <w:p w14:paraId="644803B2" w14:textId="77777777" w:rsidR="00F82BD3" w:rsidRPr="00D3061B" w:rsidRDefault="00F82BD3" w:rsidP="00872773">
            <w:pPr>
              <w:jc w:val="center"/>
              <w:rPr>
                <w:rFonts w:ascii="Times New Roman" w:hAnsi="Times New Roman" w:cs="Times New Roman"/>
                <w:b/>
                <w:bCs/>
              </w:rPr>
            </w:pPr>
            <w:r w:rsidRPr="00D3061B">
              <w:rPr>
                <w:rFonts w:ascii="Times New Roman" w:hAnsi="Times New Roman" w:cs="Times New Roman"/>
                <w:b/>
                <w:bCs/>
              </w:rPr>
              <w:t>When</w:t>
            </w:r>
          </w:p>
        </w:tc>
        <w:tc>
          <w:tcPr>
            <w:tcW w:w="7830" w:type="dxa"/>
          </w:tcPr>
          <w:p w14:paraId="7F4B740B" w14:textId="44638497" w:rsidR="00F82BD3" w:rsidRPr="00D3061B" w:rsidRDefault="00F82BD3" w:rsidP="00872773">
            <w:pPr>
              <w:jc w:val="center"/>
              <w:rPr>
                <w:rFonts w:ascii="Times New Roman" w:hAnsi="Times New Roman" w:cs="Times New Roman"/>
                <w:b/>
                <w:bCs/>
              </w:rPr>
            </w:pPr>
            <w:r w:rsidRPr="00D3061B">
              <w:rPr>
                <w:rFonts w:ascii="Times New Roman" w:hAnsi="Times New Roman" w:cs="Times New Roman"/>
                <w:b/>
                <w:bCs/>
              </w:rPr>
              <w:t>Comment</w:t>
            </w:r>
          </w:p>
        </w:tc>
        <w:tc>
          <w:tcPr>
            <w:tcW w:w="3870" w:type="dxa"/>
          </w:tcPr>
          <w:p w14:paraId="0CAFB9DE" w14:textId="77777777" w:rsidR="00F82BD3" w:rsidRPr="00D3061B" w:rsidRDefault="00F82BD3" w:rsidP="00872773">
            <w:pPr>
              <w:jc w:val="center"/>
              <w:rPr>
                <w:rFonts w:ascii="Times New Roman" w:hAnsi="Times New Roman" w:cs="Times New Roman"/>
                <w:b/>
                <w:bCs/>
              </w:rPr>
            </w:pPr>
            <w:r w:rsidRPr="00D3061B">
              <w:rPr>
                <w:rFonts w:ascii="Times New Roman" w:hAnsi="Times New Roman" w:cs="Times New Roman"/>
                <w:b/>
                <w:bCs/>
              </w:rPr>
              <w:t>Response</w:t>
            </w:r>
          </w:p>
        </w:tc>
      </w:tr>
      <w:tr w:rsidR="00D16E3D" w:rsidRPr="00D3061B" w14:paraId="631CB885" w14:textId="77777777" w:rsidTr="00A273F3">
        <w:tc>
          <w:tcPr>
            <w:tcW w:w="1260" w:type="dxa"/>
          </w:tcPr>
          <w:p w14:paraId="7A969770" w14:textId="77777777" w:rsidR="00D16E3D" w:rsidRPr="00D3061B" w:rsidRDefault="00D16E3D" w:rsidP="004C773B">
            <w:pPr>
              <w:rPr>
                <w:rFonts w:ascii="Times New Roman" w:hAnsi="Times New Roman" w:cs="Times New Roman"/>
              </w:rPr>
            </w:pPr>
            <w:bookmarkStart w:id="1" w:name="_Hlk102482991"/>
            <w:r w:rsidRPr="00D3061B">
              <w:rPr>
                <w:rFonts w:ascii="Times New Roman" w:hAnsi="Times New Roman" w:cs="Times New Roman"/>
              </w:rPr>
              <w:t>Audrey Siu</w:t>
            </w:r>
          </w:p>
        </w:tc>
        <w:tc>
          <w:tcPr>
            <w:tcW w:w="1170" w:type="dxa"/>
          </w:tcPr>
          <w:p w14:paraId="7E3CAF93" w14:textId="77777777" w:rsidR="00D16E3D" w:rsidRPr="00D3061B" w:rsidRDefault="00D16E3D" w:rsidP="004C773B">
            <w:pPr>
              <w:rPr>
                <w:rFonts w:ascii="Times New Roman" w:hAnsi="Times New Roman" w:cs="Times New Roman"/>
              </w:rPr>
            </w:pPr>
            <w:r w:rsidRPr="00D3061B">
              <w:rPr>
                <w:rFonts w:ascii="Times New Roman" w:hAnsi="Times New Roman" w:cs="Times New Roman"/>
              </w:rPr>
              <w:t>4/22/2022</w:t>
            </w:r>
          </w:p>
        </w:tc>
        <w:tc>
          <w:tcPr>
            <w:tcW w:w="7830" w:type="dxa"/>
          </w:tcPr>
          <w:p w14:paraId="79289F66" w14:textId="77777777" w:rsidR="00D16E3D" w:rsidRPr="00D3061B" w:rsidRDefault="00D16E3D" w:rsidP="004C773B">
            <w:pPr>
              <w:rPr>
                <w:rFonts w:ascii="Times New Roman" w:hAnsi="Times New Roman" w:cs="Times New Roman"/>
              </w:rPr>
            </w:pPr>
            <w:r w:rsidRPr="00D3061B">
              <w:rPr>
                <w:rFonts w:ascii="Times New Roman" w:hAnsi="Times New Roman" w:cs="Times New Roman"/>
              </w:rPr>
              <w:t>This amendment should also apply to areas with reasonable assurance plans if those RAP's include provisions to address OSTDS's.</w:t>
            </w:r>
          </w:p>
        </w:tc>
        <w:tc>
          <w:tcPr>
            <w:tcW w:w="3870" w:type="dxa"/>
          </w:tcPr>
          <w:p w14:paraId="2677F5C8" w14:textId="77777777" w:rsidR="00D16E3D" w:rsidRPr="00D3061B" w:rsidRDefault="00D16E3D" w:rsidP="004C773B">
            <w:pPr>
              <w:rPr>
                <w:rFonts w:ascii="Times New Roman" w:hAnsi="Times New Roman" w:cs="Times New Roman"/>
              </w:rPr>
            </w:pPr>
            <w:r w:rsidRPr="00F82BD3">
              <w:rPr>
                <w:rFonts w:ascii="Times New Roman" w:hAnsi="Times New Roman" w:cs="Times New Roman"/>
              </w:rPr>
              <w:t>Section 381.0065(4)(e), F.S. specifically refers to OSTDS remediation plans developed pursuant to s. 403.067(7)(a)</w:t>
            </w:r>
            <w:proofErr w:type="gramStart"/>
            <w:r w:rsidRPr="00F82BD3">
              <w:rPr>
                <w:rFonts w:ascii="Times New Roman" w:hAnsi="Times New Roman" w:cs="Times New Roman"/>
              </w:rPr>
              <w:t>9.b</w:t>
            </w:r>
            <w:proofErr w:type="gramEnd"/>
            <w:r>
              <w:rPr>
                <w:rFonts w:ascii="Times New Roman" w:hAnsi="Times New Roman" w:cs="Times New Roman"/>
              </w:rPr>
              <w:t>,</w:t>
            </w:r>
            <w:r w:rsidRPr="00F82BD3">
              <w:rPr>
                <w:rFonts w:ascii="Times New Roman" w:hAnsi="Times New Roman" w:cs="Times New Roman"/>
              </w:rPr>
              <w:t xml:space="preserve"> F.S. which requires the Florida Department of Environmental Protection to adopt the OSTDS remediation plan as part of the basin management action plan (BMAP). If a given reasonable assurance plan include OSTDS management, the future revision of 62-6</w:t>
            </w:r>
            <w:r>
              <w:rPr>
                <w:rFonts w:ascii="Times New Roman" w:hAnsi="Times New Roman" w:cs="Times New Roman"/>
              </w:rPr>
              <w:t>,</w:t>
            </w:r>
            <w:r w:rsidRPr="00F82BD3">
              <w:rPr>
                <w:rFonts w:ascii="Times New Roman" w:hAnsi="Times New Roman" w:cs="Times New Roman"/>
              </w:rPr>
              <w:t xml:space="preserve"> F.A.C. may incorporate the OSTDS management if it can be incorporated into an OSTDS remediation plan adopted as part of the BMAP.</w:t>
            </w:r>
          </w:p>
        </w:tc>
      </w:tr>
      <w:bookmarkEnd w:id="1"/>
      <w:tr w:rsidR="00F82BD3" w:rsidRPr="00D3061B" w14:paraId="6BD3124C" w14:textId="77777777" w:rsidTr="00A273F3">
        <w:tc>
          <w:tcPr>
            <w:tcW w:w="1260" w:type="dxa"/>
          </w:tcPr>
          <w:p w14:paraId="3FE2F37F" w14:textId="3B5AE8DA" w:rsidR="00F82BD3" w:rsidRPr="00D3061B" w:rsidRDefault="00F82BD3" w:rsidP="00872773">
            <w:pPr>
              <w:rPr>
                <w:rFonts w:ascii="Times New Roman" w:hAnsi="Times New Roman" w:cs="Times New Roman"/>
              </w:rPr>
            </w:pPr>
            <w:r w:rsidRPr="00D3061B">
              <w:rPr>
                <w:rFonts w:ascii="Times New Roman" w:hAnsi="Times New Roman" w:cs="Times New Roman"/>
              </w:rPr>
              <w:t xml:space="preserve">Jen </w:t>
            </w:r>
            <w:proofErr w:type="spellStart"/>
            <w:r w:rsidRPr="00D3061B">
              <w:rPr>
                <w:rFonts w:ascii="Times New Roman" w:hAnsi="Times New Roman" w:cs="Times New Roman"/>
              </w:rPr>
              <w:t>Lomberk</w:t>
            </w:r>
            <w:proofErr w:type="spellEnd"/>
          </w:p>
        </w:tc>
        <w:tc>
          <w:tcPr>
            <w:tcW w:w="1170" w:type="dxa"/>
          </w:tcPr>
          <w:p w14:paraId="00A41DE4" w14:textId="4054644E" w:rsidR="00F82BD3" w:rsidRPr="00D3061B" w:rsidRDefault="00F82BD3" w:rsidP="00872773">
            <w:pPr>
              <w:rPr>
                <w:rFonts w:ascii="Times New Roman" w:hAnsi="Times New Roman" w:cs="Times New Roman"/>
              </w:rPr>
            </w:pPr>
            <w:r w:rsidRPr="00D3061B">
              <w:rPr>
                <w:rFonts w:ascii="Times New Roman" w:hAnsi="Times New Roman" w:cs="Times New Roman"/>
              </w:rPr>
              <w:t>4/22/22</w:t>
            </w:r>
          </w:p>
        </w:tc>
        <w:tc>
          <w:tcPr>
            <w:tcW w:w="7830" w:type="dxa"/>
          </w:tcPr>
          <w:p w14:paraId="3E195AC8" w14:textId="77777777" w:rsidR="00F82BD3" w:rsidRPr="00D3061B" w:rsidRDefault="00F82BD3" w:rsidP="002A79CE">
            <w:pPr>
              <w:pStyle w:val="PlainText"/>
              <w:rPr>
                <w:rFonts w:ascii="Times New Roman" w:hAnsi="Times New Roman" w:cs="Times New Roman"/>
              </w:rPr>
            </w:pPr>
            <w:r w:rsidRPr="00D3061B">
              <w:rPr>
                <w:rFonts w:ascii="Times New Roman" w:hAnsi="Times New Roman" w:cs="Times New Roman"/>
              </w:rPr>
              <w:t>Comment: Thank you for your efforts on the updates for the regulations governing the requirements of onsite sewage treatment and disposal systems. While the proposed updates for increasing the availability and expediting the approval for enhanced nutrient reduction septic systems is a step in the right direction, additional changes are needed to adequately address the pollution issues associated with OSTDSs.</w:t>
            </w:r>
          </w:p>
          <w:p w14:paraId="6DBC7DAD" w14:textId="77777777" w:rsidR="00F82BD3" w:rsidRPr="00D3061B" w:rsidRDefault="00F82BD3" w:rsidP="002A79CE">
            <w:pPr>
              <w:pStyle w:val="PlainText"/>
              <w:rPr>
                <w:rFonts w:ascii="Times New Roman" w:hAnsi="Times New Roman" w:cs="Times New Roman"/>
              </w:rPr>
            </w:pPr>
          </w:p>
          <w:p w14:paraId="732E3993" w14:textId="77777777" w:rsidR="00F82BD3" w:rsidRPr="00D3061B" w:rsidRDefault="00F82BD3" w:rsidP="002A79CE">
            <w:pPr>
              <w:pStyle w:val="PlainText"/>
              <w:rPr>
                <w:rFonts w:ascii="Times New Roman" w:hAnsi="Times New Roman" w:cs="Times New Roman"/>
              </w:rPr>
            </w:pPr>
            <w:r w:rsidRPr="00D3061B">
              <w:rPr>
                <w:rFonts w:ascii="Times New Roman" w:hAnsi="Times New Roman" w:cs="Times New Roman"/>
              </w:rPr>
              <w:t>In October of 2019, the Blue Green Algae Task Force acknowledged that septic systems are a well-known and substantial source of nutrients to groundwater and surface waters across the state and made recommendations to help mitigate the nutrient loading from them. These recommendations included suggesting that FDEP:</w:t>
            </w:r>
          </w:p>
          <w:p w14:paraId="4F63B39D" w14:textId="77777777" w:rsidR="00F82BD3" w:rsidRPr="00D3061B" w:rsidRDefault="00F82BD3" w:rsidP="002A79CE">
            <w:pPr>
              <w:pStyle w:val="PlainText"/>
              <w:rPr>
                <w:rFonts w:ascii="Times New Roman" w:hAnsi="Times New Roman" w:cs="Times New Roman"/>
              </w:rPr>
            </w:pPr>
          </w:p>
          <w:p w14:paraId="3EEE6793" w14:textId="77777777" w:rsidR="00F82BD3" w:rsidRPr="00D3061B" w:rsidRDefault="00F82BD3" w:rsidP="002A79CE">
            <w:pPr>
              <w:pStyle w:val="PlainText"/>
              <w:rPr>
                <w:rFonts w:ascii="Times New Roman" w:hAnsi="Times New Roman" w:cs="Times New Roman"/>
              </w:rPr>
            </w:pPr>
            <w:r w:rsidRPr="00D3061B">
              <w:rPr>
                <w:rFonts w:ascii="Times New Roman" w:hAnsi="Times New Roman" w:cs="Times New Roman"/>
              </w:rPr>
              <w:t>“…develop a comprehensive regulatory program to ensure that onsite sewage treatment and disposal systems, where appropriate, are sized, designed, constructed, installed, operated and maintained to prevent nutrient pollution, reduce environmental impact and preserve human health.”</w:t>
            </w:r>
          </w:p>
          <w:p w14:paraId="5B084E90" w14:textId="77777777" w:rsidR="00F82BD3" w:rsidRPr="00D3061B" w:rsidRDefault="00F82BD3" w:rsidP="002A79CE">
            <w:pPr>
              <w:pStyle w:val="PlainText"/>
              <w:rPr>
                <w:rFonts w:ascii="Times New Roman" w:hAnsi="Times New Roman" w:cs="Times New Roman"/>
              </w:rPr>
            </w:pPr>
          </w:p>
          <w:p w14:paraId="68BAD42F" w14:textId="77777777" w:rsidR="00F82BD3" w:rsidRPr="00D3061B" w:rsidRDefault="00F82BD3" w:rsidP="002A79CE">
            <w:pPr>
              <w:pStyle w:val="PlainText"/>
              <w:rPr>
                <w:rFonts w:ascii="Times New Roman" w:hAnsi="Times New Roman" w:cs="Times New Roman"/>
              </w:rPr>
            </w:pPr>
            <w:r w:rsidRPr="00D3061B">
              <w:rPr>
                <w:rFonts w:ascii="Times New Roman" w:hAnsi="Times New Roman" w:cs="Times New Roman"/>
              </w:rPr>
              <w:t>In this same vein, in 2020, Senate Bill 712 directed FDEP to:</w:t>
            </w:r>
          </w:p>
          <w:p w14:paraId="626B022A" w14:textId="77777777" w:rsidR="00F82BD3" w:rsidRPr="00D3061B" w:rsidRDefault="00F82BD3" w:rsidP="002A79CE">
            <w:pPr>
              <w:pStyle w:val="PlainText"/>
              <w:rPr>
                <w:rFonts w:ascii="Times New Roman" w:hAnsi="Times New Roman" w:cs="Times New Roman"/>
              </w:rPr>
            </w:pPr>
          </w:p>
          <w:p w14:paraId="3E3EDF19" w14:textId="77777777" w:rsidR="00F82BD3" w:rsidRPr="00D3061B" w:rsidRDefault="00F82BD3" w:rsidP="002A79CE">
            <w:pPr>
              <w:pStyle w:val="PlainText"/>
              <w:rPr>
                <w:rFonts w:ascii="Times New Roman" w:hAnsi="Times New Roman" w:cs="Times New Roman"/>
              </w:rPr>
            </w:pPr>
            <w:r w:rsidRPr="00D3061B">
              <w:rPr>
                <w:rFonts w:ascii="Times New Roman" w:hAnsi="Times New Roman" w:cs="Times New Roman"/>
              </w:rPr>
              <w:t>“…adopt rules relating to the location of onsite sewage treatment and disposal systems, including establishing setback distances, to prevent groundwater contamination and surface water contamination and to preserve the public health.”</w:t>
            </w:r>
          </w:p>
          <w:p w14:paraId="0D0193C2" w14:textId="77777777" w:rsidR="00F82BD3" w:rsidRPr="00D3061B" w:rsidRDefault="00F82BD3" w:rsidP="002A79CE">
            <w:pPr>
              <w:pStyle w:val="PlainText"/>
              <w:rPr>
                <w:rFonts w:ascii="Times New Roman" w:hAnsi="Times New Roman" w:cs="Times New Roman"/>
              </w:rPr>
            </w:pPr>
          </w:p>
          <w:p w14:paraId="108E2C82" w14:textId="77777777" w:rsidR="00F82BD3" w:rsidRPr="00D3061B" w:rsidRDefault="00F82BD3" w:rsidP="002A79CE">
            <w:pPr>
              <w:pStyle w:val="PlainText"/>
              <w:rPr>
                <w:rFonts w:ascii="Times New Roman" w:hAnsi="Times New Roman" w:cs="Times New Roman"/>
              </w:rPr>
            </w:pPr>
            <w:r w:rsidRPr="00D3061B">
              <w:rPr>
                <w:rFonts w:ascii="Times New Roman" w:hAnsi="Times New Roman" w:cs="Times New Roman"/>
              </w:rPr>
              <w:t xml:space="preserve">Current OSTDS setback distances are based on pathogen transport rather than nutrient transport and as such, are not protective enough to ensure that septic systems are not contributing nutrient pollution to adjacent waterways. We urge the Department to update the regulations for setback distances for OSTDSs. </w:t>
            </w:r>
          </w:p>
          <w:p w14:paraId="394E1F17" w14:textId="77777777" w:rsidR="00F82BD3" w:rsidRPr="00D3061B" w:rsidRDefault="00F82BD3" w:rsidP="002A79CE">
            <w:pPr>
              <w:pStyle w:val="PlainText"/>
              <w:rPr>
                <w:rFonts w:ascii="Times New Roman" w:hAnsi="Times New Roman" w:cs="Times New Roman"/>
              </w:rPr>
            </w:pPr>
          </w:p>
          <w:p w14:paraId="050B811D" w14:textId="77777777" w:rsidR="00F82BD3" w:rsidRPr="00D3061B" w:rsidRDefault="00F82BD3" w:rsidP="002A79CE">
            <w:pPr>
              <w:pStyle w:val="PlainText"/>
              <w:rPr>
                <w:rFonts w:ascii="Times New Roman" w:hAnsi="Times New Roman" w:cs="Times New Roman"/>
              </w:rPr>
            </w:pPr>
            <w:r w:rsidRPr="00D3061B">
              <w:rPr>
                <w:rFonts w:ascii="Times New Roman" w:hAnsi="Times New Roman" w:cs="Times New Roman"/>
              </w:rPr>
              <w:t>The Blue Green Algae Task Force also acknowledged that poorly functioning and/or failing septic systems can contribute disproportionately to nutrient pollution and pose increased health risks and recommended:</w:t>
            </w:r>
          </w:p>
          <w:p w14:paraId="2564DB27" w14:textId="77777777" w:rsidR="00F82BD3" w:rsidRPr="00D3061B" w:rsidRDefault="00F82BD3" w:rsidP="002A79CE">
            <w:pPr>
              <w:pStyle w:val="PlainText"/>
              <w:rPr>
                <w:rFonts w:ascii="Times New Roman" w:hAnsi="Times New Roman" w:cs="Times New Roman"/>
              </w:rPr>
            </w:pPr>
          </w:p>
          <w:p w14:paraId="293821B0" w14:textId="77777777" w:rsidR="00F82BD3" w:rsidRPr="00D3061B" w:rsidRDefault="00F82BD3" w:rsidP="002A79CE">
            <w:pPr>
              <w:pStyle w:val="PlainText"/>
              <w:rPr>
                <w:rFonts w:ascii="Times New Roman" w:hAnsi="Times New Roman" w:cs="Times New Roman"/>
              </w:rPr>
            </w:pPr>
            <w:r w:rsidRPr="00D3061B">
              <w:rPr>
                <w:rFonts w:ascii="Times New Roman" w:hAnsi="Times New Roman" w:cs="Times New Roman"/>
              </w:rPr>
              <w:t xml:space="preserve">“…the development and implementation of a septic system inspection and monitoring program with the goal of identifying improperly functioning and/or failing systems so that corrective action can be taken to reduce nutrient pollution, negative environmental impacts and preserve human health.” </w:t>
            </w:r>
          </w:p>
          <w:p w14:paraId="69713174" w14:textId="77777777" w:rsidR="00F82BD3" w:rsidRPr="00D3061B" w:rsidRDefault="00F82BD3" w:rsidP="002A79CE">
            <w:pPr>
              <w:pStyle w:val="PlainText"/>
              <w:rPr>
                <w:rFonts w:ascii="Times New Roman" w:hAnsi="Times New Roman" w:cs="Times New Roman"/>
              </w:rPr>
            </w:pPr>
          </w:p>
          <w:p w14:paraId="36832B26" w14:textId="77777777" w:rsidR="00F82BD3" w:rsidRPr="00D3061B" w:rsidRDefault="00F82BD3" w:rsidP="002A79CE">
            <w:pPr>
              <w:pStyle w:val="PlainText"/>
              <w:rPr>
                <w:rFonts w:ascii="Times New Roman" w:hAnsi="Times New Roman" w:cs="Times New Roman"/>
              </w:rPr>
            </w:pPr>
            <w:r w:rsidRPr="00D3061B">
              <w:rPr>
                <w:rFonts w:ascii="Times New Roman" w:hAnsi="Times New Roman" w:cs="Times New Roman"/>
              </w:rPr>
              <w:t xml:space="preserve">This recommendation is critical to addressing the nutrient loading from existing septic systems, many of which are improperly sited and/or improperly functioning. Even with new technologies for enhanced nutrient reducing systems and more protective setbacks for newly installed septic systems, if current failing systems are not addressed, then there will still be a net increase in nutrient loading from septic systems statewide. </w:t>
            </w:r>
          </w:p>
          <w:p w14:paraId="611B1BE2" w14:textId="77777777" w:rsidR="00F82BD3" w:rsidRPr="00D3061B" w:rsidRDefault="00F82BD3" w:rsidP="002A79CE">
            <w:pPr>
              <w:pStyle w:val="PlainText"/>
              <w:rPr>
                <w:rFonts w:ascii="Times New Roman" w:hAnsi="Times New Roman" w:cs="Times New Roman"/>
              </w:rPr>
            </w:pPr>
            <w:r w:rsidRPr="00D3061B">
              <w:rPr>
                <w:rFonts w:ascii="Times New Roman" w:hAnsi="Times New Roman" w:cs="Times New Roman"/>
              </w:rPr>
              <w:t xml:space="preserve"> </w:t>
            </w:r>
          </w:p>
          <w:p w14:paraId="3CCA1359" w14:textId="26E163EF" w:rsidR="00F82BD3" w:rsidRPr="00D3061B" w:rsidRDefault="00F82BD3" w:rsidP="002A79CE">
            <w:pPr>
              <w:pStyle w:val="PlainText"/>
              <w:rPr>
                <w:rFonts w:ascii="Times New Roman" w:hAnsi="Times New Roman" w:cs="Times New Roman"/>
              </w:rPr>
            </w:pPr>
            <w:r w:rsidRPr="00D3061B">
              <w:rPr>
                <w:rFonts w:ascii="Times New Roman" w:hAnsi="Times New Roman" w:cs="Times New Roman"/>
              </w:rPr>
              <w:t xml:space="preserve">Since the Department has requested an extension to continue this rulemaking into October of this year, we request that the rules increase setback distances to protect adjacent waterways and develop and implement a septic system inspection and monitoring program. </w:t>
            </w:r>
          </w:p>
        </w:tc>
        <w:tc>
          <w:tcPr>
            <w:tcW w:w="3870" w:type="dxa"/>
          </w:tcPr>
          <w:p w14:paraId="7B4D798D" w14:textId="4D71A709" w:rsidR="00F82BD3" w:rsidRDefault="00F82BD3" w:rsidP="00872773">
            <w:pPr>
              <w:rPr>
                <w:rFonts w:ascii="Times New Roman" w:hAnsi="Times New Roman" w:cs="Times New Roman"/>
              </w:rPr>
            </w:pPr>
            <w:r w:rsidRPr="00DF4DE7">
              <w:rPr>
                <w:rFonts w:ascii="Times New Roman" w:hAnsi="Times New Roman" w:cs="Times New Roman"/>
              </w:rPr>
              <w:lastRenderedPageBreak/>
              <w:t>The Department plans to undertake additional work on setback distances to inform a future Notice of Proposed Rule.</w:t>
            </w:r>
          </w:p>
          <w:p w14:paraId="1C21DCFD" w14:textId="5A278BC8" w:rsidR="00F82BD3" w:rsidRDefault="00F82BD3" w:rsidP="00872773">
            <w:pPr>
              <w:rPr>
                <w:rFonts w:ascii="Times New Roman" w:hAnsi="Times New Roman" w:cs="Times New Roman"/>
              </w:rPr>
            </w:pPr>
          </w:p>
          <w:p w14:paraId="3A2A6880" w14:textId="653A40C4" w:rsidR="00F82BD3" w:rsidRDefault="00F82BD3" w:rsidP="00872773">
            <w:pPr>
              <w:rPr>
                <w:rFonts w:ascii="Times New Roman" w:hAnsi="Times New Roman" w:cs="Times New Roman"/>
              </w:rPr>
            </w:pPr>
            <w:r>
              <w:rPr>
                <w:rFonts w:ascii="Times New Roman" w:hAnsi="Times New Roman" w:cs="Times New Roman"/>
              </w:rPr>
              <w:t xml:space="preserve">The assertion that current OSTDS setback distances are based on pathogen transport rather than nutrient transport is a generalization that omits the concerns that existing statutory and rule requirements already have with ground and surface water contamination in general and </w:t>
            </w:r>
            <w:proofErr w:type="gramStart"/>
            <w:r>
              <w:rPr>
                <w:rFonts w:ascii="Times New Roman" w:hAnsi="Times New Roman" w:cs="Times New Roman"/>
              </w:rPr>
              <w:t>nutrients in particular</w:t>
            </w:r>
            <w:proofErr w:type="gramEnd"/>
            <w:r>
              <w:rPr>
                <w:rFonts w:ascii="Times New Roman" w:hAnsi="Times New Roman" w:cs="Times New Roman"/>
              </w:rPr>
              <w:t xml:space="preserve"> (s. 381.0065(1)(b), 381.0065(4)(l), 381.0065(4)(s), F.S.). The 1980 EPA “Design Manual Onsite Wastewater Treatment and Disposal Systems” already brought up the same issue “Cases of contaminated wells attributed to inadequately treated septic tank effluent, and nutrient enrichments of lakes from near-shore development are examples of </w:t>
            </w:r>
            <w:r>
              <w:rPr>
                <w:rFonts w:ascii="Times New Roman" w:hAnsi="Times New Roman" w:cs="Times New Roman"/>
              </w:rPr>
              <w:lastRenderedPageBreak/>
              <w:t xml:space="preserve">what may occur when a soil absorption system is installed in an area with unsuitable soil or geological conditions.”  </w:t>
            </w:r>
          </w:p>
          <w:p w14:paraId="1D9951B5" w14:textId="7C3768CB" w:rsidR="00F82BD3" w:rsidRDefault="00F82BD3" w:rsidP="00872773">
            <w:pPr>
              <w:rPr>
                <w:rFonts w:ascii="Times New Roman" w:hAnsi="Times New Roman" w:cs="Times New Roman"/>
              </w:rPr>
            </w:pPr>
            <w:r>
              <w:rPr>
                <w:rFonts w:ascii="Times New Roman" w:hAnsi="Times New Roman" w:cs="Times New Roman"/>
              </w:rPr>
              <w:t>This is not to say that there is no room for revising setback distances.</w:t>
            </w:r>
          </w:p>
          <w:p w14:paraId="194EDB58" w14:textId="77777777" w:rsidR="00F82BD3" w:rsidRDefault="00F82BD3" w:rsidP="00872773">
            <w:pPr>
              <w:rPr>
                <w:rFonts w:ascii="Times New Roman" w:hAnsi="Times New Roman" w:cs="Times New Roman"/>
              </w:rPr>
            </w:pPr>
          </w:p>
          <w:p w14:paraId="2F5505FA" w14:textId="49805420" w:rsidR="00F82BD3" w:rsidRPr="00D3061B" w:rsidRDefault="00F82BD3" w:rsidP="009D1923">
            <w:pPr>
              <w:rPr>
                <w:rFonts w:ascii="Times New Roman" w:hAnsi="Times New Roman" w:cs="Times New Roman"/>
              </w:rPr>
            </w:pPr>
            <w:r>
              <w:rPr>
                <w:rFonts w:ascii="Times New Roman" w:hAnsi="Times New Roman" w:cs="Times New Roman"/>
              </w:rPr>
              <w:t xml:space="preserve">Current statutes define how a general inspection and monitoring program can be implemented (s. 381.00651, F.S.) Such programs are adopted by ordinance of a county or municipality and need to follow </w:t>
            </w:r>
            <w:proofErr w:type="gramStart"/>
            <w:r>
              <w:rPr>
                <w:rFonts w:ascii="Times New Roman" w:hAnsi="Times New Roman" w:cs="Times New Roman"/>
              </w:rPr>
              <w:t>fairly specific</w:t>
            </w:r>
            <w:proofErr w:type="gramEnd"/>
            <w:r>
              <w:rPr>
                <w:rFonts w:ascii="Times New Roman" w:hAnsi="Times New Roman" w:cs="Times New Roman"/>
              </w:rPr>
              <w:t xml:space="preserve"> requirements.</w:t>
            </w:r>
          </w:p>
        </w:tc>
      </w:tr>
      <w:bookmarkEnd w:id="0"/>
    </w:tbl>
    <w:p w14:paraId="0D99D71F" w14:textId="77777777" w:rsidR="00793541" w:rsidRPr="00D3061B" w:rsidRDefault="00793541" w:rsidP="00E06FCB">
      <w:pPr>
        <w:rPr>
          <w:rFonts w:ascii="Times New Roman" w:hAnsi="Times New Roman" w:cs="Times New Roman"/>
          <w:sz w:val="20"/>
          <w:szCs w:val="20"/>
        </w:rPr>
      </w:pPr>
    </w:p>
    <w:sectPr w:rsidR="00793541" w:rsidRPr="00D3061B" w:rsidSect="004B04E2">
      <w:headerReference w:type="default" r:id="rId11"/>
      <w:footerReference w:type="default" r:id="rId12"/>
      <w:pgSz w:w="15840" w:h="12240" w:orient="landscape"/>
      <w:pgMar w:top="156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80D2D" w14:textId="77777777" w:rsidR="00D1700D" w:rsidRDefault="00D1700D" w:rsidP="002168FC">
      <w:pPr>
        <w:spacing w:after="0" w:line="240" w:lineRule="auto"/>
      </w:pPr>
      <w:r>
        <w:separator/>
      </w:r>
    </w:p>
  </w:endnote>
  <w:endnote w:type="continuationSeparator" w:id="0">
    <w:p w14:paraId="72053C52" w14:textId="77777777" w:rsidR="00D1700D" w:rsidRDefault="00D1700D" w:rsidP="002168FC">
      <w:pPr>
        <w:spacing w:after="0" w:line="240" w:lineRule="auto"/>
      </w:pPr>
      <w:r>
        <w:continuationSeparator/>
      </w:r>
    </w:p>
  </w:endnote>
  <w:endnote w:type="continuationNotice" w:id="1">
    <w:p w14:paraId="59112081" w14:textId="77777777" w:rsidR="00D1700D" w:rsidRDefault="00D170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028888"/>
      <w:docPartObj>
        <w:docPartGallery w:val="Page Numbers (Bottom of Page)"/>
        <w:docPartUnique/>
      </w:docPartObj>
    </w:sdtPr>
    <w:sdtEndPr>
      <w:rPr>
        <w:noProof/>
      </w:rPr>
    </w:sdtEndPr>
    <w:sdtContent>
      <w:p w14:paraId="2BF73413" w14:textId="47BCC732" w:rsidR="004B04E2" w:rsidRDefault="004B04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23FCF2" w14:textId="77777777" w:rsidR="004B04E2" w:rsidRDefault="004B0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3EF71" w14:textId="77777777" w:rsidR="00D1700D" w:rsidRDefault="00D1700D" w:rsidP="002168FC">
      <w:pPr>
        <w:spacing w:after="0" w:line="240" w:lineRule="auto"/>
      </w:pPr>
      <w:r>
        <w:separator/>
      </w:r>
    </w:p>
  </w:footnote>
  <w:footnote w:type="continuationSeparator" w:id="0">
    <w:p w14:paraId="64653FF3" w14:textId="77777777" w:rsidR="00D1700D" w:rsidRDefault="00D1700D" w:rsidP="002168FC">
      <w:pPr>
        <w:spacing w:after="0" w:line="240" w:lineRule="auto"/>
      </w:pPr>
      <w:r>
        <w:continuationSeparator/>
      </w:r>
    </w:p>
  </w:footnote>
  <w:footnote w:type="continuationNotice" w:id="1">
    <w:p w14:paraId="60D6D2A5" w14:textId="77777777" w:rsidR="00D1700D" w:rsidRDefault="00D170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83650" w14:textId="106B540A" w:rsidR="004B04E2" w:rsidRDefault="004B04E2" w:rsidP="004B04E2">
    <w:pPr>
      <w:pStyle w:val="Header"/>
      <w:jc w:val="center"/>
      <w:rPr>
        <w:rFonts w:ascii="Times New Roman" w:hAnsi="Times New Roman" w:cs="Times New Roman"/>
        <w:b/>
        <w:bCs/>
        <w:sz w:val="28"/>
        <w:szCs w:val="28"/>
      </w:rPr>
    </w:pPr>
    <w:r w:rsidRPr="004B04E2">
      <w:rPr>
        <w:rFonts w:ascii="Times New Roman" w:hAnsi="Times New Roman" w:cs="Times New Roman"/>
        <w:b/>
        <w:bCs/>
        <w:sz w:val="28"/>
        <w:szCs w:val="28"/>
      </w:rPr>
      <w:t xml:space="preserve">Public Comments on Notice of </w:t>
    </w:r>
    <w:r w:rsidR="002A79CE">
      <w:rPr>
        <w:rFonts w:ascii="Times New Roman" w:hAnsi="Times New Roman" w:cs="Times New Roman"/>
        <w:b/>
        <w:bCs/>
        <w:sz w:val="28"/>
        <w:szCs w:val="28"/>
      </w:rPr>
      <w:t>Proposed Rule</w:t>
    </w:r>
  </w:p>
  <w:p w14:paraId="791DD19C" w14:textId="1E42B104" w:rsidR="004B04E2" w:rsidRPr="004B04E2" w:rsidRDefault="004B04E2" w:rsidP="004B04E2">
    <w:pPr>
      <w:pStyle w:val="Header"/>
      <w:jc w:val="center"/>
      <w:rPr>
        <w:rFonts w:ascii="Times New Roman" w:hAnsi="Times New Roman" w:cs="Times New Roman"/>
        <w:sz w:val="28"/>
        <w:szCs w:val="28"/>
      </w:rPr>
    </w:pPr>
    <w:r w:rsidRPr="004B04E2">
      <w:rPr>
        <w:rFonts w:ascii="Times New Roman" w:hAnsi="Times New Roman" w:cs="Times New Roman"/>
        <w:sz w:val="28"/>
        <w:szCs w:val="28"/>
      </w:rPr>
      <w:t>Chapter 62-</w:t>
    </w:r>
    <w:r w:rsidR="002A79CE" w:rsidRPr="002A79CE">
      <w:rPr>
        <w:rFonts w:ascii="Times New Roman" w:hAnsi="Times New Roman" w:cs="Times New Roman"/>
        <w:sz w:val="28"/>
        <w:szCs w:val="28"/>
      </w:rPr>
      <w:t>6.00</w:t>
    </w:r>
    <w:r w:rsidR="00F82BD3">
      <w:rPr>
        <w:rFonts w:ascii="Times New Roman" w:hAnsi="Times New Roman" w:cs="Times New Roman"/>
        <w:sz w:val="28"/>
        <w:szCs w:val="28"/>
      </w:rPr>
      <w:t xml:space="preserve">1, </w:t>
    </w:r>
    <w:r w:rsidR="002A79CE" w:rsidRPr="002A79CE">
      <w:rPr>
        <w:rFonts w:ascii="Times New Roman" w:hAnsi="Times New Roman" w:cs="Times New Roman"/>
        <w:sz w:val="28"/>
        <w:szCs w:val="28"/>
      </w:rPr>
      <w:t>F.A.C.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E082E"/>
    <w:multiLevelType w:val="hybridMultilevel"/>
    <w:tmpl w:val="05E6B1D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3825924"/>
    <w:multiLevelType w:val="hybridMultilevel"/>
    <w:tmpl w:val="05BA301E"/>
    <w:lvl w:ilvl="0" w:tplc="388480AE">
      <w:numFmt w:val="bullet"/>
      <w:lvlText w:val="•"/>
      <w:lvlJc w:val="left"/>
      <w:pPr>
        <w:ind w:left="720" w:hanging="72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B07EDE"/>
    <w:multiLevelType w:val="hybridMultilevel"/>
    <w:tmpl w:val="35849344"/>
    <w:lvl w:ilvl="0" w:tplc="3EE8A222">
      <w:start w:val="9"/>
      <w:numFmt w:val="lowerLetter"/>
      <w:lvlText w:val="(%1)"/>
      <w:lvlJc w:val="left"/>
      <w:pPr>
        <w:ind w:left="836" w:hanging="245"/>
      </w:pPr>
      <w:rPr>
        <w:rFonts w:ascii="Century Gothic" w:eastAsia="Century Gothic" w:hAnsi="Century Gothic" w:cs="Century Gothic" w:hint="default"/>
        <w:b w:val="0"/>
        <w:bCs w:val="0"/>
        <w:i w:val="0"/>
        <w:iCs w:val="0"/>
        <w:w w:val="100"/>
        <w:sz w:val="20"/>
        <w:szCs w:val="20"/>
        <w:lang w:val="en-US" w:eastAsia="en-US" w:bidi="ar-SA"/>
      </w:rPr>
    </w:lvl>
    <w:lvl w:ilvl="1" w:tplc="209C611E">
      <w:numFmt w:val="bullet"/>
      <w:lvlText w:val="•"/>
      <w:lvlJc w:val="left"/>
      <w:pPr>
        <w:ind w:left="1744" w:hanging="245"/>
      </w:pPr>
      <w:rPr>
        <w:rFonts w:hint="default"/>
        <w:lang w:val="en-US" w:eastAsia="en-US" w:bidi="ar-SA"/>
      </w:rPr>
    </w:lvl>
    <w:lvl w:ilvl="2" w:tplc="3BF6C9C4">
      <w:numFmt w:val="bullet"/>
      <w:lvlText w:val="•"/>
      <w:lvlJc w:val="left"/>
      <w:pPr>
        <w:ind w:left="2648" w:hanging="245"/>
      </w:pPr>
      <w:rPr>
        <w:rFonts w:hint="default"/>
        <w:lang w:val="en-US" w:eastAsia="en-US" w:bidi="ar-SA"/>
      </w:rPr>
    </w:lvl>
    <w:lvl w:ilvl="3" w:tplc="E7E2507A">
      <w:numFmt w:val="bullet"/>
      <w:lvlText w:val="•"/>
      <w:lvlJc w:val="left"/>
      <w:pPr>
        <w:ind w:left="3552" w:hanging="245"/>
      </w:pPr>
      <w:rPr>
        <w:rFonts w:hint="default"/>
        <w:lang w:val="en-US" w:eastAsia="en-US" w:bidi="ar-SA"/>
      </w:rPr>
    </w:lvl>
    <w:lvl w:ilvl="4" w:tplc="AD307B56">
      <w:numFmt w:val="bullet"/>
      <w:lvlText w:val="•"/>
      <w:lvlJc w:val="left"/>
      <w:pPr>
        <w:ind w:left="4456" w:hanging="245"/>
      </w:pPr>
      <w:rPr>
        <w:rFonts w:hint="default"/>
        <w:lang w:val="en-US" w:eastAsia="en-US" w:bidi="ar-SA"/>
      </w:rPr>
    </w:lvl>
    <w:lvl w:ilvl="5" w:tplc="074C499A">
      <w:numFmt w:val="bullet"/>
      <w:lvlText w:val="•"/>
      <w:lvlJc w:val="left"/>
      <w:pPr>
        <w:ind w:left="5360" w:hanging="245"/>
      </w:pPr>
      <w:rPr>
        <w:rFonts w:hint="default"/>
        <w:lang w:val="en-US" w:eastAsia="en-US" w:bidi="ar-SA"/>
      </w:rPr>
    </w:lvl>
    <w:lvl w:ilvl="6" w:tplc="18E69990">
      <w:numFmt w:val="bullet"/>
      <w:lvlText w:val="•"/>
      <w:lvlJc w:val="left"/>
      <w:pPr>
        <w:ind w:left="6264" w:hanging="245"/>
      </w:pPr>
      <w:rPr>
        <w:rFonts w:hint="default"/>
        <w:lang w:val="en-US" w:eastAsia="en-US" w:bidi="ar-SA"/>
      </w:rPr>
    </w:lvl>
    <w:lvl w:ilvl="7" w:tplc="8E524946">
      <w:numFmt w:val="bullet"/>
      <w:lvlText w:val="•"/>
      <w:lvlJc w:val="left"/>
      <w:pPr>
        <w:ind w:left="7168" w:hanging="245"/>
      </w:pPr>
      <w:rPr>
        <w:rFonts w:hint="default"/>
        <w:lang w:val="en-US" w:eastAsia="en-US" w:bidi="ar-SA"/>
      </w:rPr>
    </w:lvl>
    <w:lvl w:ilvl="8" w:tplc="51EE7764">
      <w:numFmt w:val="bullet"/>
      <w:lvlText w:val="•"/>
      <w:lvlJc w:val="left"/>
      <w:pPr>
        <w:ind w:left="8072" w:hanging="245"/>
      </w:pPr>
      <w:rPr>
        <w:rFonts w:hint="default"/>
        <w:lang w:val="en-US" w:eastAsia="en-US" w:bidi="ar-SA"/>
      </w:rPr>
    </w:lvl>
  </w:abstractNum>
  <w:abstractNum w:abstractNumId="3" w15:restartNumberingAfterBreak="0">
    <w:nsid w:val="2C197A0B"/>
    <w:multiLevelType w:val="hybridMultilevel"/>
    <w:tmpl w:val="613A6B66"/>
    <w:lvl w:ilvl="0" w:tplc="4BB4B74C">
      <w:start w:val="8"/>
      <w:numFmt w:val="decimal"/>
      <w:lvlText w:val="(%1)"/>
      <w:lvlJc w:val="left"/>
      <w:pPr>
        <w:ind w:left="353" w:hanging="1104"/>
      </w:pPr>
      <w:rPr>
        <w:rFonts w:ascii="Times New Roman" w:eastAsia="Century Gothic" w:hAnsi="Times New Roman" w:cs="Times New Roman" w:hint="default"/>
        <w:b w:val="0"/>
        <w:bCs w:val="0"/>
        <w:i w:val="0"/>
        <w:iCs w:val="0"/>
        <w:spacing w:val="0"/>
        <w:w w:val="100"/>
        <w:sz w:val="20"/>
        <w:szCs w:val="20"/>
        <w:lang w:val="en-US" w:eastAsia="en-US" w:bidi="ar-SA"/>
      </w:rPr>
    </w:lvl>
    <w:lvl w:ilvl="1" w:tplc="092AEB86">
      <w:start w:val="1"/>
      <w:numFmt w:val="decimal"/>
      <w:lvlText w:val="%2."/>
      <w:lvlJc w:val="left"/>
      <w:pPr>
        <w:ind w:left="965" w:hanging="329"/>
      </w:pPr>
      <w:rPr>
        <w:rFonts w:ascii="Times New Roman" w:eastAsia="Century Gothic" w:hAnsi="Times New Roman" w:cs="Times New Roman" w:hint="default"/>
        <w:b w:val="0"/>
        <w:bCs w:val="0"/>
        <w:i w:val="0"/>
        <w:iCs w:val="0"/>
        <w:spacing w:val="0"/>
        <w:w w:val="100"/>
        <w:sz w:val="20"/>
        <w:szCs w:val="20"/>
        <w:lang w:val="en-US" w:eastAsia="en-US" w:bidi="ar-SA"/>
      </w:rPr>
    </w:lvl>
    <w:lvl w:ilvl="2" w:tplc="98964A56">
      <w:start w:val="1"/>
      <w:numFmt w:val="lowerLetter"/>
      <w:lvlText w:val="%3)"/>
      <w:lvlJc w:val="left"/>
      <w:pPr>
        <w:ind w:left="1685" w:hanging="360"/>
      </w:pPr>
      <w:rPr>
        <w:rFonts w:ascii="Times New Roman" w:eastAsia="Century Gothic" w:hAnsi="Times New Roman" w:cs="Times New Roman" w:hint="default"/>
        <w:b w:val="0"/>
        <w:bCs w:val="0"/>
        <w:i w:val="0"/>
        <w:iCs w:val="0"/>
        <w:w w:val="100"/>
        <w:sz w:val="20"/>
        <w:szCs w:val="20"/>
        <w:lang w:val="en-US" w:eastAsia="en-US" w:bidi="ar-SA"/>
      </w:rPr>
    </w:lvl>
    <w:lvl w:ilvl="3" w:tplc="6F269EE8">
      <w:numFmt w:val="bullet"/>
      <w:lvlText w:val="•"/>
      <w:lvlJc w:val="left"/>
      <w:pPr>
        <w:ind w:left="2663" w:hanging="360"/>
      </w:pPr>
      <w:rPr>
        <w:rFonts w:hint="default"/>
        <w:lang w:val="en-US" w:eastAsia="en-US" w:bidi="ar-SA"/>
      </w:rPr>
    </w:lvl>
    <w:lvl w:ilvl="4" w:tplc="BF42E5AC">
      <w:numFmt w:val="bullet"/>
      <w:lvlText w:val="•"/>
      <w:lvlJc w:val="left"/>
      <w:pPr>
        <w:ind w:left="3648" w:hanging="360"/>
      </w:pPr>
      <w:rPr>
        <w:rFonts w:hint="default"/>
        <w:lang w:val="en-US" w:eastAsia="en-US" w:bidi="ar-SA"/>
      </w:rPr>
    </w:lvl>
    <w:lvl w:ilvl="5" w:tplc="A268DE3C">
      <w:numFmt w:val="bullet"/>
      <w:lvlText w:val="•"/>
      <w:lvlJc w:val="left"/>
      <w:pPr>
        <w:ind w:left="4633" w:hanging="360"/>
      </w:pPr>
      <w:rPr>
        <w:rFonts w:hint="default"/>
        <w:lang w:val="en-US" w:eastAsia="en-US" w:bidi="ar-SA"/>
      </w:rPr>
    </w:lvl>
    <w:lvl w:ilvl="6" w:tplc="297E0D9C">
      <w:numFmt w:val="bullet"/>
      <w:lvlText w:val="•"/>
      <w:lvlJc w:val="left"/>
      <w:pPr>
        <w:ind w:left="5618" w:hanging="360"/>
      </w:pPr>
      <w:rPr>
        <w:rFonts w:hint="default"/>
        <w:lang w:val="en-US" w:eastAsia="en-US" w:bidi="ar-SA"/>
      </w:rPr>
    </w:lvl>
    <w:lvl w:ilvl="7" w:tplc="701EC8FA">
      <w:numFmt w:val="bullet"/>
      <w:lvlText w:val="•"/>
      <w:lvlJc w:val="left"/>
      <w:pPr>
        <w:ind w:left="6603" w:hanging="360"/>
      </w:pPr>
      <w:rPr>
        <w:rFonts w:hint="default"/>
        <w:lang w:val="en-US" w:eastAsia="en-US" w:bidi="ar-SA"/>
      </w:rPr>
    </w:lvl>
    <w:lvl w:ilvl="8" w:tplc="97866358">
      <w:numFmt w:val="bullet"/>
      <w:lvlText w:val="•"/>
      <w:lvlJc w:val="left"/>
      <w:pPr>
        <w:ind w:left="7588" w:hanging="360"/>
      </w:pPr>
      <w:rPr>
        <w:rFonts w:hint="default"/>
        <w:lang w:val="en-US" w:eastAsia="en-US" w:bidi="ar-SA"/>
      </w:rPr>
    </w:lvl>
  </w:abstractNum>
  <w:abstractNum w:abstractNumId="4" w15:restartNumberingAfterBreak="0">
    <w:nsid w:val="379D39E3"/>
    <w:multiLevelType w:val="hybridMultilevel"/>
    <w:tmpl w:val="1524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F03CCE"/>
    <w:multiLevelType w:val="hybridMultilevel"/>
    <w:tmpl w:val="CDE2E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91CF3"/>
    <w:multiLevelType w:val="hybridMultilevel"/>
    <w:tmpl w:val="9C6680DA"/>
    <w:lvl w:ilvl="0" w:tplc="D2BAC8A8">
      <w:start w:val="1"/>
      <w:numFmt w:val="decimal"/>
      <w:lvlText w:val="%1"/>
      <w:lvlJc w:val="left"/>
      <w:pPr>
        <w:ind w:left="100" w:hanging="111"/>
      </w:pPr>
      <w:rPr>
        <w:rFonts w:ascii="Calibri" w:eastAsia="Calibri" w:hAnsi="Calibri" w:cs="Calibri" w:hint="default"/>
        <w:b w:val="0"/>
        <w:bCs w:val="0"/>
        <w:i w:val="0"/>
        <w:iCs w:val="0"/>
        <w:w w:val="99"/>
        <w:position w:val="8"/>
        <w:sz w:val="14"/>
        <w:szCs w:val="14"/>
        <w:lang w:val="en-US" w:eastAsia="en-US" w:bidi="ar-SA"/>
      </w:rPr>
    </w:lvl>
    <w:lvl w:ilvl="1" w:tplc="5030A832">
      <w:start w:val="1"/>
      <w:numFmt w:val="decimal"/>
      <w:lvlText w:val="%2)"/>
      <w:lvlJc w:val="left"/>
      <w:pPr>
        <w:ind w:left="820" w:hanging="360"/>
      </w:pPr>
      <w:rPr>
        <w:rFonts w:ascii="Tahoma" w:eastAsia="Tahoma" w:hAnsi="Tahoma" w:cs="Tahoma" w:hint="default"/>
        <w:b w:val="0"/>
        <w:bCs w:val="0"/>
        <w:i w:val="0"/>
        <w:iCs w:val="0"/>
        <w:w w:val="91"/>
        <w:sz w:val="24"/>
        <w:szCs w:val="24"/>
        <w:lang w:val="en-US" w:eastAsia="en-US" w:bidi="ar-SA"/>
      </w:rPr>
    </w:lvl>
    <w:lvl w:ilvl="2" w:tplc="34C25EB4">
      <w:numFmt w:val="bullet"/>
      <w:lvlText w:val="•"/>
      <w:lvlJc w:val="left"/>
      <w:pPr>
        <w:ind w:left="1793" w:hanging="360"/>
      </w:pPr>
      <w:rPr>
        <w:rFonts w:hint="default"/>
        <w:lang w:val="en-US" w:eastAsia="en-US" w:bidi="ar-SA"/>
      </w:rPr>
    </w:lvl>
    <w:lvl w:ilvl="3" w:tplc="BBDC8298">
      <w:numFmt w:val="bullet"/>
      <w:lvlText w:val="•"/>
      <w:lvlJc w:val="left"/>
      <w:pPr>
        <w:ind w:left="2766" w:hanging="360"/>
      </w:pPr>
      <w:rPr>
        <w:rFonts w:hint="default"/>
        <w:lang w:val="en-US" w:eastAsia="en-US" w:bidi="ar-SA"/>
      </w:rPr>
    </w:lvl>
    <w:lvl w:ilvl="4" w:tplc="96282AA4">
      <w:numFmt w:val="bullet"/>
      <w:lvlText w:val="•"/>
      <w:lvlJc w:val="left"/>
      <w:pPr>
        <w:ind w:left="3740" w:hanging="360"/>
      </w:pPr>
      <w:rPr>
        <w:rFonts w:hint="default"/>
        <w:lang w:val="en-US" w:eastAsia="en-US" w:bidi="ar-SA"/>
      </w:rPr>
    </w:lvl>
    <w:lvl w:ilvl="5" w:tplc="2CC01312">
      <w:numFmt w:val="bullet"/>
      <w:lvlText w:val="•"/>
      <w:lvlJc w:val="left"/>
      <w:pPr>
        <w:ind w:left="4713" w:hanging="360"/>
      </w:pPr>
      <w:rPr>
        <w:rFonts w:hint="default"/>
        <w:lang w:val="en-US" w:eastAsia="en-US" w:bidi="ar-SA"/>
      </w:rPr>
    </w:lvl>
    <w:lvl w:ilvl="6" w:tplc="1B62F166">
      <w:numFmt w:val="bullet"/>
      <w:lvlText w:val="•"/>
      <w:lvlJc w:val="left"/>
      <w:pPr>
        <w:ind w:left="5686" w:hanging="360"/>
      </w:pPr>
      <w:rPr>
        <w:rFonts w:hint="default"/>
        <w:lang w:val="en-US" w:eastAsia="en-US" w:bidi="ar-SA"/>
      </w:rPr>
    </w:lvl>
    <w:lvl w:ilvl="7" w:tplc="86BC3E42">
      <w:numFmt w:val="bullet"/>
      <w:lvlText w:val="•"/>
      <w:lvlJc w:val="left"/>
      <w:pPr>
        <w:ind w:left="6660" w:hanging="360"/>
      </w:pPr>
      <w:rPr>
        <w:rFonts w:hint="default"/>
        <w:lang w:val="en-US" w:eastAsia="en-US" w:bidi="ar-SA"/>
      </w:rPr>
    </w:lvl>
    <w:lvl w:ilvl="8" w:tplc="BA2EF464">
      <w:numFmt w:val="bullet"/>
      <w:lvlText w:val="•"/>
      <w:lvlJc w:val="left"/>
      <w:pPr>
        <w:ind w:left="7633" w:hanging="360"/>
      </w:pPr>
      <w:rPr>
        <w:rFonts w:hint="default"/>
        <w:lang w:val="en-US" w:eastAsia="en-US" w:bidi="ar-SA"/>
      </w:rPr>
    </w:lvl>
  </w:abstractNum>
  <w:abstractNum w:abstractNumId="7" w15:restartNumberingAfterBreak="0">
    <w:nsid w:val="443D2336"/>
    <w:multiLevelType w:val="hybridMultilevel"/>
    <w:tmpl w:val="1A826E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5141C4"/>
    <w:multiLevelType w:val="hybridMultilevel"/>
    <w:tmpl w:val="83D4C2F0"/>
    <w:lvl w:ilvl="0" w:tplc="EDD6F310">
      <w:numFmt w:val="bullet"/>
      <w:lvlText w:val="●"/>
      <w:lvlJc w:val="left"/>
      <w:pPr>
        <w:ind w:left="820" w:hanging="360"/>
      </w:pPr>
      <w:rPr>
        <w:rFonts w:ascii="Calibri" w:eastAsia="Calibri" w:hAnsi="Calibri" w:cs="Calibri" w:hint="default"/>
        <w:b w:val="0"/>
        <w:bCs w:val="0"/>
        <w:i w:val="0"/>
        <w:iCs w:val="0"/>
        <w:w w:val="100"/>
        <w:sz w:val="24"/>
        <w:szCs w:val="24"/>
        <w:lang w:val="en-US" w:eastAsia="en-US" w:bidi="ar-SA"/>
      </w:rPr>
    </w:lvl>
    <w:lvl w:ilvl="1" w:tplc="496400A2">
      <w:numFmt w:val="bullet"/>
      <w:lvlText w:val="•"/>
      <w:lvlJc w:val="left"/>
      <w:pPr>
        <w:ind w:left="1696" w:hanging="360"/>
      </w:pPr>
      <w:rPr>
        <w:rFonts w:hint="default"/>
        <w:lang w:val="en-US" w:eastAsia="en-US" w:bidi="ar-SA"/>
      </w:rPr>
    </w:lvl>
    <w:lvl w:ilvl="2" w:tplc="A9E414A0">
      <w:numFmt w:val="bullet"/>
      <w:lvlText w:val="•"/>
      <w:lvlJc w:val="left"/>
      <w:pPr>
        <w:ind w:left="2572" w:hanging="360"/>
      </w:pPr>
      <w:rPr>
        <w:rFonts w:hint="default"/>
        <w:lang w:val="en-US" w:eastAsia="en-US" w:bidi="ar-SA"/>
      </w:rPr>
    </w:lvl>
    <w:lvl w:ilvl="3" w:tplc="9DD6C660">
      <w:numFmt w:val="bullet"/>
      <w:lvlText w:val="•"/>
      <w:lvlJc w:val="left"/>
      <w:pPr>
        <w:ind w:left="3448" w:hanging="360"/>
      </w:pPr>
      <w:rPr>
        <w:rFonts w:hint="default"/>
        <w:lang w:val="en-US" w:eastAsia="en-US" w:bidi="ar-SA"/>
      </w:rPr>
    </w:lvl>
    <w:lvl w:ilvl="4" w:tplc="08D894F4">
      <w:numFmt w:val="bullet"/>
      <w:lvlText w:val="•"/>
      <w:lvlJc w:val="left"/>
      <w:pPr>
        <w:ind w:left="4324" w:hanging="360"/>
      </w:pPr>
      <w:rPr>
        <w:rFonts w:hint="default"/>
        <w:lang w:val="en-US" w:eastAsia="en-US" w:bidi="ar-SA"/>
      </w:rPr>
    </w:lvl>
    <w:lvl w:ilvl="5" w:tplc="D5164B5A">
      <w:numFmt w:val="bullet"/>
      <w:lvlText w:val="•"/>
      <w:lvlJc w:val="left"/>
      <w:pPr>
        <w:ind w:left="5200" w:hanging="360"/>
      </w:pPr>
      <w:rPr>
        <w:rFonts w:hint="default"/>
        <w:lang w:val="en-US" w:eastAsia="en-US" w:bidi="ar-SA"/>
      </w:rPr>
    </w:lvl>
    <w:lvl w:ilvl="6" w:tplc="1D9C30A2">
      <w:numFmt w:val="bullet"/>
      <w:lvlText w:val="•"/>
      <w:lvlJc w:val="left"/>
      <w:pPr>
        <w:ind w:left="6076" w:hanging="360"/>
      </w:pPr>
      <w:rPr>
        <w:rFonts w:hint="default"/>
        <w:lang w:val="en-US" w:eastAsia="en-US" w:bidi="ar-SA"/>
      </w:rPr>
    </w:lvl>
    <w:lvl w:ilvl="7" w:tplc="1188051C">
      <w:numFmt w:val="bullet"/>
      <w:lvlText w:val="•"/>
      <w:lvlJc w:val="left"/>
      <w:pPr>
        <w:ind w:left="6952" w:hanging="360"/>
      </w:pPr>
      <w:rPr>
        <w:rFonts w:hint="default"/>
        <w:lang w:val="en-US" w:eastAsia="en-US" w:bidi="ar-SA"/>
      </w:rPr>
    </w:lvl>
    <w:lvl w:ilvl="8" w:tplc="59D6F324">
      <w:numFmt w:val="bullet"/>
      <w:lvlText w:val="•"/>
      <w:lvlJc w:val="left"/>
      <w:pPr>
        <w:ind w:left="7828" w:hanging="360"/>
      </w:pPr>
      <w:rPr>
        <w:rFonts w:hint="default"/>
        <w:lang w:val="en-US" w:eastAsia="en-US" w:bidi="ar-SA"/>
      </w:rPr>
    </w:lvl>
  </w:abstractNum>
  <w:abstractNum w:abstractNumId="9" w15:restartNumberingAfterBreak="0">
    <w:nsid w:val="58DC2A03"/>
    <w:multiLevelType w:val="hybridMultilevel"/>
    <w:tmpl w:val="035C27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B940206"/>
    <w:multiLevelType w:val="hybridMultilevel"/>
    <w:tmpl w:val="AFB2B4BC"/>
    <w:lvl w:ilvl="0" w:tplc="3DA8E240">
      <w:numFmt w:val="bullet"/>
      <w:lvlText w:val=""/>
      <w:lvlJc w:val="left"/>
      <w:pPr>
        <w:ind w:left="836" w:hanging="360"/>
      </w:pPr>
      <w:rPr>
        <w:rFonts w:ascii="Symbol" w:eastAsia="Symbol" w:hAnsi="Symbol" w:cs="Symbol" w:hint="default"/>
        <w:b w:val="0"/>
        <w:bCs w:val="0"/>
        <w:i w:val="0"/>
        <w:iCs w:val="0"/>
        <w:w w:val="99"/>
        <w:sz w:val="20"/>
        <w:szCs w:val="20"/>
        <w:lang w:val="en-US" w:eastAsia="en-US" w:bidi="ar-SA"/>
      </w:rPr>
    </w:lvl>
    <w:lvl w:ilvl="1" w:tplc="6C3A47CA">
      <w:numFmt w:val="bullet"/>
      <w:lvlText w:val="•"/>
      <w:lvlJc w:val="left"/>
      <w:pPr>
        <w:ind w:left="1744" w:hanging="360"/>
      </w:pPr>
      <w:rPr>
        <w:rFonts w:hint="default"/>
        <w:lang w:val="en-US" w:eastAsia="en-US" w:bidi="ar-SA"/>
      </w:rPr>
    </w:lvl>
    <w:lvl w:ilvl="2" w:tplc="A17ED432">
      <w:numFmt w:val="bullet"/>
      <w:lvlText w:val="•"/>
      <w:lvlJc w:val="left"/>
      <w:pPr>
        <w:ind w:left="2648" w:hanging="360"/>
      </w:pPr>
      <w:rPr>
        <w:rFonts w:hint="default"/>
        <w:lang w:val="en-US" w:eastAsia="en-US" w:bidi="ar-SA"/>
      </w:rPr>
    </w:lvl>
    <w:lvl w:ilvl="3" w:tplc="3A38BF6C">
      <w:numFmt w:val="bullet"/>
      <w:lvlText w:val="•"/>
      <w:lvlJc w:val="left"/>
      <w:pPr>
        <w:ind w:left="3552" w:hanging="360"/>
      </w:pPr>
      <w:rPr>
        <w:rFonts w:hint="default"/>
        <w:lang w:val="en-US" w:eastAsia="en-US" w:bidi="ar-SA"/>
      </w:rPr>
    </w:lvl>
    <w:lvl w:ilvl="4" w:tplc="30463D02">
      <w:numFmt w:val="bullet"/>
      <w:lvlText w:val="•"/>
      <w:lvlJc w:val="left"/>
      <w:pPr>
        <w:ind w:left="4456" w:hanging="360"/>
      </w:pPr>
      <w:rPr>
        <w:rFonts w:hint="default"/>
        <w:lang w:val="en-US" w:eastAsia="en-US" w:bidi="ar-SA"/>
      </w:rPr>
    </w:lvl>
    <w:lvl w:ilvl="5" w:tplc="D3F2934A">
      <w:numFmt w:val="bullet"/>
      <w:lvlText w:val="•"/>
      <w:lvlJc w:val="left"/>
      <w:pPr>
        <w:ind w:left="5360" w:hanging="360"/>
      </w:pPr>
      <w:rPr>
        <w:rFonts w:hint="default"/>
        <w:lang w:val="en-US" w:eastAsia="en-US" w:bidi="ar-SA"/>
      </w:rPr>
    </w:lvl>
    <w:lvl w:ilvl="6" w:tplc="FB6AD740">
      <w:numFmt w:val="bullet"/>
      <w:lvlText w:val="•"/>
      <w:lvlJc w:val="left"/>
      <w:pPr>
        <w:ind w:left="6264" w:hanging="360"/>
      </w:pPr>
      <w:rPr>
        <w:rFonts w:hint="default"/>
        <w:lang w:val="en-US" w:eastAsia="en-US" w:bidi="ar-SA"/>
      </w:rPr>
    </w:lvl>
    <w:lvl w:ilvl="7" w:tplc="46D02326">
      <w:numFmt w:val="bullet"/>
      <w:lvlText w:val="•"/>
      <w:lvlJc w:val="left"/>
      <w:pPr>
        <w:ind w:left="7168" w:hanging="360"/>
      </w:pPr>
      <w:rPr>
        <w:rFonts w:hint="default"/>
        <w:lang w:val="en-US" w:eastAsia="en-US" w:bidi="ar-SA"/>
      </w:rPr>
    </w:lvl>
    <w:lvl w:ilvl="8" w:tplc="E9C022BE">
      <w:numFmt w:val="bullet"/>
      <w:lvlText w:val="•"/>
      <w:lvlJc w:val="left"/>
      <w:pPr>
        <w:ind w:left="8072" w:hanging="360"/>
      </w:pPr>
      <w:rPr>
        <w:rFonts w:hint="default"/>
        <w:lang w:val="en-US" w:eastAsia="en-US" w:bidi="ar-SA"/>
      </w:rPr>
    </w:lvl>
  </w:abstractNum>
  <w:abstractNum w:abstractNumId="11" w15:restartNumberingAfterBreak="0">
    <w:nsid w:val="5EA0723A"/>
    <w:multiLevelType w:val="hybridMultilevel"/>
    <w:tmpl w:val="B5C83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E1024E"/>
    <w:multiLevelType w:val="hybridMultilevel"/>
    <w:tmpl w:val="538C9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CF1C7F"/>
    <w:multiLevelType w:val="hybridMultilevel"/>
    <w:tmpl w:val="7374C3C4"/>
    <w:lvl w:ilvl="0" w:tplc="EDEAD832">
      <w:start w:val="9"/>
      <w:numFmt w:val="lowerLetter"/>
      <w:lvlText w:val="(%1)"/>
      <w:lvlJc w:val="left"/>
      <w:pPr>
        <w:ind w:left="836" w:hanging="245"/>
      </w:pPr>
      <w:rPr>
        <w:rFonts w:ascii="Century Gothic" w:eastAsia="Century Gothic" w:hAnsi="Century Gothic" w:cs="Century Gothic" w:hint="default"/>
        <w:b w:val="0"/>
        <w:bCs w:val="0"/>
        <w:i w:val="0"/>
        <w:iCs w:val="0"/>
        <w:w w:val="100"/>
        <w:sz w:val="20"/>
        <w:szCs w:val="20"/>
        <w:lang w:val="en-US" w:eastAsia="en-US" w:bidi="ar-SA"/>
      </w:rPr>
    </w:lvl>
    <w:lvl w:ilvl="1" w:tplc="209C611E">
      <w:numFmt w:val="bullet"/>
      <w:lvlText w:val="•"/>
      <w:lvlJc w:val="left"/>
      <w:pPr>
        <w:ind w:left="1744" w:hanging="245"/>
      </w:pPr>
      <w:rPr>
        <w:rFonts w:hint="default"/>
        <w:lang w:val="en-US" w:eastAsia="en-US" w:bidi="ar-SA"/>
      </w:rPr>
    </w:lvl>
    <w:lvl w:ilvl="2" w:tplc="3BF6C9C4">
      <w:numFmt w:val="bullet"/>
      <w:lvlText w:val="•"/>
      <w:lvlJc w:val="left"/>
      <w:pPr>
        <w:ind w:left="2648" w:hanging="245"/>
      </w:pPr>
      <w:rPr>
        <w:rFonts w:hint="default"/>
        <w:lang w:val="en-US" w:eastAsia="en-US" w:bidi="ar-SA"/>
      </w:rPr>
    </w:lvl>
    <w:lvl w:ilvl="3" w:tplc="E7E2507A">
      <w:numFmt w:val="bullet"/>
      <w:lvlText w:val="•"/>
      <w:lvlJc w:val="left"/>
      <w:pPr>
        <w:ind w:left="3552" w:hanging="245"/>
      </w:pPr>
      <w:rPr>
        <w:rFonts w:hint="default"/>
        <w:lang w:val="en-US" w:eastAsia="en-US" w:bidi="ar-SA"/>
      </w:rPr>
    </w:lvl>
    <w:lvl w:ilvl="4" w:tplc="AD307B56">
      <w:numFmt w:val="bullet"/>
      <w:lvlText w:val="•"/>
      <w:lvlJc w:val="left"/>
      <w:pPr>
        <w:ind w:left="4456" w:hanging="245"/>
      </w:pPr>
      <w:rPr>
        <w:rFonts w:hint="default"/>
        <w:lang w:val="en-US" w:eastAsia="en-US" w:bidi="ar-SA"/>
      </w:rPr>
    </w:lvl>
    <w:lvl w:ilvl="5" w:tplc="074C499A">
      <w:numFmt w:val="bullet"/>
      <w:lvlText w:val="•"/>
      <w:lvlJc w:val="left"/>
      <w:pPr>
        <w:ind w:left="5360" w:hanging="245"/>
      </w:pPr>
      <w:rPr>
        <w:rFonts w:hint="default"/>
        <w:lang w:val="en-US" w:eastAsia="en-US" w:bidi="ar-SA"/>
      </w:rPr>
    </w:lvl>
    <w:lvl w:ilvl="6" w:tplc="18E69990">
      <w:numFmt w:val="bullet"/>
      <w:lvlText w:val="•"/>
      <w:lvlJc w:val="left"/>
      <w:pPr>
        <w:ind w:left="6264" w:hanging="245"/>
      </w:pPr>
      <w:rPr>
        <w:rFonts w:hint="default"/>
        <w:lang w:val="en-US" w:eastAsia="en-US" w:bidi="ar-SA"/>
      </w:rPr>
    </w:lvl>
    <w:lvl w:ilvl="7" w:tplc="8E524946">
      <w:numFmt w:val="bullet"/>
      <w:lvlText w:val="•"/>
      <w:lvlJc w:val="left"/>
      <w:pPr>
        <w:ind w:left="7168" w:hanging="245"/>
      </w:pPr>
      <w:rPr>
        <w:rFonts w:hint="default"/>
        <w:lang w:val="en-US" w:eastAsia="en-US" w:bidi="ar-SA"/>
      </w:rPr>
    </w:lvl>
    <w:lvl w:ilvl="8" w:tplc="51EE7764">
      <w:numFmt w:val="bullet"/>
      <w:lvlText w:val="•"/>
      <w:lvlJc w:val="left"/>
      <w:pPr>
        <w:ind w:left="8072" w:hanging="245"/>
      </w:pPr>
      <w:rPr>
        <w:rFonts w:hint="default"/>
        <w:lang w:val="en-US" w:eastAsia="en-US" w:bidi="ar-SA"/>
      </w:rPr>
    </w:lvl>
  </w:abstractNum>
  <w:abstractNum w:abstractNumId="14" w15:restartNumberingAfterBreak="0">
    <w:nsid w:val="70413ADF"/>
    <w:multiLevelType w:val="hybridMultilevel"/>
    <w:tmpl w:val="F644388C"/>
    <w:lvl w:ilvl="0" w:tplc="388480A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611305"/>
    <w:multiLevelType w:val="hybridMultilevel"/>
    <w:tmpl w:val="076862F6"/>
    <w:lvl w:ilvl="0" w:tplc="C2D056E2">
      <w:start w:val="4"/>
      <w:numFmt w:val="lowerLetter"/>
      <w:lvlText w:val="(%1)"/>
      <w:lvlJc w:val="left"/>
      <w:pPr>
        <w:ind w:left="836" w:hanging="341"/>
      </w:pPr>
      <w:rPr>
        <w:rFonts w:ascii="Times New Roman" w:eastAsia="Century Gothic" w:hAnsi="Times New Roman" w:cs="Times New Roman" w:hint="default"/>
        <w:b w:val="0"/>
        <w:bCs w:val="0"/>
        <w:i w:val="0"/>
        <w:iCs w:val="0"/>
        <w:spacing w:val="0"/>
        <w:w w:val="100"/>
        <w:sz w:val="20"/>
        <w:szCs w:val="20"/>
        <w:lang w:val="en-US" w:eastAsia="en-US" w:bidi="ar-SA"/>
      </w:rPr>
    </w:lvl>
    <w:lvl w:ilvl="1" w:tplc="03040722">
      <w:start w:val="1"/>
      <w:numFmt w:val="decimal"/>
      <w:lvlText w:val="%2."/>
      <w:lvlJc w:val="left"/>
      <w:pPr>
        <w:ind w:left="1556" w:hanging="360"/>
      </w:pPr>
      <w:rPr>
        <w:rFonts w:ascii="Times New Roman" w:eastAsia="Century Gothic" w:hAnsi="Times New Roman" w:cs="Times New Roman" w:hint="default"/>
        <w:b w:val="0"/>
        <w:bCs w:val="0"/>
        <w:i w:val="0"/>
        <w:iCs w:val="0"/>
        <w:w w:val="100"/>
        <w:sz w:val="20"/>
        <w:szCs w:val="20"/>
        <w:lang w:val="en-US" w:eastAsia="en-US" w:bidi="ar-SA"/>
      </w:rPr>
    </w:lvl>
    <w:lvl w:ilvl="2" w:tplc="E748702A">
      <w:numFmt w:val="bullet"/>
      <w:lvlText w:val="•"/>
      <w:lvlJc w:val="left"/>
      <w:pPr>
        <w:ind w:left="2484" w:hanging="360"/>
      </w:pPr>
      <w:rPr>
        <w:rFonts w:hint="default"/>
        <w:lang w:val="en-US" w:eastAsia="en-US" w:bidi="ar-SA"/>
      </w:rPr>
    </w:lvl>
    <w:lvl w:ilvl="3" w:tplc="7AC0BD7A">
      <w:numFmt w:val="bullet"/>
      <w:lvlText w:val="•"/>
      <w:lvlJc w:val="left"/>
      <w:pPr>
        <w:ind w:left="3408" w:hanging="360"/>
      </w:pPr>
      <w:rPr>
        <w:rFonts w:hint="default"/>
        <w:lang w:val="en-US" w:eastAsia="en-US" w:bidi="ar-SA"/>
      </w:rPr>
    </w:lvl>
    <w:lvl w:ilvl="4" w:tplc="7BF04136">
      <w:numFmt w:val="bullet"/>
      <w:lvlText w:val="•"/>
      <w:lvlJc w:val="left"/>
      <w:pPr>
        <w:ind w:left="4333" w:hanging="360"/>
      </w:pPr>
      <w:rPr>
        <w:rFonts w:hint="default"/>
        <w:lang w:val="en-US" w:eastAsia="en-US" w:bidi="ar-SA"/>
      </w:rPr>
    </w:lvl>
    <w:lvl w:ilvl="5" w:tplc="FFD4F2EA">
      <w:numFmt w:val="bullet"/>
      <w:lvlText w:val="•"/>
      <w:lvlJc w:val="left"/>
      <w:pPr>
        <w:ind w:left="5257" w:hanging="360"/>
      </w:pPr>
      <w:rPr>
        <w:rFonts w:hint="default"/>
        <w:lang w:val="en-US" w:eastAsia="en-US" w:bidi="ar-SA"/>
      </w:rPr>
    </w:lvl>
    <w:lvl w:ilvl="6" w:tplc="A93CEBF8">
      <w:numFmt w:val="bullet"/>
      <w:lvlText w:val="•"/>
      <w:lvlJc w:val="left"/>
      <w:pPr>
        <w:ind w:left="6182" w:hanging="360"/>
      </w:pPr>
      <w:rPr>
        <w:rFonts w:hint="default"/>
        <w:lang w:val="en-US" w:eastAsia="en-US" w:bidi="ar-SA"/>
      </w:rPr>
    </w:lvl>
    <w:lvl w:ilvl="7" w:tplc="4C62A294">
      <w:numFmt w:val="bullet"/>
      <w:lvlText w:val="•"/>
      <w:lvlJc w:val="left"/>
      <w:pPr>
        <w:ind w:left="7106" w:hanging="360"/>
      </w:pPr>
      <w:rPr>
        <w:rFonts w:hint="default"/>
        <w:lang w:val="en-US" w:eastAsia="en-US" w:bidi="ar-SA"/>
      </w:rPr>
    </w:lvl>
    <w:lvl w:ilvl="8" w:tplc="7C1E1EEA">
      <w:numFmt w:val="bullet"/>
      <w:lvlText w:val="•"/>
      <w:lvlJc w:val="left"/>
      <w:pPr>
        <w:ind w:left="8031" w:hanging="360"/>
      </w:pPr>
      <w:rPr>
        <w:rFonts w:hint="default"/>
        <w:lang w:val="en-US" w:eastAsia="en-US" w:bidi="ar-SA"/>
      </w:rPr>
    </w:lvl>
  </w:abstractNum>
  <w:num w:numId="1">
    <w:abstractNumId w:val="5"/>
  </w:num>
  <w:num w:numId="2">
    <w:abstractNumId w:val="12"/>
  </w:num>
  <w:num w:numId="3">
    <w:abstractNumId w:val="14"/>
  </w:num>
  <w:num w:numId="4">
    <w:abstractNumId w:val="1"/>
  </w:num>
  <w:num w:numId="5">
    <w:abstractNumId w:val="3"/>
  </w:num>
  <w:num w:numId="6">
    <w:abstractNumId w:val="10"/>
  </w:num>
  <w:num w:numId="7">
    <w:abstractNumId w:val="2"/>
  </w:num>
  <w:num w:numId="8">
    <w:abstractNumId w:val="13"/>
  </w:num>
  <w:num w:numId="9">
    <w:abstractNumId w:val="15"/>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9"/>
  </w:num>
  <w:num w:numId="14">
    <w:abstractNumId w:val="11"/>
  </w:num>
  <w:num w:numId="15">
    <w:abstractNumId w:val="6"/>
  </w:num>
  <w:num w:numId="16">
    <w:abstractNumId w:val="8"/>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885"/>
    <w:rsid w:val="0007163A"/>
    <w:rsid w:val="000C7A24"/>
    <w:rsid w:val="000D1AE6"/>
    <w:rsid w:val="000D4499"/>
    <w:rsid w:val="000E0757"/>
    <w:rsid w:val="00100D2C"/>
    <w:rsid w:val="00101090"/>
    <w:rsid w:val="00110B2A"/>
    <w:rsid w:val="001201A9"/>
    <w:rsid w:val="0014025F"/>
    <w:rsid w:val="00152535"/>
    <w:rsid w:val="001553A4"/>
    <w:rsid w:val="00156BDF"/>
    <w:rsid w:val="001669BC"/>
    <w:rsid w:val="00186439"/>
    <w:rsid w:val="001B2DD4"/>
    <w:rsid w:val="001D0925"/>
    <w:rsid w:val="00200797"/>
    <w:rsid w:val="00206771"/>
    <w:rsid w:val="002168FC"/>
    <w:rsid w:val="00217D49"/>
    <w:rsid w:val="0024317E"/>
    <w:rsid w:val="002569BE"/>
    <w:rsid w:val="00257151"/>
    <w:rsid w:val="0026004C"/>
    <w:rsid w:val="00266FC6"/>
    <w:rsid w:val="00276360"/>
    <w:rsid w:val="002A79CE"/>
    <w:rsid w:val="002B7463"/>
    <w:rsid w:val="002C11DA"/>
    <w:rsid w:val="002C4B10"/>
    <w:rsid w:val="0033568A"/>
    <w:rsid w:val="00357A48"/>
    <w:rsid w:val="00364358"/>
    <w:rsid w:val="00371019"/>
    <w:rsid w:val="00384102"/>
    <w:rsid w:val="003A2A00"/>
    <w:rsid w:val="003A4EF0"/>
    <w:rsid w:val="003C7233"/>
    <w:rsid w:val="003D0ED6"/>
    <w:rsid w:val="003D2BD1"/>
    <w:rsid w:val="003E108E"/>
    <w:rsid w:val="00402C29"/>
    <w:rsid w:val="00407B16"/>
    <w:rsid w:val="00413885"/>
    <w:rsid w:val="00417563"/>
    <w:rsid w:val="00436B26"/>
    <w:rsid w:val="00440E8B"/>
    <w:rsid w:val="00442D2C"/>
    <w:rsid w:val="00444606"/>
    <w:rsid w:val="00460ADC"/>
    <w:rsid w:val="00491995"/>
    <w:rsid w:val="00494BDD"/>
    <w:rsid w:val="004B04E2"/>
    <w:rsid w:val="004B20D7"/>
    <w:rsid w:val="004C3D00"/>
    <w:rsid w:val="00500454"/>
    <w:rsid w:val="0052144B"/>
    <w:rsid w:val="005341EE"/>
    <w:rsid w:val="00563D4D"/>
    <w:rsid w:val="005D2794"/>
    <w:rsid w:val="005F6B68"/>
    <w:rsid w:val="006137D9"/>
    <w:rsid w:val="00622974"/>
    <w:rsid w:val="00644512"/>
    <w:rsid w:val="0068231B"/>
    <w:rsid w:val="006934D9"/>
    <w:rsid w:val="006939BC"/>
    <w:rsid w:val="006B0B91"/>
    <w:rsid w:val="006D47A8"/>
    <w:rsid w:val="006E47AC"/>
    <w:rsid w:val="006F12EE"/>
    <w:rsid w:val="006F1C5B"/>
    <w:rsid w:val="00701B54"/>
    <w:rsid w:val="00701E0F"/>
    <w:rsid w:val="00703BD3"/>
    <w:rsid w:val="007058B6"/>
    <w:rsid w:val="00714A17"/>
    <w:rsid w:val="00733516"/>
    <w:rsid w:val="0074303B"/>
    <w:rsid w:val="00746B36"/>
    <w:rsid w:val="0078083C"/>
    <w:rsid w:val="00793541"/>
    <w:rsid w:val="00793F2D"/>
    <w:rsid w:val="007E4F4F"/>
    <w:rsid w:val="00821EEA"/>
    <w:rsid w:val="00836D85"/>
    <w:rsid w:val="008448F8"/>
    <w:rsid w:val="00872773"/>
    <w:rsid w:val="00894000"/>
    <w:rsid w:val="0089588C"/>
    <w:rsid w:val="008B0462"/>
    <w:rsid w:val="008C339C"/>
    <w:rsid w:val="008D2CE9"/>
    <w:rsid w:val="008E64C7"/>
    <w:rsid w:val="008F05BC"/>
    <w:rsid w:val="008F25A3"/>
    <w:rsid w:val="008F3B08"/>
    <w:rsid w:val="0090516D"/>
    <w:rsid w:val="00923134"/>
    <w:rsid w:val="0092398C"/>
    <w:rsid w:val="009722C9"/>
    <w:rsid w:val="009D1923"/>
    <w:rsid w:val="009D2A9C"/>
    <w:rsid w:val="009E362C"/>
    <w:rsid w:val="00A273F3"/>
    <w:rsid w:val="00A33C70"/>
    <w:rsid w:val="00A5506F"/>
    <w:rsid w:val="00A85397"/>
    <w:rsid w:val="00A948D7"/>
    <w:rsid w:val="00AC1B24"/>
    <w:rsid w:val="00AD5E74"/>
    <w:rsid w:val="00AE34BD"/>
    <w:rsid w:val="00AF076C"/>
    <w:rsid w:val="00AF323D"/>
    <w:rsid w:val="00AF3ED3"/>
    <w:rsid w:val="00B17E03"/>
    <w:rsid w:val="00B20D07"/>
    <w:rsid w:val="00B216AE"/>
    <w:rsid w:val="00B31227"/>
    <w:rsid w:val="00B70D2E"/>
    <w:rsid w:val="00BD177A"/>
    <w:rsid w:val="00BD34AF"/>
    <w:rsid w:val="00BD5317"/>
    <w:rsid w:val="00BD7699"/>
    <w:rsid w:val="00BE13EC"/>
    <w:rsid w:val="00C07B43"/>
    <w:rsid w:val="00C14B1A"/>
    <w:rsid w:val="00C2597D"/>
    <w:rsid w:val="00C32700"/>
    <w:rsid w:val="00C42C09"/>
    <w:rsid w:val="00C47163"/>
    <w:rsid w:val="00C743F5"/>
    <w:rsid w:val="00CC0F9F"/>
    <w:rsid w:val="00CC3467"/>
    <w:rsid w:val="00CF78FF"/>
    <w:rsid w:val="00D02066"/>
    <w:rsid w:val="00D1053E"/>
    <w:rsid w:val="00D16E3D"/>
    <w:rsid w:val="00D1700D"/>
    <w:rsid w:val="00D3061B"/>
    <w:rsid w:val="00D6169D"/>
    <w:rsid w:val="00D71DC3"/>
    <w:rsid w:val="00D82687"/>
    <w:rsid w:val="00D93CE1"/>
    <w:rsid w:val="00DA609D"/>
    <w:rsid w:val="00DC68DE"/>
    <w:rsid w:val="00DC6DF2"/>
    <w:rsid w:val="00DD02F8"/>
    <w:rsid w:val="00DD0D57"/>
    <w:rsid w:val="00DD49D7"/>
    <w:rsid w:val="00DD7725"/>
    <w:rsid w:val="00DF10AA"/>
    <w:rsid w:val="00DF4DE7"/>
    <w:rsid w:val="00E00BF1"/>
    <w:rsid w:val="00E06FCB"/>
    <w:rsid w:val="00E17A0D"/>
    <w:rsid w:val="00E37B85"/>
    <w:rsid w:val="00E47447"/>
    <w:rsid w:val="00E52B54"/>
    <w:rsid w:val="00E72787"/>
    <w:rsid w:val="00E83B20"/>
    <w:rsid w:val="00E9506C"/>
    <w:rsid w:val="00E9523A"/>
    <w:rsid w:val="00EB60A6"/>
    <w:rsid w:val="00EC1348"/>
    <w:rsid w:val="00EE4D48"/>
    <w:rsid w:val="00F35A78"/>
    <w:rsid w:val="00F724FA"/>
    <w:rsid w:val="00F82BD3"/>
    <w:rsid w:val="00F93A57"/>
    <w:rsid w:val="00FB389C"/>
    <w:rsid w:val="06C42A3A"/>
    <w:rsid w:val="07C7B7D1"/>
    <w:rsid w:val="082D839E"/>
    <w:rsid w:val="09A13880"/>
    <w:rsid w:val="0B6C9619"/>
    <w:rsid w:val="0E0877A9"/>
    <w:rsid w:val="0F7F3713"/>
    <w:rsid w:val="1254B8CF"/>
    <w:rsid w:val="151B65E5"/>
    <w:rsid w:val="155050D4"/>
    <w:rsid w:val="159DCBC6"/>
    <w:rsid w:val="18257194"/>
    <w:rsid w:val="1892AB40"/>
    <w:rsid w:val="190E2B66"/>
    <w:rsid w:val="1988EE95"/>
    <w:rsid w:val="1A713CE9"/>
    <w:rsid w:val="1BA2EB35"/>
    <w:rsid w:val="1BA83AFB"/>
    <w:rsid w:val="1DCAA9EC"/>
    <w:rsid w:val="1EF3CF25"/>
    <w:rsid w:val="206C6AAA"/>
    <w:rsid w:val="20E07E6D"/>
    <w:rsid w:val="20FD81C9"/>
    <w:rsid w:val="21013864"/>
    <w:rsid w:val="243147E3"/>
    <w:rsid w:val="253FDBCD"/>
    <w:rsid w:val="25E3A83C"/>
    <w:rsid w:val="27369794"/>
    <w:rsid w:val="277568B7"/>
    <w:rsid w:val="29709B32"/>
    <w:rsid w:val="2DCEA158"/>
    <w:rsid w:val="2E554745"/>
    <w:rsid w:val="2ECBED1C"/>
    <w:rsid w:val="2EFDED0D"/>
    <w:rsid w:val="30E0D52B"/>
    <w:rsid w:val="3149B780"/>
    <w:rsid w:val="339F5E3F"/>
    <w:rsid w:val="35FFF324"/>
    <w:rsid w:val="378D67C2"/>
    <w:rsid w:val="3A887BAC"/>
    <w:rsid w:val="3E74EC13"/>
    <w:rsid w:val="3ECFF045"/>
    <w:rsid w:val="40CA9C31"/>
    <w:rsid w:val="41EF4E1D"/>
    <w:rsid w:val="4331B53B"/>
    <w:rsid w:val="438C2535"/>
    <w:rsid w:val="44EB2B12"/>
    <w:rsid w:val="453A5F5D"/>
    <w:rsid w:val="4666D59B"/>
    <w:rsid w:val="48D6514B"/>
    <w:rsid w:val="48EAB4B8"/>
    <w:rsid w:val="49FB66B9"/>
    <w:rsid w:val="4AC93F18"/>
    <w:rsid w:val="4B013964"/>
    <w:rsid w:val="4BA00337"/>
    <w:rsid w:val="4BE15826"/>
    <w:rsid w:val="4CCB5D75"/>
    <w:rsid w:val="4D9E0A9E"/>
    <w:rsid w:val="4F71ED1C"/>
    <w:rsid w:val="4FCC96F8"/>
    <w:rsid w:val="509793CA"/>
    <w:rsid w:val="51915E24"/>
    <w:rsid w:val="539F2C69"/>
    <w:rsid w:val="53F18977"/>
    <w:rsid w:val="55563B5D"/>
    <w:rsid w:val="55A5D075"/>
    <w:rsid w:val="570382AC"/>
    <w:rsid w:val="576730A3"/>
    <w:rsid w:val="57B37DA0"/>
    <w:rsid w:val="594F4E01"/>
    <w:rsid w:val="59697D15"/>
    <w:rsid w:val="5AA6C99C"/>
    <w:rsid w:val="5CBF062B"/>
    <w:rsid w:val="5E0F8687"/>
    <w:rsid w:val="5EF5B549"/>
    <w:rsid w:val="60A85D60"/>
    <w:rsid w:val="640F9AC7"/>
    <w:rsid w:val="66A43B79"/>
    <w:rsid w:val="678ECDA8"/>
    <w:rsid w:val="6827987D"/>
    <w:rsid w:val="68D631C9"/>
    <w:rsid w:val="69409E56"/>
    <w:rsid w:val="69475292"/>
    <w:rsid w:val="697E9A7F"/>
    <w:rsid w:val="6ABCE2B5"/>
    <w:rsid w:val="6AC09C9F"/>
    <w:rsid w:val="6AE819CF"/>
    <w:rsid w:val="6BDF2F64"/>
    <w:rsid w:val="6D2C024F"/>
    <w:rsid w:val="6DFE0F2C"/>
    <w:rsid w:val="6F3405A5"/>
    <w:rsid w:val="6FBB8AF2"/>
    <w:rsid w:val="71B55266"/>
    <w:rsid w:val="777ECCC9"/>
    <w:rsid w:val="789F600B"/>
    <w:rsid w:val="7A3B306C"/>
    <w:rsid w:val="7AC369D7"/>
    <w:rsid w:val="7B025D25"/>
    <w:rsid w:val="7B4D45C0"/>
    <w:rsid w:val="7D0238E0"/>
    <w:rsid w:val="7E39FDE7"/>
    <w:rsid w:val="7F0736FA"/>
    <w:rsid w:val="7F6AEB49"/>
    <w:rsid w:val="7F91E4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B65E48"/>
  <w15:chartTrackingRefBased/>
  <w15:docId w15:val="{E31611A8-395E-446F-A81E-F93D5413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20D07"/>
    <w:pPr>
      <w:widowControl w:val="0"/>
      <w:autoSpaceDE w:val="0"/>
      <w:autoSpaceDN w:val="0"/>
      <w:spacing w:after="0" w:line="240" w:lineRule="auto"/>
      <w:ind w:left="100"/>
      <w:jc w:val="both"/>
      <w:outlineLvl w:val="0"/>
    </w:pPr>
    <w:rPr>
      <w:rFonts w:ascii="Tahoma" w:eastAsia="Tahoma" w:hAnsi="Tahoma"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F076C"/>
    <w:pPr>
      <w:ind w:left="720"/>
      <w:contextualSpacing/>
    </w:pPr>
  </w:style>
  <w:style w:type="paragraph" w:styleId="BodyText">
    <w:name w:val="Body Text"/>
    <w:basedOn w:val="Normal"/>
    <w:link w:val="BodyTextChar"/>
    <w:uiPriority w:val="1"/>
    <w:qFormat/>
    <w:rsid w:val="00AF076C"/>
    <w:pPr>
      <w:widowControl w:val="0"/>
      <w:autoSpaceDE w:val="0"/>
      <w:autoSpaceDN w:val="0"/>
      <w:spacing w:after="0" w:line="240" w:lineRule="auto"/>
    </w:pPr>
    <w:rPr>
      <w:rFonts w:ascii="Century Gothic" w:eastAsia="Century Gothic" w:hAnsi="Century Gothic" w:cs="Century Gothic"/>
      <w:sz w:val="20"/>
      <w:szCs w:val="20"/>
    </w:rPr>
  </w:style>
  <w:style w:type="character" w:customStyle="1" w:styleId="BodyTextChar">
    <w:name w:val="Body Text Char"/>
    <w:basedOn w:val="DefaultParagraphFont"/>
    <w:link w:val="BodyText"/>
    <w:uiPriority w:val="1"/>
    <w:rsid w:val="00AF076C"/>
    <w:rPr>
      <w:rFonts w:ascii="Century Gothic" w:eastAsia="Century Gothic" w:hAnsi="Century Gothic" w:cs="Century Gothic"/>
      <w:sz w:val="20"/>
      <w:szCs w:val="20"/>
    </w:rPr>
  </w:style>
  <w:style w:type="paragraph" w:customStyle="1" w:styleId="TableParagraph">
    <w:name w:val="Table Paragraph"/>
    <w:basedOn w:val="Normal"/>
    <w:uiPriority w:val="1"/>
    <w:qFormat/>
    <w:rsid w:val="00AF076C"/>
    <w:pPr>
      <w:widowControl w:val="0"/>
      <w:autoSpaceDE w:val="0"/>
      <w:autoSpaceDN w:val="0"/>
      <w:spacing w:after="0" w:line="240" w:lineRule="auto"/>
    </w:pPr>
    <w:rPr>
      <w:rFonts w:ascii="Century Gothic" w:eastAsia="Century Gothic" w:hAnsi="Century Gothic" w:cs="Century Gothic"/>
    </w:rPr>
  </w:style>
  <w:style w:type="character" w:customStyle="1" w:styleId="Heading1Char">
    <w:name w:val="Heading 1 Char"/>
    <w:basedOn w:val="DefaultParagraphFont"/>
    <w:link w:val="Heading1"/>
    <w:uiPriority w:val="9"/>
    <w:rsid w:val="00B20D07"/>
    <w:rPr>
      <w:rFonts w:ascii="Tahoma" w:eastAsia="Tahoma" w:hAnsi="Tahoma" w:cs="Tahoma"/>
      <w:b/>
      <w:b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168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8FC"/>
  </w:style>
  <w:style w:type="paragraph" w:styleId="Footer">
    <w:name w:val="footer"/>
    <w:basedOn w:val="Normal"/>
    <w:link w:val="FooterChar"/>
    <w:uiPriority w:val="99"/>
    <w:unhideWhenUsed/>
    <w:rsid w:val="00216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8FC"/>
  </w:style>
  <w:style w:type="character" w:styleId="Mention">
    <w:name w:val="Mention"/>
    <w:basedOn w:val="DefaultParagraphFont"/>
    <w:uiPriority w:val="99"/>
    <w:unhideWhenUsed/>
    <w:rsid w:val="00DD7725"/>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DD7725"/>
    <w:rPr>
      <w:b/>
      <w:bCs/>
    </w:rPr>
  </w:style>
  <w:style w:type="character" w:customStyle="1" w:styleId="CommentSubjectChar">
    <w:name w:val="Comment Subject Char"/>
    <w:basedOn w:val="CommentTextChar"/>
    <w:link w:val="CommentSubject"/>
    <w:uiPriority w:val="99"/>
    <w:semiHidden/>
    <w:rsid w:val="00DD7725"/>
    <w:rPr>
      <w:b/>
      <w:bCs/>
      <w:sz w:val="20"/>
      <w:szCs w:val="20"/>
    </w:rPr>
  </w:style>
  <w:style w:type="character" w:styleId="UnresolvedMention">
    <w:name w:val="Unresolved Mention"/>
    <w:basedOn w:val="DefaultParagraphFont"/>
    <w:uiPriority w:val="99"/>
    <w:unhideWhenUsed/>
    <w:rsid w:val="00DD7725"/>
    <w:rPr>
      <w:color w:val="605E5C"/>
      <w:shd w:val="clear" w:color="auto" w:fill="E1DFDD"/>
    </w:rPr>
  </w:style>
  <w:style w:type="paragraph" w:styleId="BalloonText">
    <w:name w:val="Balloon Text"/>
    <w:basedOn w:val="Normal"/>
    <w:link w:val="BalloonTextChar"/>
    <w:uiPriority w:val="99"/>
    <w:semiHidden/>
    <w:unhideWhenUsed/>
    <w:rsid w:val="008B04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462"/>
    <w:rPr>
      <w:rFonts w:ascii="Segoe UI" w:hAnsi="Segoe UI" w:cs="Segoe UI"/>
      <w:sz w:val="18"/>
      <w:szCs w:val="18"/>
    </w:rPr>
  </w:style>
  <w:style w:type="character" w:customStyle="1" w:styleId="normaltextrun">
    <w:name w:val="normaltextrun"/>
    <w:basedOn w:val="DefaultParagraphFont"/>
    <w:rsid w:val="00E00BF1"/>
  </w:style>
  <w:style w:type="character" w:customStyle="1" w:styleId="contextualspellingandgrammarerror">
    <w:name w:val="contextualspellingandgrammarerror"/>
    <w:basedOn w:val="DefaultParagraphFont"/>
    <w:rsid w:val="00E00BF1"/>
  </w:style>
  <w:style w:type="character" w:customStyle="1" w:styleId="findhit">
    <w:name w:val="findhit"/>
    <w:basedOn w:val="DefaultParagraphFont"/>
    <w:rsid w:val="00E00BF1"/>
  </w:style>
  <w:style w:type="character" w:customStyle="1" w:styleId="eop">
    <w:name w:val="eop"/>
    <w:basedOn w:val="DefaultParagraphFont"/>
    <w:rsid w:val="00E00BF1"/>
  </w:style>
  <w:style w:type="paragraph" w:styleId="Revision">
    <w:name w:val="Revision"/>
    <w:hidden/>
    <w:uiPriority w:val="99"/>
    <w:semiHidden/>
    <w:rsid w:val="00703BD3"/>
    <w:pPr>
      <w:spacing w:after="0" w:line="240" w:lineRule="auto"/>
    </w:pPr>
  </w:style>
  <w:style w:type="paragraph" w:styleId="PlainText">
    <w:name w:val="Plain Text"/>
    <w:basedOn w:val="Normal"/>
    <w:link w:val="PlainTextChar"/>
    <w:uiPriority w:val="99"/>
    <w:unhideWhenUsed/>
    <w:rsid w:val="002A79C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A79C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643395">
      <w:bodyDiv w:val="1"/>
      <w:marLeft w:val="0"/>
      <w:marRight w:val="0"/>
      <w:marTop w:val="0"/>
      <w:marBottom w:val="0"/>
      <w:divBdr>
        <w:top w:val="none" w:sz="0" w:space="0" w:color="auto"/>
        <w:left w:val="none" w:sz="0" w:space="0" w:color="auto"/>
        <w:bottom w:val="none" w:sz="0" w:space="0" w:color="auto"/>
        <w:right w:val="none" w:sz="0" w:space="0" w:color="auto"/>
      </w:divBdr>
    </w:div>
    <w:div w:id="584149918">
      <w:bodyDiv w:val="1"/>
      <w:marLeft w:val="0"/>
      <w:marRight w:val="0"/>
      <w:marTop w:val="0"/>
      <w:marBottom w:val="0"/>
      <w:divBdr>
        <w:top w:val="none" w:sz="0" w:space="0" w:color="auto"/>
        <w:left w:val="none" w:sz="0" w:space="0" w:color="auto"/>
        <w:bottom w:val="none" w:sz="0" w:space="0" w:color="auto"/>
        <w:right w:val="none" w:sz="0" w:space="0" w:color="auto"/>
      </w:divBdr>
      <w:divsChild>
        <w:div w:id="1320769458">
          <w:marLeft w:val="0"/>
          <w:marRight w:val="0"/>
          <w:marTop w:val="0"/>
          <w:marBottom w:val="0"/>
          <w:divBdr>
            <w:top w:val="none" w:sz="0" w:space="0" w:color="auto"/>
            <w:left w:val="none" w:sz="0" w:space="0" w:color="auto"/>
            <w:bottom w:val="none" w:sz="0" w:space="0" w:color="auto"/>
            <w:right w:val="none" w:sz="0" w:space="0" w:color="auto"/>
          </w:divBdr>
        </w:div>
        <w:div w:id="1840580412">
          <w:marLeft w:val="0"/>
          <w:marRight w:val="0"/>
          <w:marTop w:val="0"/>
          <w:marBottom w:val="0"/>
          <w:divBdr>
            <w:top w:val="none" w:sz="0" w:space="0" w:color="auto"/>
            <w:left w:val="none" w:sz="0" w:space="0" w:color="auto"/>
            <w:bottom w:val="none" w:sz="0" w:space="0" w:color="auto"/>
            <w:right w:val="none" w:sz="0" w:space="0" w:color="auto"/>
          </w:divBdr>
        </w:div>
      </w:divsChild>
    </w:div>
    <w:div w:id="800658534">
      <w:bodyDiv w:val="1"/>
      <w:marLeft w:val="0"/>
      <w:marRight w:val="0"/>
      <w:marTop w:val="0"/>
      <w:marBottom w:val="0"/>
      <w:divBdr>
        <w:top w:val="none" w:sz="0" w:space="0" w:color="auto"/>
        <w:left w:val="none" w:sz="0" w:space="0" w:color="auto"/>
        <w:bottom w:val="none" w:sz="0" w:space="0" w:color="auto"/>
        <w:right w:val="none" w:sz="0" w:space="0" w:color="auto"/>
      </w:divBdr>
    </w:div>
    <w:div w:id="1032193725">
      <w:bodyDiv w:val="1"/>
      <w:marLeft w:val="0"/>
      <w:marRight w:val="0"/>
      <w:marTop w:val="0"/>
      <w:marBottom w:val="0"/>
      <w:divBdr>
        <w:top w:val="none" w:sz="0" w:space="0" w:color="auto"/>
        <w:left w:val="none" w:sz="0" w:space="0" w:color="auto"/>
        <w:bottom w:val="none" w:sz="0" w:space="0" w:color="auto"/>
        <w:right w:val="none" w:sz="0" w:space="0" w:color="auto"/>
      </w:divBdr>
    </w:div>
    <w:div w:id="1460689399">
      <w:bodyDiv w:val="1"/>
      <w:marLeft w:val="0"/>
      <w:marRight w:val="0"/>
      <w:marTop w:val="0"/>
      <w:marBottom w:val="0"/>
      <w:divBdr>
        <w:top w:val="none" w:sz="0" w:space="0" w:color="auto"/>
        <w:left w:val="none" w:sz="0" w:space="0" w:color="auto"/>
        <w:bottom w:val="none" w:sz="0" w:space="0" w:color="auto"/>
        <w:right w:val="none" w:sz="0" w:space="0" w:color="auto"/>
      </w:divBdr>
    </w:div>
    <w:div w:id="1788891339">
      <w:bodyDiv w:val="1"/>
      <w:marLeft w:val="0"/>
      <w:marRight w:val="0"/>
      <w:marTop w:val="0"/>
      <w:marBottom w:val="0"/>
      <w:divBdr>
        <w:top w:val="none" w:sz="0" w:space="0" w:color="auto"/>
        <w:left w:val="none" w:sz="0" w:space="0" w:color="auto"/>
        <w:bottom w:val="none" w:sz="0" w:space="0" w:color="auto"/>
        <w:right w:val="none" w:sz="0" w:space="0" w:color="auto"/>
      </w:divBdr>
    </w:div>
    <w:div w:id="191912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11ACFA99-1B2E-41E5-B3CC-66B2DDDF728C}">
    <t:Anchor>
      <t:Comment id="279194418"/>
    </t:Anchor>
    <t:History>
      <t:Event id="{517A82B3-2306-4D20-A229-EE142EFF5190}" time="2022-02-21T19:46:41.296Z">
        <t:Attribution userId="S::eb.roeder@floridadep.gov::7bf50f80-92cc-499c-be41-14aed893ed75" userProvider="AD" userName="Roeder, Eb"/>
        <t:Anchor>
          <t:Comment id="279194418"/>
        </t:Anchor>
        <t:Create/>
      </t:Event>
      <t:Event id="{BD1DF5FF-4552-460D-813A-E24EE4618385}" time="2022-02-21T19:46:41.296Z">
        <t:Attribution userId="S::eb.roeder@floridadep.gov::7bf50f80-92cc-499c-be41-14aed893ed75" userProvider="AD" userName="Roeder, Eb"/>
        <t:Anchor>
          <t:Comment id="279194418"/>
        </t:Anchor>
        <t:Assign userId="S::Eb.Roeder@FloridaDEP.gov::7bf50f80-92cc-499c-be41-14aed893ed75" userProvider="AD" userName="Roeder, Eb"/>
      </t:Event>
      <t:Event id="{10F7205F-5A4F-40EF-B09A-40C8AF2A5E3C}" time="2022-02-21T19:46:41.296Z">
        <t:Attribution userId="S::eb.roeder@floridadep.gov::7bf50f80-92cc-499c-be41-14aed893ed75" userProvider="AD" userName="Roeder, Eb"/>
        <t:Anchor>
          <t:Comment id="279194418"/>
        </t:Anchor>
        <t:SetTitle title="@Roeder, Eb"/>
      </t:Event>
    </t:History>
  </t:Task>
  <t:Task id="{9AD8DD82-81E3-49B8-8043-744B975E5D05}">
    <t:Anchor>
      <t:Comment id="1565044931"/>
    </t:Anchor>
    <t:History>
      <t:Event id="{81B857B7-445D-49EE-BCA0-06AB02F07C5B}" time="2022-02-25T14:00:10.689Z">
        <t:Attribution userId="S::debby.tipton@floridadep.gov::555113ba-d8f4-4b36-81d6-79ce11a9f73e" userProvider="AD" userName="Tipton, Debby"/>
        <t:Anchor>
          <t:Comment id="1565044931"/>
        </t:Anchor>
        <t:Create/>
      </t:Event>
      <t:Event id="{03D30C03-497B-413E-AED3-7CE1304629C7}" time="2022-02-25T14:00:10.689Z">
        <t:Attribution userId="S::debby.tipton@floridadep.gov::555113ba-d8f4-4b36-81d6-79ce11a9f73e" userProvider="AD" userName="Tipton, Debby"/>
        <t:Anchor>
          <t:Comment id="1565044931"/>
        </t:Anchor>
        <t:Assign userId="S::Marcelo.Blanco@FloridaDEP.gov::df7f8ffe-e5a7-45b9-8ae5-6e5b6d851b0c" userProvider="AD" userName="Blanco, Marcelo"/>
      </t:Event>
      <t:Event id="{17BCE5F7-C7AD-46AF-B43A-3ACD43E7A43B}" time="2022-02-25T14:00:10.689Z">
        <t:Attribution userId="S::debby.tipton@floridadep.gov::555113ba-d8f4-4b36-81d6-79ce11a9f73e" userProvider="AD" userName="Tipton, Debby"/>
        <t:Anchor>
          <t:Comment id="1565044931"/>
        </t:Anchor>
        <t:SetTitle title="@Blanco, Marcelo"/>
      </t:Event>
    </t:History>
  </t:Task>
  <t:Task id="{CFC24595-9308-468B-BEED-F8206C097CA3}">
    <t:Anchor>
      <t:Comment id="840742936"/>
    </t:Anchor>
    <t:History>
      <t:Event id="{903B8B4B-3DA8-40C6-9F3D-0FF4E9273D7C}" time="2022-02-25T14:00:53.041Z">
        <t:Attribution userId="S::debby.tipton@floridadep.gov::555113ba-d8f4-4b36-81d6-79ce11a9f73e" userProvider="AD" userName="Tipton, Debby"/>
        <t:Anchor>
          <t:Comment id="840742936"/>
        </t:Anchor>
        <t:Create/>
      </t:Event>
      <t:Event id="{AEB232E5-A924-4F26-B17F-813771EC312C}" time="2022-02-25T14:00:53.041Z">
        <t:Attribution userId="S::debby.tipton@floridadep.gov::555113ba-d8f4-4b36-81d6-79ce11a9f73e" userProvider="AD" userName="Tipton, Debby"/>
        <t:Anchor>
          <t:Comment id="840742936"/>
        </t:Anchor>
        <t:Assign userId="S::Marcelo.Blanco@FloridaDEP.gov::df7f8ffe-e5a7-45b9-8ae5-6e5b6d851b0c" userProvider="AD" userName="Blanco, Marcelo"/>
      </t:Event>
      <t:Event id="{A6A6BA1E-1AC6-4288-8AE4-00EAD01C7621}" time="2022-02-25T14:00:53.041Z">
        <t:Attribution userId="S::debby.tipton@floridadep.gov::555113ba-d8f4-4b36-81d6-79ce11a9f73e" userProvider="AD" userName="Tipton, Debby"/>
        <t:Anchor>
          <t:Comment id="840742936"/>
        </t:Anchor>
        <t:SetTitle title="@Blanco, Marcelo"/>
      </t:Event>
    </t:History>
  </t:Task>
  <t:Task id="{4231DB7F-192F-4A94-93E4-4661DB1D0A0A}">
    <t:Anchor>
      <t:Comment id="211316386"/>
    </t:Anchor>
    <t:History>
      <t:Event id="{7ECF92F3-CAA3-4C7A-8DCE-C4AB964C5E68}" time="2022-02-25T14:01:11.522Z">
        <t:Attribution userId="S::debby.tipton@floridadep.gov::555113ba-d8f4-4b36-81d6-79ce11a9f73e" userProvider="AD" userName="Tipton, Debby"/>
        <t:Anchor>
          <t:Comment id="211316386"/>
        </t:Anchor>
        <t:Create/>
      </t:Event>
      <t:Event id="{689B9574-1A6C-43D1-B2FF-234616178D20}" time="2022-02-25T14:01:11.522Z">
        <t:Attribution userId="S::debby.tipton@floridadep.gov::555113ba-d8f4-4b36-81d6-79ce11a9f73e" userProvider="AD" userName="Tipton, Debby"/>
        <t:Anchor>
          <t:Comment id="211316386"/>
        </t:Anchor>
        <t:Assign userId="S::Marcelo.Blanco@FloridaDEP.gov::df7f8ffe-e5a7-45b9-8ae5-6e5b6d851b0c" userProvider="AD" userName="Blanco, Marcelo"/>
      </t:Event>
      <t:Event id="{E0719816-3C2A-435A-981E-AAD7F02E8F93}" time="2022-02-25T14:01:11.522Z">
        <t:Attribution userId="S::debby.tipton@floridadep.gov::555113ba-d8f4-4b36-81d6-79ce11a9f73e" userProvider="AD" userName="Tipton, Debby"/>
        <t:Anchor>
          <t:Comment id="211316386"/>
        </t:Anchor>
        <t:SetTitle title="@Blanco, Marcel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8473D0FB5E9C41A91F5416BBBA9AE5" ma:contentTypeVersion="11" ma:contentTypeDescription="Create a new document." ma:contentTypeScope="" ma:versionID="44c4146ea9cc9ea45652ba9071c760ab">
  <xsd:schema xmlns:xsd="http://www.w3.org/2001/XMLSchema" xmlns:xs="http://www.w3.org/2001/XMLSchema" xmlns:p="http://schemas.microsoft.com/office/2006/metadata/properties" xmlns:ns2="91bc958e-3d17-4506-8600-42314b9981f1" xmlns:ns3="3a05599d-de9a-474e-83ea-e9b4a4c78423" targetNamespace="http://schemas.microsoft.com/office/2006/metadata/properties" ma:root="true" ma:fieldsID="f8674e0dc51ef2324898bcd2769229b8" ns2:_="" ns3:_="">
    <xsd:import namespace="91bc958e-3d17-4506-8600-42314b9981f1"/>
    <xsd:import namespace="3a05599d-de9a-474e-83ea-e9b4a4c784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c958e-3d17-4506-8600-42314b998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05599d-de9a-474e-83ea-e9b4a4c784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BDB81-BDFE-4440-9E59-C39427B8C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c958e-3d17-4506-8600-42314b9981f1"/>
    <ds:schemaRef ds:uri="3a05599d-de9a-474e-83ea-e9b4a4c78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1E7871-008D-43ED-B1DF-6B0F2AB3CA20}">
  <ds:schemaRefs>
    <ds:schemaRef ds:uri="http://www.w3.org/XML/1998/namespace"/>
    <ds:schemaRef ds:uri="http://schemas.microsoft.com/office/2006/documentManagement/types"/>
    <ds:schemaRef ds:uri="http://purl.org/dc/elements/1.1/"/>
    <ds:schemaRef ds:uri="http://schemas.microsoft.com/office/2006/metadata/properties"/>
    <ds:schemaRef ds:uri="91bc958e-3d17-4506-8600-42314b9981f1"/>
    <ds:schemaRef ds:uri="http://schemas.microsoft.com/office/infopath/2007/PartnerControls"/>
    <ds:schemaRef ds:uri="http://schemas.openxmlformats.org/package/2006/metadata/core-properties"/>
    <ds:schemaRef ds:uri="3a05599d-de9a-474e-83ea-e9b4a4c78423"/>
    <ds:schemaRef ds:uri="http://purl.org/dc/dcmitype/"/>
    <ds:schemaRef ds:uri="http://purl.org/dc/terms/"/>
  </ds:schemaRefs>
</ds:datastoreItem>
</file>

<file path=customXml/itemProps3.xml><?xml version="1.0" encoding="utf-8"?>
<ds:datastoreItem xmlns:ds="http://schemas.openxmlformats.org/officeDocument/2006/customXml" ds:itemID="{A63C5CCA-F906-4F37-8F6E-CB52FDAC80D0}">
  <ds:schemaRefs>
    <ds:schemaRef ds:uri="http://schemas.microsoft.com/sharepoint/v3/contenttype/forms"/>
  </ds:schemaRefs>
</ds:datastoreItem>
</file>

<file path=customXml/itemProps4.xml><?xml version="1.0" encoding="utf-8"?>
<ds:datastoreItem xmlns:ds="http://schemas.openxmlformats.org/officeDocument/2006/customXml" ds:itemID="{73A39A92-015B-48EB-B055-384EDBF8A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3976</Characters>
  <Application>Microsoft Office Word</Application>
  <DocSecurity>4</DocSecurity>
  <Lines>110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Ursin, Elke</dc:creator>
  <cp:keywords/>
  <dc:description/>
  <cp:lastModifiedBy>Simpkins, Heather</cp:lastModifiedBy>
  <cp:revision>2</cp:revision>
  <dcterms:created xsi:type="dcterms:W3CDTF">2022-05-05T14:18:00Z</dcterms:created>
  <dcterms:modified xsi:type="dcterms:W3CDTF">2022-05-05T14:18:00Z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0x010100298473D0FB5E9C41A91F5416BBBA9AE5</vt:lpwstr>
  </property>
</Properties>
</file>