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1CB" w:rsidRPr="00CA36B6" w:rsidRDefault="00CA36B6" w:rsidP="00CB1A1B">
      <w:pPr>
        <w:pStyle w:val="Heading2"/>
        <w:numPr>
          <w:ilvl w:val="0"/>
          <w:numId w:val="0"/>
        </w:numPr>
        <w:tabs>
          <w:tab w:val="left" w:pos="900"/>
        </w:tabs>
        <w:spacing w:before="240" w:after="100" w:afterAutospacing="1" w:line="240" w:lineRule="auto"/>
        <w:rPr>
          <w:rFonts w:cs="Arial"/>
          <w:i/>
        </w:rPr>
      </w:pPr>
      <w:r w:rsidRPr="00CA36B6">
        <w:rPr>
          <w:rFonts w:cs="Arial"/>
          <w:i/>
        </w:rPr>
        <w:t>13.7</w:t>
      </w:r>
      <w:r w:rsidR="00CB1A1B">
        <w:rPr>
          <w:rFonts w:cs="Arial"/>
          <w:i/>
        </w:rPr>
        <w:tab/>
      </w:r>
      <w:r w:rsidR="0089698F" w:rsidRPr="00CA36B6">
        <w:rPr>
          <w:rFonts w:cs="Arial"/>
          <w:i/>
        </w:rPr>
        <w:t xml:space="preserve">Implementation of </w:t>
      </w:r>
      <w:r w:rsidR="00E97E7E" w:rsidRPr="00CA36B6">
        <w:rPr>
          <w:rFonts w:cs="Arial"/>
          <w:i/>
        </w:rPr>
        <w:t>Dissolved Oxygen Criteria</w:t>
      </w:r>
    </w:p>
    <w:p w:rsidR="00DD5F44" w:rsidRPr="00CA36B6" w:rsidRDefault="0089698F" w:rsidP="00DD5F44">
      <w:pPr>
        <w:tabs>
          <w:tab w:val="left" w:pos="1440"/>
          <w:tab w:val="left" w:pos="4770"/>
        </w:tabs>
        <w:spacing w:before="240" w:after="100" w:afterAutospacing="1"/>
        <w:rPr>
          <w:rFonts w:ascii="Arial" w:hAnsi="Arial" w:cs="Arial"/>
          <w:sz w:val="22"/>
        </w:rPr>
      </w:pPr>
      <w:r w:rsidRPr="00CA36B6">
        <w:rPr>
          <w:rFonts w:ascii="Arial" w:hAnsi="Arial" w:cs="Arial"/>
          <w:sz w:val="22"/>
        </w:rPr>
        <w:t xml:space="preserve">The purpose of this subsection is to provide information on implementation of </w:t>
      </w:r>
      <w:r w:rsidR="007A1C28" w:rsidRPr="00CA36B6">
        <w:rPr>
          <w:rFonts w:ascii="Arial" w:hAnsi="Arial" w:cs="Arial"/>
          <w:sz w:val="22"/>
        </w:rPr>
        <w:t xml:space="preserve">dissolved oxygen (DO) </w:t>
      </w:r>
      <w:r w:rsidR="001E5F80" w:rsidRPr="00CA36B6">
        <w:rPr>
          <w:rFonts w:ascii="Arial" w:hAnsi="Arial" w:cs="Arial"/>
          <w:sz w:val="22"/>
        </w:rPr>
        <w:t>water quality criteria</w:t>
      </w:r>
      <w:r w:rsidR="00B2564A" w:rsidRPr="00CA36B6">
        <w:rPr>
          <w:rFonts w:ascii="Arial" w:hAnsi="Arial" w:cs="Arial"/>
          <w:sz w:val="22"/>
        </w:rPr>
        <w:t>.  DO criteria</w:t>
      </w:r>
      <w:r w:rsidR="001E5F80" w:rsidRPr="00CA36B6">
        <w:rPr>
          <w:rFonts w:ascii="Arial" w:hAnsi="Arial" w:cs="Arial"/>
          <w:sz w:val="22"/>
        </w:rPr>
        <w:t xml:space="preserve"> </w:t>
      </w:r>
      <w:r w:rsidR="00B973FA" w:rsidRPr="00CA36B6">
        <w:rPr>
          <w:rFonts w:ascii="Arial" w:hAnsi="Arial" w:cs="Arial"/>
          <w:sz w:val="22"/>
        </w:rPr>
        <w:t xml:space="preserve">for predominantly fresh and predominantly marine surface waters </w:t>
      </w:r>
      <w:r w:rsidR="00840C20" w:rsidRPr="00CA36B6">
        <w:rPr>
          <w:rFonts w:ascii="Arial" w:hAnsi="Arial" w:cs="Arial"/>
          <w:sz w:val="22"/>
        </w:rPr>
        <w:t>(i.e. Class I, Class II, Class II</w:t>
      </w:r>
      <w:r w:rsidR="00660489" w:rsidRPr="00CA36B6">
        <w:rPr>
          <w:rFonts w:ascii="Arial" w:hAnsi="Arial" w:cs="Arial"/>
          <w:sz w:val="22"/>
        </w:rPr>
        <w:t>I</w:t>
      </w:r>
      <w:r w:rsidR="00840C20" w:rsidRPr="00CA36B6">
        <w:rPr>
          <w:rFonts w:ascii="Arial" w:hAnsi="Arial" w:cs="Arial"/>
          <w:sz w:val="22"/>
        </w:rPr>
        <w:t>, and Class II</w:t>
      </w:r>
      <w:r w:rsidR="00660489" w:rsidRPr="00CA36B6">
        <w:rPr>
          <w:rFonts w:ascii="Arial" w:hAnsi="Arial" w:cs="Arial"/>
          <w:sz w:val="22"/>
        </w:rPr>
        <w:t>I</w:t>
      </w:r>
      <w:r w:rsidR="00840C20" w:rsidRPr="00CA36B6">
        <w:rPr>
          <w:rFonts w:ascii="Arial" w:hAnsi="Arial" w:cs="Arial"/>
          <w:sz w:val="22"/>
        </w:rPr>
        <w:t>-Limited waters)</w:t>
      </w:r>
      <w:r w:rsidR="00B2564A" w:rsidRPr="00CA36B6">
        <w:rPr>
          <w:rFonts w:ascii="Arial" w:hAnsi="Arial" w:cs="Arial"/>
          <w:sz w:val="22"/>
        </w:rPr>
        <w:t xml:space="preserve"> are </w:t>
      </w:r>
      <w:r w:rsidR="00105120" w:rsidRPr="00CA36B6">
        <w:rPr>
          <w:rFonts w:ascii="Arial" w:hAnsi="Arial" w:cs="Arial"/>
          <w:sz w:val="22"/>
        </w:rPr>
        <w:t xml:space="preserve">established </w:t>
      </w:r>
      <w:r w:rsidR="001E5F80" w:rsidRPr="00CA36B6">
        <w:rPr>
          <w:rFonts w:ascii="Arial" w:hAnsi="Arial" w:cs="Arial"/>
          <w:sz w:val="22"/>
        </w:rPr>
        <w:t>in Rule 62-302.533</w:t>
      </w:r>
      <w:r w:rsidR="00105120" w:rsidRPr="00CA36B6">
        <w:rPr>
          <w:rFonts w:ascii="Arial" w:hAnsi="Arial" w:cs="Arial"/>
          <w:sz w:val="22"/>
        </w:rPr>
        <w:t>, F.A.C</w:t>
      </w:r>
      <w:r w:rsidR="001E5F80" w:rsidRPr="00CA36B6">
        <w:rPr>
          <w:rFonts w:ascii="Arial" w:hAnsi="Arial" w:cs="Arial"/>
          <w:sz w:val="22"/>
        </w:rPr>
        <w:t>.</w:t>
      </w:r>
      <w:r w:rsidR="00B973FA" w:rsidRPr="00CA36B6">
        <w:rPr>
          <w:rFonts w:ascii="Arial" w:hAnsi="Arial" w:cs="Arial"/>
          <w:sz w:val="22"/>
        </w:rPr>
        <w:t xml:space="preserve"> </w:t>
      </w:r>
      <w:r w:rsidR="00950A46" w:rsidRPr="00CA36B6">
        <w:rPr>
          <w:rFonts w:ascii="Arial" w:hAnsi="Arial" w:cs="Arial"/>
          <w:sz w:val="22"/>
        </w:rPr>
        <w:t xml:space="preserve"> </w:t>
      </w:r>
      <w:r w:rsidR="00D150AC" w:rsidRPr="00CA36B6">
        <w:rPr>
          <w:rFonts w:ascii="Arial" w:hAnsi="Arial" w:cs="Arial"/>
          <w:sz w:val="22"/>
        </w:rPr>
        <w:t>DO</w:t>
      </w:r>
      <w:r w:rsidR="00840C20" w:rsidRPr="00CA36B6">
        <w:rPr>
          <w:rFonts w:ascii="Arial" w:hAnsi="Arial" w:cs="Arial"/>
          <w:sz w:val="22"/>
        </w:rPr>
        <w:t xml:space="preserve"> criteria for Class IV </w:t>
      </w:r>
      <w:r w:rsidR="004E0446" w:rsidRPr="00CA36B6">
        <w:rPr>
          <w:rFonts w:ascii="Arial" w:hAnsi="Arial" w:cs="Arial"/>
          <w:sz w:val="22"/>
        </w:rPr>
        <w:t xml:space="preserve">(Agricultural Water Supplies) </w:t>
      </w:r>
      <w:r w:rsidR="00840C20" w:rsidRPr="00CA36B6">
        <w:rPr>
          <w:rFonts w:ascii="Arial" w:hAnsi="Arial" w:cs="Arial"/>
          <w:sz w:val="22"/>
        </w:rPr>
        <w:t xml:space="preserve">and </w:t>
      </w:r>
      <w:r w:rsidR="004E0446" w:rsidRPr="00CA36B6">
        <w:rPr>
          <w:rFonts w:ascii="Arial" w:hAnsi="Arial" w:cs="Arial"/>
          <w:sz w:val="22"/>
        </w:rPr>
        <w:t xml:space="preserve">Class </w:t>
      </w:r>
      <w:r w:rsidR="00840C20" w:rsidRPr="00CA36B6">
        <w:rPr>
          <w:rFonts w:ascii="Arial" w:hAnsi="Arial" w:cs="Arial"/>
          <w:sz w:val="22"/>
        </w:rPr>
        <w:t>V</w:t>
      </w:r>
      <w:r w:rsidR="00E907A0" w:rsidRPr="00CA36B6">
        <w:rPr>
          <w:rFonts w:ascii="Arial" w:hAnsi="Arial" w:cs="Arial"/>
          <w:sz w:val="22"/>
        </w:rPr>
        <w:t xml:space="preserve"> (Navigation, </w:t>
      </w:r>
      <w:r w:rsidR="00EE55F4" w:rsidRPr="00CA36B6">
        <w:rPr>
          <w:rFonts w:ascii="Arial" w:hAnsi="Arial" w:cs="Arial"/>
          <w:sz w:val="22"/>
        </w:rPr>
        <w:t>Utility</w:t>
      </w:r>
      <w:r w:rsidR="00E907A0" w:rsidRPr="00CA36B6">
        <w:rPr>
          <w:rFonts w:ascii="Arial" w:hAnsi="Arial" w:cs="Arial"/>
          <w:sz w:val="22"/>
        </w:rPr>
        <w:t>, and Industrial Use)</w:t>
      </w:r>
      <w:r w:rsidR="00840C20" w:rsidRPr="00CA36B6">
        <w:rPr>
          <w:rFonts w:ascii="Arial" w:hAnsi="Arial" w:cs="Arial"/>
          <w:sz w:val="22"/>
        </w:rPr>
        <w:t xml:space="preserve"> waters are established in the </w:t>
      </w:r>
      <w:r w:rsidR="007A1C28" w:rsidRPr="00CA36B6">
        <w:rPr>
          <w:rFonts w:ascii="Arial" w:hAnsi="Arial" w:cs="Arial"/>
          <w:sz w:val="22"/>
        </w:rPr>
        <w:t>water quality criteria table in Rule 62-302.530(30)</w:t>
      </w:r>
      <w:r w:rsidR="00840C20" w:rsidRPr="00CA36B6">
        <w:rPr>
          <w:rFonts w:ascii="Arial" w:hAnsi="Arial" w:cs="Arial"/>
          <w:sz w:val="22"/>
        </w:rPr>
        <w:t>, F.A.C</w:t>
      </w:r>
      <w:r w:rsidR="00E907A0" w:rsidRPr="00CA36B6">
        <w:rPr>
          <w:rFonts w:ascii="Arial" w:hAnsi="Arial" w:cs="Arial"/>
          <w:sz w:val="22"/>
        </w:rPr>
        <w:t>.</w:t>
      </w:r>
      <w:r w:rsidR="007A1C28" w:rsidRPr="00CA36B6">
        <w:rPr>
          <w:rFonts w:ascii="Arial" w:hAnsi="Arial" w:cs="Arial"/>
          <w:sz w:val="22"/>
        </w:rPr>
        <w:t xml:space="preserve">  </w:t>
      </w:r>
    </w:p>
    <w:p w:rsidR="002C4F61" w:rsidRPr="00CA36B6" w:rsidRDefault="00B973FA" w:rsidP="00DD5F44">
      <w:pPr>
        <w:tabs>
          <w:tab w:val="left" w:pos="1440"/>
          <w:tab w:val="left" w:pos="4770"/>
        </w:tabs>
        <w:spacing w:before="240" w:after="100" w:afterAutospacing="1"/>
        <w:rPr>
          <w:rFonts w:ascii="Arial" w:hAnsi="Arial" w:cs="Arial"/>
          <w:sz w:val="22"/>
          <w:szCs w:val="22"/>
        </w:rPr>
      </w:pPr>
      <w:r w:rsidRPr="00CA36B6">
        <w:rPr>
          <w:rFonts w:ascii="Arial" w:hAnsi="Arial" w:cs="Arial"/>
          <w:sz w:val="22"/>
        </w:rPr>
        <w:t xml:space="preserve">The </w:t>
      </w:r>
      <w:r w:rsidR="00DD5F44" w:rsidRPr="00CA36B6">
        <w:rPr>
          <w:rFonts w:ascii="Arial" w:hAnsi="Arial" w:cs="Arial"/>
          <w:sz w:val="22"/>
        </w:rPr>
        <w:t xml:space="preserve">DO criteria established in Rule 62-302.533, F.A.C., </w:t>
      </w:r>
      <w:r w:rsidRPr="00CA36B6">
        <w:rPr>
          <w:rFonts w:ascii="Arial" w:hAnsi="Arial" w:cs="Arial"/>
          <w:sz w:val="22"/>
        </w:rPr>
        <w:t>became</w:t>
      </w:r>
      <w:r w:rsidR="001E5F80" w:rsidRPr="00CA36B6">
        <w:rPr>
          <w:rFonts w:ascii="Arial" w:hAnsi="Arial" w:cs="Arial"/>
          <w:sz w:val="22"/>
        </w:rPr>
        <w:t xml:space="preserve"> effective </w:t>
      </w:r>
      <w:r w:rsidR="004E5A71" w:rsidRPr="00CA36B6">
        <w:rPr>
          <w:rFonts w:ascii="Arial" w:hAnsi="Arial" w:cs="Arial"/>
          <w:sz w:val="22"/>
        </w:rPr>
        <w:t>August 1,</w:t>
      </w:r>
      <w:r w:rsidR="001E5F80" w:rsidRPr="00CA36B6">
        <w:rPr>
          <w:rFonts w:ascii="Arial" w:hAnsi="Arial" w:cs="Arial"/>
          <w:sz w:val="22"/>
        </w:rPr>
        <w:t xml:space="preserve"> 2013 and </w:t>
      </w:r>
      <w:r w:rsidR="005A4994" w:rsidRPr="00CA36B6">
        <w:rPr>
          <w:rFonts w:ascii="Arial" w:hAnsi="Arial" w:cs="Arial"/>
          <w:sz w:val="22"/>
        </w:rPr>
        <w:t xml:space="preserve">were </w:t>
      </w:r>
      <w:r w:rsidR="001E5F80" w:rsidRPr="00CA36B6">
        <w:rPr>
          <w:rFonts w:ascii="Arial" w:hAnsi="Arial" w:cs="Arial"/>
          <w:sz w:val="22"/>
        </w:rPr>
        <w:t>approved by EPA Region 4 September 9, 2013.</w:t>
      </w:r>
      <w:r w:rsidR="00DD5F44" w:rsidRPr="00CA36B6">
        <w:rPr>
          <w:rFonts w:ascii="Arial" w:hAnsi="Arial" w:cs="Arial"/>
          <w:sz w:val="22"/>
        </w:rPr>
        <w:t xml:space="preserve">  </w:t>
      </w:r>
      <w:r w:rsidR="00FD5DC5" w:rsidRPr="00CA36B6">
        <w:rPr>
          <w:rFonts w:ascii="Arial" w:hAnsi="Arial" w:cs="Arial"/>
          <w:sz w:val="22"/>
        </w:rPr>
        <w:t>The</w:t>
      </w:r>
      <w:r w:rsidR="00DD5F44" w:rsidRPr="00CA36B6">
        <w:rPr>
          <w:rFonts w:ascii="Arial" w:hAnsi="Arial" w:cs="Arial"/>
          <w:sz w:val="22"/>
        </w:rPr>
        <w:t>se</w:t>
      </w:r>
      <w:r w:rsidR="00FD5DC5" w:rsidRPr="00CA36B6">
        <w:rPr>
          <w:rFonts w:ascii="Arial" w:hAnsi="Arial" w:cs="Arial"/>
          <w:sz w:val="22"/>
        </w:rPr>
        <w:t xml:space="preserve"> criteria are designed to </w:t>
      </w:r>
      <w:r w:rsidR="00DA3E9C" w:rsidRPr="00CA36B6">
        <w:rPr>
          <w:rFonts w:ascii="Arial" w:hAnsi="Arial" w:cs="Arial"/>
          <w:sz w:val="22"/>
        </w:rPr>
        <w:t>protect the designated use of Florida’s surface waters in the context of their</w:t>
      </w:r>
      <w:r w:rsidR="00FD5DC5" w:rsidRPr="00CA36B6">
        <w:rPr>
          <w:rFonts w:ascii="Arial" w:hAnsi="Arial" w:cs="Arial"/>
          <w:sz w:val="22"/>
        </w:rPr>
        <w:t xml:space="preserve"> natural variability in DO</w:t>
      </w:r>
      <w:r w:rsidR="00DA3E9C" w:rsidRPr="00CA36B6">
        <w:rPr>
          <w:rFonts w:ascii="Arial" w:hAnsi="Arial" w:cs="Arial"/>
          <w:sz w:val="22"/>
        </w:rPr>
        <w:t>.</w:t>
      </w:r>
      <w:r w:rsidR="00FD5DC5" w:rsidRPr="00CA36B6">
        <w:rPr>
          <w:rFonts w:ascii="Arial" w:hAnsi="Arial" w:cs="Arial"/>
          <w:sz w:val="22"/>
        </w:rPr>
        <w:t xml:space="preserve">  </w:t>
      </w:r>
      <w:r w:rsidR="00C30F91" w:rsidRPr="00CA36B6">
        <w:rPr>
          <w:rFonts w:ascii="Arial" w:hAnsi="Arial" w:cs="Arial"/>
          <w:sz w:val="22"/>
        </w:rPr>
        <w:t>The technical basis for d</w:t>
      </w:r>
      <w:r w:rsidR="002C4F61" w:rsidRPr="00CA36B6">
        <w:rPr>
          <w:rFonts w:ascii="Arial" w:hAnsi="Arial" w:cs="Arial"/>
          <w:sz w:val="22"/>
        </w:rPr>
        <w:t>evelopment of the</w:t>
      </w:r>
      <w:r w:rsidR="0040248B" w:rsidRPr="00CA36B6">
        <w:rPr>
          <w:rFonts w:ascii="Arial" w:hAnsi="Arial" w:cs="Arial"/>
          <w:sz w:val="22"/>
        </w:rPr>
        <w:t>se</w:t>
      </w:r>
      <w:r w:rsidR="002C4F61" w:rsidRPr="00CA36B6">
        <w:rPr>
          <w:rFonts w:ascii="Arial" w:hAnsi="Arial" w:cs="Arial"/>
          <w:sz w:val="22"/>
        </w:rPr>
        <w:t xml:space="preserve"> criteria is documented in the </w:t>
      </w:r>
      <w:r w:rsidR="002C4F61" w:rsidRPr="00CA36B6">
        <w:rPr>
          <w:rFonts w:ascii="Arial" w:hAnsi="Arial" w:cs="Arial"/>
          <w:sz w:val="22"/>
          <w:szCs w:val="22"/>
        </w:rPr>
        <w:t>“</w:t>
      </w:r>
      <w:r w:rsidR="002C4F61" w:rsidRPr="00CA36B6">
        <w:rPr>
          <w:rFonts w:ascii="Arial" w:hAnsi="Arial" w:cs="Arial"/>
          <w:i/>
          <w:iCs/>
          <w:sz w:val="22"/>
          <w:szCs w:val="22"/>
        </w:rPr>
        <w:t>Technical Support Document for the Derivation of Dissolved Oxygen Criteria to Protect Aquatic Life in Florida’s Fresh and Marine Waters</w:t>
      </w:r>
      <w:r w:rsidR="002C4F61" w:rsidRPr="00CA36B6">
        <w:rPr>
          <w:rFonts w:ascii="Arial" w:hAnsi="Arial" w:cs="Arial"/>
          <w:sz w:val="22"/>
          <w:szCs w:val="22"/>
        </w:rPr>
        <w:t xml:space="preserve">” (DEP-SAS-001/13), dated March 2013 </w:t>
      </w:r>
      <w:r w:rsidR="00550799" w:rsidRPr="00CA36B6">
        <w:rPr>
          <w:rFonts w:ascii="Arial" w:hAnsi="Arial" w:cs="Arial"/>
          <w:sz w:val="22"/>
          <w:szCs w:val="22"/>
        </w:rPr>
        <w:t xml:space="preserve">(called TSD), available at </w:t>
      </w:r>
      <w:r w:rsidR="00C30F91" w:rsidRPr="00CA36B6">
        <w:rPr>
          <w:rFonts w:ascii="Arial" w:hAnsi="Arial" w:cs="Arial"/>
          <w:sz w:val="22"/>
          <w:szCs w:val="22"/>
        </w:rPr>
        <w:t>(</w:t>
      </w:r>
      <w:hyperlink r:id="rId11" w:history="1">
        <w:r w:rsidR="00C30F91" w:rsidRPr="00CA36B6">
          <w:rPr>
            <w:rStyle w:val="Hyperlink"/>
            <w:rFonts w:ascii="Arial" w:hAnsi="Arial" w:cs="Arial"/>
            <w:sz w:val="22"/>
            <w:szCs w:val="22"/>
          </w:rPr>
          <w:t>http://www.dep.state.fl.us/water/wqssp/docs/do/tsd-do-criteria-aquatic-life.pdf</w:t>
        </w:r>
      </w:hyperlink>
      <w:r w:rsidR="00C30F91" w:rsidRPr="00CA36B6">
        <w:rPr>
          <w:rFonts w:ascii="Arial" w:hAnsi="Arial" w:cs="Arial"/>
          <w:sz w:val="22"/>
          <w:szCs w:val="22"/>
        </w:rPr>
        <w:t>)</w:t>
      </w:r>
      <w:r w:rsidR="00550799" w:rsidRPr="00CA36B6">
        <w:rPr>
          <w:rFonts w:ascii="Arial" w:hAnsi="Arial" w:cs="Arial"/>
          <w:sz w:val="22"/>
          <w:szCs w:val="22"/>
        </w:rPr>
        <w:t>.</w:t>
      </w:r>
      <w:r w:rsidR="00D070E8" w:rsidRPr="00CA36B6">
        <w:rPr>
          <w:rFonts w:ascii="Arial" w:hAnsi="Arial" w:cs="Arial"/>
          <w:sz w:val="22"/>
          <w:szCs w:val="22"/>
        </w:rPr>
        <w:t xml:space="preserve">  </w:t>
      </w:r>
      <w:r w:rsidR="00E6657B" w:rsidRPr="00CA36B6">
        <w:rPr>
          <w:rFonts w:ascii="Arial" w:hAnsi="Arial" w:cs="Arial"/>
          <w:sz w:val="22"/>
          <w:szCs w:val="22"/>
        </w:rPr>
        <w:t>Rule 62-602.533, F.A.C, ado</w:t>
      </w:r>
      <w:bookmarkStart w:id="0" w:name="_GoBack"/>
      <w:bookmarkEnd w:id="0"/>
      <w:r w:rsidR="00E6657B" w:rsidRPr="00CA36B6">
        <w:rPr>
          <w:rFonts w:ascii="Arial" w:hAnsi="Arial" w:cs="Arial"/>
          <w:sz w:val="22"/>
          <w:szCs w:val="22"/>
        </w:rPr>
        <w:t>pts</w:t>
      </w:r>
      <w:r w:rsidR="00E907A0" w:rsidRPr="00CA36B6">
        <w:rPr>
          <w:rFonts w:ascii="Arial" w:hAnsi="Arial" w:cs="Arial"/>
          <w:sz w:val="22"/>
          <w:szCs w:val="22"/>
        </w:rPr>
        <w:t>,</w:t>
      </w:r>
      <w:r w:rsidR="00E6657B" w:rsidRPr="00CA36B6">
        <w:rPr>
          <w:rFonts w:ascii="Arial" w:hAnsi="Arial" w:cs="Arial"/>
          <w:sz w:val="22"/>
          <w:szCs w:val="22"/>
        </w:rPr>
        <w:t xml:space="preserve"> by reference</w:t>
      </w:r>
      <w:r w:rsidR="00E907A0" w:rsidRPr="00CA36B6">
        <w:rPr>
          <w:rFonts w:ascii="Arial" w:hAnsi="Arial" w:cs="Arial"/>
          <w:sz w:val="22"/>
          <w:szCs w:val="22"/>
        </w:rPr>
        <w:t>,</w:t>
      </w:r>
      <w:r w:rsidR="00E6657B" w:rsidRPr="00CA36B6">
        <w:rPr>
          <w:rFonts w:ascii="Arial" w:hAnsi="Arial" w:cs="Arial"/>
          <w:sz w:val="22"/>
          <w:szCs w:val="22"/>
        </w:rPr>
        <w:t xml:space="preserve"> </w:t>
      </w:r>
      <w:r w:rsidR="00D54078" w:rsidRPr="00CA36B6">
        <w:rPr>
          <w:rFonts w:ascii="Arial" w:hAnsi="Arial" w:cs="Arial"/>
          <w:sz w:val="22"/>
          <w:szCs w:val="22"/>
        </w:rPr>
        <w:t xml:space="preserve">certain </w:t>
      </w:r>
      <w:r w:rsidR="00D070E8" w:rsidRPr="00CA36B6">
        <w:rPr>
          <w:rFonts w:ascii="Arial" w:hAnsi="Arial" w:cs="Arial"/>
          <w:sz w:val="22"/>
          <w:szCs w:val="22"/>
        </w:rPr>
        <w:t xml:space="preserve">appendices </w:t>
      </w:r>
      <w:r w:rsidR="00E907A0" w:rsidRPr="00CA36B6">
        <w:rPr>
          <w:rFonts w:ascii="Arial" w:hAnsi="Arial" w:cs="Arial"/>
          <w:sz w:val="22"/>
          <w:szCs w:val="22"/>
        </w:rPr>
        <w:t xml:space="preserve">included in the TSD as </w:t>
      </w:r>
      <w:r w:rsidR="00D070E8" w:rsidRPr="00CA36B6">
        <w:rPr>
          <w:rFonts w:ascii="Arial" w:hAnsi="Arial" w:cs="Arial"/>
          <w:sz w:val="22"/>
          <w:szCs w:val="22"/>
        </w:rPr>
        <w:t>noted in this subsection.</w:t>
      </w:r>
    </w:p>
    <w:p w:rsidR="00FD5DC5" w:rsidRPr="00CA36B6" w:rsidRDefault="00FD5DC5" w:rsidP="00FD5DC5">
      <w:pPr>
        <w:pStyle w:val="Heading3"/>
        <w:numPr>
          <w:ilvl w:val="0"/>
          <w:numId w:val="0"/>
        </w:numPr>
        <w:tabs>
          <w:tab w:val="clear" w:pos="1440"/>
          <w:tab w:val="clear" w:pos="4770"/>
          <w:tab w:val="left" w:pos="810"/>
        </w:tabs>
        <w:spacing w:before="120" w:after="100" w:afterAutospacing="1" w:line="240" w:lineRule="auto"/>
        <w:ind w:firstLine="4"/>
        <w:rPr>
          <w:b w:val="0"/>
          <w:i/>
          <w:u w:val="single"/>
        </w:rPr>
      </w:pPr>
      <w:r w:rsidRPr="00CA36B6">
        <w:rPr>
          <w:b w:val="0"/>
          <w:i/>
          <w:u w:val="single"/>
        </w:rPr>
        <w:t xml:space="preserve">What DO criteria </w:t>
      </w:r>
      <w:r w:rsidR="00E907A0" w:rsidRPr="00CA36B6">
        <w:rPr>
          <w:b w:val="0"/>
          <w:i/>
          <w:u w:val="single"/>
        </w:rPr>
        <w:t>are established in R</w:t>
      </w:r>
      <w:r w:rsidR="00C9797C" w:rsidRPr="00CA36B6">
        <w:rPr>
          <w:b w:val="0"/>
          <w:i/>
          <w:u w:val="single"/>
        </w:rPr>
        <w:t xml:space="preserve">ule </w:t>
      </w:r>
      <w:r w:rsidR="00E907A0" w:rsidRPr="00CA36B6">
        <w:rPr>
          <w:b w:val="0"/>
          <w:i/>
          <w:u w:val="single"/>
        </w:rPr>
        <w:t>62-302.533, F.A.C.</w:t>
      </w:r>
      <w:r w:rsidRPr="00CA36B6">
        <w:rPr>
          <w:b w:val="0"/>
          <w:i/>
          <w:u w:val="single"/>
        </w:rPr>
        <w:t xml:space="preserve">? </w:t>
      </w:r>
    </w:p>
    <w:p w:rsidR="00AF0E15" w:rsidRPr="00CA36B6" w:rsidRDefault="00AF0E15" w:rsidP="00AF0E15">
      <w:pPr>
        <w:tabs>
          <w:tab w:val="left" w:pos="1440"/>
          <w:tab w:val="left" w:pos="4770"/>
        </w:tabs>
        <w:spacing w:before="240"/>
        <w:rPr>
          <w:rFonts w:ascii="Arial" w:hAnsi="Arial" w:cs="Arial"/>
          <w:sz w:val="22"/>
          <w:u w:val="single"/>
        </w:rPr>
      </w:pPr>
      <w:r w:rsidRPr="00CA36B6">
        <w:rPr>
          <w:rFonts w:ascii="Arial" w:hAnsi="Arial" w:cs="Arial"/>
          <w:sz w:val="22"/>
          <w:u w:val="single"/>
        </w:rPr>
        <w:t>Predominantly Fresh</w:t>
      </w:r>
      <w:r w:rsidR="00C30F91" w:rsidRPr="00CA36B6">
        <w:rPr>
          <w:rFonts w:ascii="Arial" w:hAnsi="Arial" w:cs="Arial"/>
          <w:sz w:val="22"/>
          <w:u w:val="single"/>
        </w:rPr>
        <w:t>w</w:t>
      </w:r>
      <w:r w:rsidRPr="00CA36B6">
        <w:rPr>
          <w:rFonts w:ascii="Arial" w:hAnsi="Arial" w:cs="Arial"/>
          <w:sz w:val="22"/>
          <w:u w:val="single"/>
        </w:rPr>
        <w:t>ater</w:t>
      </w:r>
      <w:r w:rsidR="00D150AC" w:rsidRPr="00CA36B6">
        <w:rPr>
          <w:rFonts w:ascii="Arial" w:hAnsi="Arial" w:cs="Arial"/>
          <w:sz w:val="22"/>
          <w:u w:val="single"/>
        </w:rPr>
        <w:t>s</w:t>
      </w:r>
      <w:r w:rsidR="00894E76" w:rsidRPr="00CA36B6">
        <w:rPr>
          <w:rFonts w:ascii="Arial" w:hAnsi="Arial" w:cs="Arial"/>
          <w:sz w:val="22"/>
          <w:u w:val="single"/>
        </w:rPr>
        <w:t xml:space="preserve"> </w:t>
      </w:r>
      <w:r w:rsidR="00C30F91" w:rsidRPr="00CA36B6">
        <w:rPr>
          <w:rFonts w:ascii="Arial" w:hAnsi="Arial" w:cs="Arial"/>
          <w:sz w:val="22"/>
          <w:u w:val="single"/>
        </w:rPr>
        <w:t>[</w:t>
      </w:r>
      <w:r w:rsidR="00D9173C">
        <w:rPr>
          <w:rFonts w:ascii="Arial" w:hAnsi="Arial" w:cs="Arial"/>
          <w:sz w:val="22"/>
          <w:u w:val="single"/>
        </w:rPr>
        <w:t xml:space="preserve">Rule </w:t>
      </w:r>
      <w:r w:rsidR="00894E76" w:rsidRPr="00CA36B6">
        <w:rPr>
          <w:rFonts w:ascii="Arial" w:hAnsi="Arial" w:cs="Arial"/>
          <w:sz w:val="22"/>
          <w:u w:val="single"/>
        </w:rPr>
        <w:t>62-302.533(1)</w:t>
      </w:r>
      <w:r w:rsidR="00C30F91" w:rsidRPr="00CA36B6">
        <w:rPr>
          <w:rFonts w:ascii="Arial" w:hAnsi="Arial" w:cs="Arial"/>
          <w:sz w:val="22"/>
          <w:u w:val="single"/>
        </w:rPr>
        <w:t>]</w:t>
      </w:r>
    </w:p>
    <w:p w:rsidR="000D71C4" w:rsidRPr="00CA36B6" w:rsidRDefault="00125D45" w:rsidP="00463973">
      <w:pPr>
        <w:tabs>
          <w:tab w:val="left" w:pos="1440"/>
          <w:tab w:val="left" w:pos="4770"/>
        </w:tabs>
        <w:spacing w:before="120" w:after="100" w:afterAutospacing="1"/>
        <w:rPr>
          <w:rFonts w:ascii="Arial" w:hAnsi="Arial" w:cs="Arial"/>
          <w:sz w:val="22"/>
        </w:rPr>
      </w:pPr>
      <w:r w:rsidRPr="00CA36B6">
        <w:rPr>
          <w:rFonts w:ascii="Arial" w:hAnsi="Arial" w:cs="Arial"/>
          <w:sz w:val="22"/>
        </w:rPr>
        <w:t>Freshwater DO criteria vary regionally</w:t>
      </w:r>
      <w:r w:rsidR="005A4994" w:rsidRPr="00CA36B6">
        <w:rPr>
          <w:rFonts w:ascii="Arial" w:hAnsi="Arial" w:cs="Arial"/>
          <w:sz w:val="22"/>
        </w:rPr>
        <w:t xml:space="preserve"> and are based on the daily average %DO saturation needed to maintain healthy freshwater aquatic populations</w:t>
      </w:r>
      <w:r w:rsidRPr="00CA36B6">
        <w:rPr>
          <w:rFonts w:ascii="Arial" w:hAnsi="Arial" w:cs="Arial"/>
          <w:sz w:val="22"/>
        </w:rPr>
        <w:t xml:space="preserve">.  </w:t>
      </w:r>
      <w:r w:rsidR="00FD5DC5" w:rsidRPr="00CA36B6">
        <w:rPr>
          <w:rFonts w:ascii="Arial" w:hAnsi="Arial" w:cs="Arial"/>
          <w:sz w:val="22"/>
        </w:rPr>
        <w:t>In predominantly freshwater</w:t>
      </w:r>
      <w:r w:rsidR="007F34CE" w:rsidRPr="00CA36B6">
        <w:rPr>
          <w:rFonts w:ascii="Arial" w:hAnsi="Arial" w:cs="Arial"/>
          <w:sz w:val="22"/>
        </w:rPr>
        <w:t>s</w:t>
      </w:r>
      <w:r w:rsidR="00DA3E9C" w:rsidRPr="00CA36B6">
        <w:rPr>
          <w:rFonts w:ascii="Arial" w:hAnsi="Arial" w:cs="Arial"/>
          <w:sz w:val="22"/>
        </w:rPr>
        <w:t xml:space="preserve"> (Class I, Class III and Class III-Limited)</w:t>
      </w:r>
      <w:r w:rsidR="007F34CE" w:rsidRPr="00CA36B6">
        <w:rPr>
          <w:rFonts w:ascii="Arial" w:hAnsi="Arial" w:cs="Arial"/>
          <w:sz w:val="22"/>
        </w:rPr>
        <w:t>,</w:t>
      </w:r>
      <w:r w:rsidR="00FD5DC5" w:rsidRPr="00CA36B6">
        <w:rPr>
          <w:rFonts w:ascii="Arial" w:hAnsi="Arial" w:cs="Arial"/>
          <w:sz w:val="22"/>
        </w:rPr>
        <w:t xml:space="preserve"> n</w:t>
      </w:r>
      <w:r w:rsidR="00AB2D6B" w:rsidRPr="00CA36B6">
        <w:rPr>
          <w:rFonts w:ascii="Arial" w:hAnsi="Arial" w:cs="Arial"/>
          <w:sz w:val="22"/>
        </w:rPr>
        <w:t xml:space="preserve">o more than 10 percent of the daily average </w:t>
      </w:r>
      <w:r w:rsidR="009137A8" w:rsidRPr="00CA36B6">
        <w:rPr>
          <w:rFonts w:ascii="Arial" w:hAnsi="Arial" w:cs="Arial"/>
          <w:sz w:val="22"/>
        </w:rPr>
        <w:t>%DO</w:t>
      </w:r>
      <w:r w:rsidR="00AB2D6B" w:rsidRPr="00CA36B6">
        <w:rPr>
          <w:rFonts w:ascii="Arial" w:hAnsi="Arial" w:cs="Arial"/>
          <w:sz w:val="22"/>
        </w:rPr>
        <w:t xml:space="preserve"> saturation values shall be below: </w:t>
      </w:r>
    </w:p>
    <w:p w:rsidR="00FD5DC5" w:rsidRPr="00CA36B6" w:rsidRDefault="00AB2D6B" w:rsidP="00FD5DC5">
      <w:pPr>
        <w:pStyle w:val="ListParagraph"/>
        <w:numPr>
          <w:ilvl w:val="0"/>
          <w:numId w:val="36"/>
        </w:numPr>
        <w:tabs>
          <w:tab w:val="left" w:pos="360"/>
          <w:tab w:val="left" w:pos="4770"/>
        </w:tabs>
        <w:spacing w:after="120"/>
        <w:ind w:left="360"/>
        <w:rPr>
          <w:rFonts w:ascii="Arial" w:hAnsi="Arial" w:cs="Arial"/>
          <w:sz w:val="22"/>
        </w:rPr>
      </w:pPr>
      <w:r w:rsidRPr="00CA36B6">
        <w:rPr>
          <w:rFonts w:ascii="Arial" w:hAnsi="Arial" w:cs="Arial"/>
          <w:sz w:val="22"/>
        </w:rPr>
        <w:t xml:space="preserve">67 percent in the Panhandle West bioregion, </w:t>
      </w:r>
    </w:p>
    <w:p w:rsidR="00FD5DC5" w:rsidRPr="00CA36B6" w:rsidRDefault="00FD5DC5" w:rsidP="00FD5DC5">
      <w:pPr>
        <w:pStyle w:val="ListParagraph"/>
        <w:numPr>
          <w:ilvl w:val="0"/>
          <w:numId w:val="36"/>
        </w:numPr>
        <w:tabs>
          <w:tab w:val="left" w:pos="360"/>
          <w:tab w:val="left" w:pos="4770"/>
        </w:tabs>
        <w:spacing w:after="120"/>
        <w:ind w:left="360"/>
        <w:rPr>
          <w:rFonts w:ascii="Arial" w:hAnsi="Arial" w:cs="Arial"/>
          <w:sz w:val="22"/>
        </w:rPr>
      </w:pPr>
      <w:r w:rsidRPr="00CA36B6">
        <w:rPr>
          <w:rFonts w:ascii="Arial" w:hAnsi="Arial" w:cs="Arial"/>
          <w:sz w:val="22"/>
        </w:rPr>
        <w:t>38 percent in the Peninsula and Everglades bioregions, or</w:t>
      </w:r>
    </w:p>
    <w:p w:rsidR="00AB2D6B" w:rsidRPr="00CA36B6" w:rsidRDefault="00FD5DC5" w:rsidP="00FD5DC5">
      <w:pPr>
        <w:pStyle w:val="ListParagraph"/>
        <w:numPr>
          <w:ilvl w:val="0"/>
          <w:numId w:val="36"/>
        </w:numPr>
        <w:tabs>
          <w:tab w:val="left" w:pos="360"/>
          <w:tab w:val="left" w:pos="4770"/>
        </w:tabs>
        <w:spacing w:after="120"/>
        <w:ind w:left="360"/>
        <w:rPr>
          <w:rFonts w:ascii="Arial" w:hAnsi="Arial" w:cs="Arial"/>
          <w:sz w:val="22"/>
        </w:rPr>
      </w:pPr>
      <w:r w:rsidRPr="00CA36B6">
        <w:rPr>
          <w:rFonts w:ascii="Arial" w:hAnsi="Arial" w:cs="Arial"/>
          <w:sz w:val="22"/>
        </w:rPr>
        <w:t>34 percent in the Northeast and Big Bend bioregions</w:t>
      </w:r>
      <w:r w:rsidR="00D54078" w:rsidRPr="00CA36B6">
        <w:rPr>
          <w:rFonts w:ascii="Arial" w:hAnsi="Arial" w:cs="Arial"/>
          <w:sz w:val="22"/>
        </w:rPr>
        <w:t>.</w:t>
      </w:r>
      <w:r w:rsidR="00AB2D6B" w:rsidRPr="00CA36B6">
        <w:rPr>
          <w:rFonts w:ascii="Arial" w:hAnsi="Arial" w:cs="Arial"/>
          <w:sz w:val="22"/>
        </w:rPr>
        <w:t xml:space="preserve"> </w:t>
      </w:r>
    </w:p>
    <w:p w:rsidR="00996472" w:rsidRPr="00CA36B6" w:rsidRDefault="00AB2D6B" w:rsidP="00463973">
      <w:pPr>
        <w:tabs>
          <w:tab w:val="left" w:pos="1440"/>
          <w:tab w:val="left" w:pos="4770"/>
        </w:tabs>
        <w:spacing w:before="240" w:after="100" w:afterAutospacing="1"/>
        <w:rPr>
          <w:rFonts w:ascii="Arial" w:hAnsi="Arial" w:cs="Arial"/>
          <w:sz w:val="22"/>
        </w:rPr>
      </w:pPr>
      <w:r w:rsidRPr="00CA36B6">
        <w:rPr>
          <w:rFonts w:ascii="Arial" w:hAnsi="Arial" w:cs="Arial"/>
          <w:sz w:val="22"/>
        </w:rPr>
        <w:t xml:space="preserve">A map of the bioregions is </w:t>
      </w:r>
      <w:r w:rsidR="00C30F91" w:rsidRPr="00CA36B6">
        <w:rPr>
          <w:rFonts w:ascii="Arial" w:hAnsi="Arial" w:cs="Arial"/>
          <w:sz w:val="22"/>
        </w:rPr>
        <w:t>provided</w:t>
      </w:r>
      <w:r w:rsidRPr="00CA36B6">
        <w:rPr>
          <w:rFonts w:ascii="Arial" w:hAnsi="Arial" w:cs="Arial"/>
          <w:sz w:val="22"/>
        </w:rPr>
        <w:t xml:space="preserve"> in SCI 1000: Stream Condition Index Methods (DEP-SOP-003/11 SCI 1000) (</w:t>
      </w:r>
      <w:hyperlink r:id="rId12" w:history="1">
        <w:r w:rsidRPr="00CA36B6">
          <w:rPr>
            <w:rStyle w:val="Hyperlink"/>
            <w:rFonts w:ascii="Arial" w:hAnsi="Arial" w:cs="Arial"/>
            <w:sz w:val="22"/>
          </w:rPr>
          <w:t>http://www.flrules.org/Gateway/reference.asp?No=Ref-02959</w:t>
        </w:r>
      </w:hyperlink>
      <w:r w:rsidRPr="00CA36B6">
        <w:rPr>
          <w:rFonts w:ascii="Arial" w:hAnsi="Arial" w:cs="Arial"/>
          <w:sz w:val="22"/>
        </w:rPr>
        <w:t>), which is incorporated by reference in Rule 62-160.800, F.A.C.</w:t>
      </w:r>
    </w:p>
    <w:p w:rsidR="00744CB1" w:rsidRPr="00CA36B6" w:rsidRDefault="008906EE" w:rsidP="008906EE">
      <w:pPr>
        <w:tabs>
          <w:tab w:val="left" w:pos="1440"/>
          <w:tab w:val="left" w:pos="4770"/>
        </w:tabs>
        <w:spacing w:before="240"/>
        <w:rPr>
          <w:rFonts w:ascii="Arial" w:hAnsi="Arial" w:cs="Arial"/>
          <w:sz w:val="22"/>
          <w:u w:val="single"/>
        </w:rPr>
      </w:pPr>
      <w:r w:rsidRPr="00CA36B6">
        <w:rPr>
          <w:rFonts w:ascii="Arial" w:hAnsi="Arial" w:cs="Arial"/>
          <w:sz w:val="22"/>
          <w:u w:val="single"/>
        </w:rPr>
        <w:t>Predominantly Marine Water</w:t>
      </w:r>
      <w:r w:rsidR="008D7E72" w:rsidRPr="00CA36B6">
        <w:rPr>
          <w:rFonts w:ascii="Arial" w:hAnsi="Arial" w:cs="Arial"/>
          <w:sz w:val="22"/>
          <w:u w:val="single"/>
        </w:rPr>
        <w:t>s</w:t>
      </w:r>
      <w:r w:rsidR="00894E76" w:rsidRPr="00CA36B6">
        <w:rPr>
          <w:rFonts w:ascii="Arial" w:hAnsi="Arial" w:cs="Arial"/>
          <w:sz w:val="22"/>
          <w:u w:val="single"/>
        </w:rPr>
        <w:t xml:space="preserve"> </w:t>
      </w:r>
      <w:r w:rsidR="00C30F91" w:rsidRPr="00CA36B6">
        <w:rPr>
          <w:rFonts w:ascii="Arial" w:hAnsi="Arial" w:cs="Arial"/>
          <w:sz w:val="22"/>
          <w:u w:val="single"/>
        </w:rPr>
        <w:t>[</w:t>
      </w:r>
      <w:r w:rsidR="00D9173C">
        <w:rPr>
          <w:rFonts w:ascii="Arial" w:hAnsi="Arial" w:cs="Arial"/>
          <w:sz w:val="22"/>
          <w:u w:val="single"/>
        </w:rPr>
        <w:t xml:space="preserve">Rule </w:t>
      </w:r>
      <w:r w:rsidR="00894E76" w:rsidRPr="00CA36B6">
        <w:rPr>
          <w:rFonts w:ascii="Arial" w:hAnsi="Arial" w:cs="Arial"/>
          <w:sz w:val="22"/>
          <w:u w:val="single"/>
        </w:rPr>
        <w:t>62-302.533(2)</w:t>
      </w:r>
      <w:r w:rsidR="00C30F91" w:rsidRPr="00CA36B6">
        <w:rPr>
          <w:rFonts w:ascii="Arial" w:hAnsi="Arial" w:cs="Arial"/>
          <w:sz w:val="22"/>
          <w:u w:val="single"/>
        </w:rPr>
        <w:t>]</w:t>
      </w:r>
    </w:p>
    <w:p w:rsidR="00125D45" w:rsidRPr="00CA36B6" w:rsidRDefault="00125D45" w:rsidP="008906EE">
      <w:pPr>
        <w:tabs>
          <w:tab w:val="left" w:pos="1440"/>
          <w:tab w:val="left" w:pos="4770"/>
        </w:tabs>
        <w:spacing w:before="120"/>
        <w:rPr>
          <w:rFonts w:ascii="Arial" w:hAnsi="Arial" w:cs="Arial"/>
          <w:sz w:val="22"/>
        </w:rPr>
      </w:pPr>
      <w:r w:rsidRPr="00CA36B6">
        <w:rPr>
          <w:rFonts w:ascii="Arial" w:hAnsi="Arial" w:cs="Arial"/>
          <w:sz w:val="22"/>
        </w:rPr>
        <w:t xml:space="preserve">Marine </w:t>
      </w:r>
      <w:r w:rsidR="008906EE" w:rsidRPr="00CA36B6">
        <w:rPr>
          <w:rFonts w:ascii="Arial" w:hAnsi="Arial" w:cs="Arial"/>
          <w:sz w:val="22"/>
        </w:rPr>
        <w:t xml:space="preserve">water </w:t>
      </w:r>
      <w:r w:rsidRPr="00CA36B6">
        <w:rPr>
          <w:rFonts w:ascii="Arial" w:hAnsi="Arial" w:cs="Arial"/>
          <w:sz w:val="22"/>
        </w:rPr>
        <w:t xml:space="preserve">DO criteria are applicable statewide and are based on </w:t>
      </w:r>
      <w:r w:rsidR="005A4994" w:rsidRPr="00CA36B6">
        <w:rPr>
          <w:rFonts w:ascii="Arial" w:hAnsi="Arial" w:cs="Arial"/>
          <w:sz w:val="22"/>
        </w:rPr>
        <w:t>the daily, weekly</w:t>
      </w:r>
      <w:r w:rsidR="008D7E72" w:rsidRPr="00CA36B6">
        <w:rPr>
          <w:rFonts w:ascii="Arial" w:hAnsi="Arial" w:cs="Arial"/>
          <w:sz w:val="22"/>
        </w:rPr>
        <w:t>,</w:t>
      </w:r>
      <w:r w:rsidR="005A4994" w:rsidRPr="00CA36B6">
        <w:rPr>
          <w:rFonts w:ascii="Arial" w:hAnsi="Arial" w:cs="Arial"/>
          <w:sz w:val="22"/>
        </w:rPr>
        <w:t xml:space="preserve"> and monthly average %DO saturation </w:t>
      </w:r>
      <w:r w:rsidR="009C036B" w:rsidRPr="00CA36B6">
        <w:rPr>
          <w:rFonts w:ascii="Arial" w:hAnsi="Arial" w:cs="Arial"/>
          <w:sz w:val="22"/>
        </w:rPr>
        <w:t>needed to maintain</w:t>
      </w:r>
      <w:r w:rsidR="005A4994" w:rsidRPr="00CA36B6">
        <w:rPr>
          <w:rFonts w:ascii="Arial" w:hAnsi="Arial" w:cs="Arial"/>
          <w:sz w:val="22"/>
        </w:rPr>
        <w:t xml:space="preserve"> </w:t>
      </w:r>
      <w:r w:rsidR="00032DA8" w:rsidRPr="00CA36B6">
        <w:rPr>
          <w:rFonts w:ascii="Arial" w:hAnsi="Arial" w:cs="Arial"/>
          <w:sz w:val="22"/>
        </w:rPr>
        <w:t xml:space="preserve">healthy populations of </w:t>
      </w:r>
      <w:r w:rsidRPr="00CA36B6">
        <w:rPr>
          <w:rFonts w:ascii="Arial" w:hAnsi="Arial" w:cs="Arial"/>
          <w:sz w:val="22"/>
        </w:rPr>
        <w:t>a wide range of DO-sensitive aquatic species</w:t>
      </w:r>
      <w:r w:rsidR="009C34E5">
        <w:rPr>
          <w:rFonts w:ascii="Arial" w:hAnsi="Arial" w:cs="Arial"/>
          <w:sz w:val="22"/>
        </w:rPr>
        <w:t>, with respect to the</w:t>
      </w:r>
      <w:r w:rsidR="009C34E5" w:rsidRPr="009C34E5">
        <w:rPr>
          <w:rFonts w:ascii="Arial" w:hAnsi="Arial" w:cs="Arial"/>
          <w:sz w:val="22"/>
        </w:rPr>
        <w:t xml:space="preserve"> duration of the exposure of </w:t>
      </w:r>
      <w:r w:rsidR="009C34E5">
        <w:rPr>
          <w:rFonts w:ascii="Arial" w:hAnsi="Arial" w:cs="Arial"/>
          <w:sz w:val="22"/>
        </w:rPr>
        <w:t>these</w:t>
      </w:r>
      <w:r w:rsidR="009C34E5" w:rsidRPr="009C34E5">
        <w:rPr>
          <w:rFonts w:ascii="Arial" w:hAnsi="Arial" w:cs="Arial"/>
          <w:sz w:val="22"/>
        </w:rPr>
        <w:t xml:space="preserve"> species to various levels of % DO saturation.  </w:t>
      </w:r>
    </w:p>
    <w:p w:rsidR="009137A8" w:rsidRPr="00CA36B6" w:rsidRDefault="009137A8" w:rsidP="00463973">
      <w:pPr>
        <w:tabs>
          <w:tab w:val="left" w:pos="1440"/>
          <w:tab w:val="left" w:pos="4770"/>
        </w:tabs>
        <w:spacing w:before="240" w:after="100" w:afterAutospacing="1"/>
        <w:rPr>
          <w:rFonts w:ascii="Arial" w:hAnsi="Arial" w:cs="Arial"/>
          <w:sz w:val="22"/>
        </w:rPr>
      </w:pPr>
      <w:r w:rsidRPr="00CA36B6">
        <w:rPr>
          <w:rFonts w:ascii="Arial" w:hAnsi="Arial" w:cs="Arial"/>
          <w:sz w:val="22"/>
        </w:rPr>
        <w:t>In predominantly marine waters (Class II, Class III and Class III-Limited)</w:t>
      </w:r>
      <w:r w:rsidR="00D9173C">
        <w:rPr>
          <w:rFonts w:ascii="Arial" w:hAnsi="Arial" w:cs="Arial"/>
          <w:sz w:val="22"/>
        </w:rPr>
        <w:t>,</w:t>
      </w:r>
      <w:r w:rsidRPr="00CA36B6">
        <w:rPr>
          <w:rFonts w:ascii="Arial" w:hAnsi="Arial" w:cs="Arial"/>
          <w:sz w:val="22"/>
        </w:rPr>
        <w:t xml:space="preserve"> the minimum %DO saturation </w:t>
      </w:r>
      <w:r w:rsidR="008D7E72" w:rsidRPr="00CA36B6">
        <w:rPr>
          <w:rFonts w:ascii="Arial" w:hAnsi="Arial" w:cs="Arial"/>
          <w:sz w:val="22"/>
        </w:rPr>
        <w:t xml:space="preserve">levels </w:t>
      </w:r>
      <w:r w:rsidRPr="00CA36B6">
        <w:rPr>
          <w:rFonts w:ascii="Arial" w:hAnsi="Arial" w:cs="Arial"/>
          <w:sz w:val="22"/>
        </w:rPr>
        <w:t>shall be:</w:t>
      </w:r>
    </w:p>
    <w:p w:rsidR="009137A8" w:rsidRPr="00CA36B6" w:rsidRDefault="009137A8" w:rsidP="009137A8">
      <w:pPr>
        <w:pStyle w:val="ListParagraph"/>
        <w:numPr>
          <w:ilvl w:val="0"/>
          <w:numId w:val="38"/>
        </w:numPr>
        <w:tabs>
          <w:tab w:val="left" w:pos="360"/>
          <w:tab w:val="left" w:pos="1440"/>
          <w:tab w:val="left" w:pos="4770"/>
        </w:tabs>
        <w:spacing w:before="240" w:after="100" w:afterAutospacing="1"/>
        <w:ind w:left="360"/>
        <w:rPr>
          <w:rFonts w:ascii="Arial" w:hAnsi="Arial" w:cs="Arial"/>
          <w:sz w:val="22"/>
        </w:rPr>
      </w:pPr>
      <w:r w:rsidRPr="00CA36B6">
        <w:rPr>
          <w:rFonts w:ascii="Arial" w:hAnsi="Arial" w:cs="Arial"/>
          <w:sz w:val="22"/>
        </w:rPr>
        <w:t xml:space="preserve">The daily average percent DO saturation shall not be below 42 percent saturation in more than 10 percent of the values; </w:t>
      </w:r>
    </w:p>
    <w:p w:rsidR="009137A8" w:rsidRPr="00CA36B6" w:rsidRDefault="009137A8" w:rsidP="009137A8">
      <w:pPr>
        <w:pStyle w:val="ListParagraph"/>
        <w:numPr>
          <w:ilvl w:val="0"/>
          <w:numId w:val="38"/>
        </w:numPr>
        <w:tabs>
          <w:tab w:val="left" w:pos="360"/>
          <w:tab w:val="left" w:pos="1440"/>
          <w:tab w:val="left" w:pos="4770"/>
        </w:tabs>
        <w:spacing w:before="240" w:after="100" w:afterAutospacing="1"/>
        <w:ind w:left="360"/>
        <w:rPr>
          <w:rFonts w:ascii="Arial" w:hAnsi="Arial" w:cs="Arial"/>
          <w:sz w:val="22"/>
        </w:rPr>
      </w:pPr>
      <w:r w:rsidRPr="00CA36B6">
        <w:rPr>
          <w:rFonts w:ascii="Arial" w:hAnsi="Arial" w:cs="Arial"/>
          <w:sz w:val="22"/>
        </w:rPr>
        <w:t xml:space="preserve">The seven-day average DO percent saturation shall not be below 51 percent more than once in any twelve week period; and </w:t>
      </w:r>
    </w:p>
    <w:p w:rsidR="00AB2D6B" w:rsidRPr="00CA36B6" w:rsidRDefault="009137A8" w:rsidP="009137A8">
      <w:pPr>
        <w:pStyle w:val="ListParagraph"/>
        <w:numPr>
          <w:ilvl w:val="0"/>
          <w:numId w:val="38"/>
        </w:numPr>
        <w:tabs>
          <w:tab w:val="left" w:pos="360"/>
          <w:tab w:val="left" w:pos="1440"/>
          <w:tab w:val="left" w:pos="4770"/>
        </w:tabs>
        <w:spacing w:before="240" w:after="100" w:afterAutospacing="1"/>
        <w:ind w:left="360"/>
        <w:rPr>
          <w:rFonts w:ascii="Arial" w:hAnsi="Arial" w:cs="Arial"/>
          <w:sz w:val="22"/>
        </w:rPr>
      </w:pPr>
      <w:r w:rsidRPr="00CA36B6">
        <w:rPr>
          <w:rFonts w:ascii="Arial" w:hAnsi="Arial" w:cs="Arial"/>
          <w:sz w:val="22"/>
        </w:rPr>
        <w:lastRenderedPageBreak/>
        <w:t>The 30-day average DO percent saturation shall not be below 56 percent more than once per year.</w:t>
      </w:r>
    </w:p>
    <w:p w:rsidR="0069514A" w:rsidRPr="00CA36B6" w:rsidRDefault="0069514A" w:rsidP="0069514A">
      <w:pPr>
        <w:pStyle w:val="Heading3"/>
        <w:numPr>
          <w:ilvl w:val="0"/>
          <w:numId w:val="0"/>
        </w:numPr>
        <w:tabs>
          <w:tab w:val="clear" w:pos="1440"/>
          <w:tab w:val="clear" w:pos="4770"/>
          <w:tab w:val="left" w:pos="810"/>
        </w:tabs>
        <w:spacing w:before="120" w:after="100" w:afterAutospacing="1" w:line="240" w:lineRule="auto"/>
        <w:ind w:firstLine="4"/>
        <w:rPr>
          <w:b w:val="0"/>
          <w:sz w:val="22"/>
          <w:szCs w:val="22"/>
          <w:u w:val="single"/>
        </w:rPr>
      </w:pPr>
      <w:r w:rsidRPr="00CA36B6">
        <w:rPr>
          <w:b w:val="0"/>
          <w:sz w:val="22"/>
          <w:szCs w:val="22"/>
          <w:u w:val="single"/>
        </w:rPr>
        <w:t>Exceptions to the Criteria</w:t>
      </w:r>
    </w:p>
    <w:p w:rsidR="0069514A" w:rsidRPr="00CA36B6" w:rsidRDefault="006449F3" w:rsidP="0069514A">
      <w:pPr>
        <w:tabs>
          <w:tab w:val="left" w:pos="1440"/>
          <w:tab w:val="left" w:pos="4770"/>
        </w:tabs>
        <w:spacing w:before="240" w:after="100" w:afterAutospacing="1"/>
        <w:rPr>
          <w:rFonts w:ascii="Arial" w:hAnsi="Arial" w:cs="Arial"/>
          <w:sz w:val="22"/>
        </w:rPr>
      </w:pPr>
      <w:r w:rsidRPr="00CA36B6">
        <w:rPr>
          <w:rFonts w:ascii="Arial" w:hAnsi="Arial" w:cs="Arial"/>
          <w:sz w:val="22"/>
        </w:rPr>
        <w:t>R</w:t>
      </w:r>
      <w:r w:rsidR="0069514A" w:rsidRPr="00CA36B6">
        <w:rPr>
          <w:rFonts w:ascii="Arial" w:hAnsi="Arial" w:cs="Arial"/>
          <w:sz w:val="22"/>
        </w:rPr>
        <w:t xml:space="preserve">ule </w:t>
      </w:r>
      <w:r w:rsidRPr="00CA36B6">
        <w:rPr>
          <w:rFonts w:ascii="Arial" w:hAnsi="Arial" w:cs="Arial"/>
          <w:sz w:val="22"/>
        </w:rPr>
        <w:t>62-302.533, F.A.C.</w:t>
      </w:r>
      <w:r w:rsidR="00C30F91" w:rsidRPr="00CA36B6">
        <w:rPr>
          <w:rFonts w:ascii="Arial" w:hAnsi="Arial" w:cs="Arial"/>
          <w:sz w:val="22"/>
        </w:rPr>
        <w:t>,</w:t>
      </w:r>
      <w:r w:rsidRPr="00CA36B6">
        <w:rPr>
          <w:rFonts w:ascii="Arial" w:hAnsi="Arial" w:cs="Arial"/>
          <w:sz w:val="22"/>
        </w:rPr>
        <w:t xml:space="preserve"> </w:t>
      </w:r>
      <w:r w:rsidR="0069514A" w:rsidRPr="00CA36B6">
        <w:rPr>
          <w:rFonts w:ascii="Arial" w:hAnsi="Arial" w:cs="Arial"/>
          <w:sz w:val="22"/>
        </w:rPr>
        <w:t xml:space="preserve">includes </w:t>
      </w:r>
      <w:r w:rsidR="003E0796" w:rsidRPr="00CA36B6">
        <w:rPr>
          <w:rFonts w:ascii="Arial" w:hAnsi="Arial" w:cs="Arial"/>
          <w:sz w:val="22"/>
        </w:rPr>
        <w:t xml:space="preserve">the following </w:t>
      </w:r>
      <w:r w:rsidRPr="00CA36B6">
        <w:rPr>
          <w:rFonts w:ascii="Arial" w:hAnsi="Arial" w:cs="Arial"/>
          <w:sz w:val="22"/>
        </w:rPr>
        <w:t xml:space="preserve">exceptions to the </w:t>
      </w:r>
      <w:r w:rsidR="00D55BD9">
        <w:rPr>
          <w:rFonts w:ascii="Arial" w:hAnsi="Arial" w:cs="Arial"/>
          <w:sz w:val="22"/>
        </w:rPr>
        <w:t xml:space="preserve">generally applicable </w:t>
      </w:r>
      <w:r w:rsidRPr="00CA36B6">
        <w:rPr>
          <w:rFonts w:ascii="Arial" w:hAnsi="Arial" w:cs="Arial"/>
          <w:sz w:val="22"/>
        </w:rPr>
        <w:t>criteria discussed abov</w:t>
      </w:r>
      <w:r w:rsidR="003E0796" w:rsidRPr="00CA36B6">
        <w:rPr>
          <w:rFonts w:ascii="Arial" w:hAnsi="Arial" w:cs="Arial"/>
          <w:sz w:val="22"/>
        </w:rPr>
        <w:t>e</w:t>
      </w:r>
      <w:r w:rsidR="00DA4774" w:rsidRPr="00CA36B6">
        <w:rPr>
          <w:rFonts w:ascii="Arial" w:hAnsi="Arial" w:cs="Arial"/>
          <w:sz w:val="22"/>
        </w:rPr>
        <w:t xml:space="preserve">.  </w:t>
      </w:r>
      <w:r w:rsidR="007C7472">
        <w:rPr>
          <w:rFonts w:ascii="Arial" w:hAnsi="Arial" w:cs="Arial"/>
          <w:sz w:val="22"/>
        </w:rPr>
        <w:t>For permits involving these exceptions, p</w:t>
      </w:r>
      <w:r w:rsidR="00B25940">
        <w:rPr>
          <w:rFonts w:ascii="Arial" w:hAnsi="Arial" w:cs="Arial"/>
          <w:sz w:val="22"/>
        </w:rPr>
        <w:t>ermitting staff are strongly encouraged to</w:t>
      </w:r>
      <w:r w:rsidR="00B25940" w:rsidRPr="00CA36B6">
        <w:rPr>
          <w:rFonts w:ascii="Arial" w:hAnsi="Arial" w:cs="Arial"/>
          <w:sz w:val="22"/>
        </w:rPr>
        <w:t xml:space="preserve"> consult the Division of Environmental Assessment and Restoration (DEAR) </w:t>
      </w:r>
      <w:r w:rsidR="00B25940" w:rsidRPr="00CE6D7B">
        <w:rPr>
          <w:rFonts w:ascii="Arial" w:hAnsi="Arial" w:cs="Arial"/>
          <w:sz w:val="22"/>
        </w:rPr>
        <w:t xml:space="preserve">Water Quality Standards Program </w:t>
      </w:r>
      <w:r w:rsidR="003A26BD">
        <w:rPr>
          <w:rFonts w:ascii="Arial" w:hAnsi="Arial" w:cs="Arial"/>
          <w:sz w:val="22"/>
        </w:rPr>
        <w:t>(WQSP)</w:t>
      </w:r>
      <w:r w:rsidR="00B25940">
        <w:rPr>
          <w:rFonts w:ascii="Arial" w:hAnsi="Arial" w:cs="Arial"/>
          <w:sz w:val="22"/>
        </w:rPr>
        <w:t>.</w:t>
      </w:r>
    </w:p>
    <w:p w:rsidR="0069514A" w:rsidRPr="00CA36B6" w:rsidRDefault="003A26BD" w:rsidP="00BD7CFB">
      <w:pPr>
        <w:pStyle w:val="ListParagraph"/>
        <w:numPr>
          <w:ilvl w:val="0"/>
          <w:numId w:val="35"/>
        </w:numPr>
        <w:tabs>
          <w:tab w:val="left" w:pos="1440"/>
          <w:tab w:val="left" w:pos="4770"/>
        </w:tabs>
        <w:spacing w:before="240" w:after="120"/>
        <w:ind w:left="763"/>
        <w:contextualSpacing w:val="0"/>
        <w:rPr>
          <w:rFonts w:ascii="Arial" w:hAnsi="Arial" w:cs="Arial"/>
          <w:sz w:val="22"/>
        </w:rPr>
      </w:pPr>
      <w:r>
        <w:rPr>
          <w:rFonts w:ascii="Arial" w:hAnsi="Arial" w:cs="Arial"/>
          <w:sz w:val="22"/>
        </w:rPr>
        <w:t>Paragraph</w:t>
      </w:r>
      <w:r w:rsidRPr="00CA36B6">
        <w:rPr>
          <w:rFonts w:ascii="Arial" w:hAnsi="Arial" w:cs="Arial"/>
          <w:sz w:val="22"/>
        </w:rPr>
        <w:t xml:space="preserve">s </w:t>
      </w:r>
      <w:r w:rsidR="00083363" w:rsidRPr="00CA36B6">
        <w:rPr>
          <w:rFonts w:ascii="Arial" w:hAnsi="Arial" w:cs="Arial"/>
          <w:sz w:val="22"/>
        </w:rPr>
        <w:t>62-302.533(1)(c)-(e)</w:t>
      </w:r>
      <w:r w:rsidR="00DA6117" w:rsidRPr="00CA36B6">
        <w:rPr>
          <w:rFonts w:ascii="Arial" w:hAnsi="Arial" w:cs="Arial"/>
          <w:sz w:val="22"/>
        </w:rPr>
        <w:t>, F.A.C.</w:t>
      </w:r>
      <w:r w:rsidR="00C30F91" w:rsidRPr="00CA36B6">
        <w:rPr>
          <w:rFonts w:ascii="Arial" w:hAnsi="Arial" w:cs="Arial"/>
          <w:sz w:val="22"/>
        </w:rPr>
        <w:t>,</w:t>
      </w:r>
      <w:r w:rsidR="00083363" w:rsidRPr="00CA36B6">
        <w:rPr>
          <w:rFonts w:ascii="Arial" w:hAnsi="Arial" w:cs="Arial"/>
          <w:sz w:val="22"/>
        </w:rPr>
        <w:t xml:space="preserve"> provide </w:t>
      </w:r>
      <w:r w:rsidR="003E0796" w:rsidRPr="00CA36B6">
        <w:rPr>
          <w:rFonts w:ascii="Arial" w:hAnsi="Arial" w:cs="Arial"/>
          <w:sz w:val="22"/>
        </w:rPr>
        <w:t>exceptions</w:t>
      </w:r>
      <w:r w:rsidR="0069514A" w:rsidRPr="00CA36B6">
        <w:rPr>
          <w:rFonts w:ascii="Arial" w:hAnsi="Arial" w:cs="Arial"/>
          <w:sz w:val="22"/>
        </w:rPr>
        <w:t xml:space="preserve"> for segments of the Suwannee</w:t>
      </w:r>
      <w:r w:rsidR="003E0796" w:rsidRPr="00CA36B6">
        <w:rPr>
          <w:rFonts w:ascii="Arial" w:hAnsi="Arial" w:cs="Arial"/>
          <w:sz w:val="22"/>
        </w:rPr>
        <w:t>,</w:t>
      </w:r>
      <w:r w:rsidR="0069514A" w:rsidRPr="00CA36B6">
        <w:rPr>
          <w:rFonts w:ascii="Arial" w:hAnsi="Arial" w:cs="Arial"/>
          <w:sz w:val="22"/>
        </w:rPr>
        <w:t xml:space="preserve"> </w:t>
      </w:r>
      <w:r w:rsidR="003E0796" w:rsidRPr="00CA36B6">
        <w:rPr>
          <w:rFonts w:ascii="Arial" w:hAnsi="Arial" w:cs="Arial"/>
          <w:sz w:val="22"/>
        </w:rPr>
        <w:t>Withlacoochee (north), Santa Fe, New</w:t>
      </w:r>
      <w:r w:rsidR="00C30F91" w:rsidRPr="00CA36B6">
        <w:rPr>
          <w:rFonts w:ascii="Arial" w:hAnsi="Arial" w:cs="Arial"/>
          <w:sz w:val="22"/>
        </w:rPr>
        <w:t>,</w:t>
      </w:r>
      <w:r w:rsidR="003E0796" w:rsidRPr="00CA36B6">
        <w:rPr>
          <w:rFonts w:ascii="Arial" w:hAnsi="Arial" w:cs="Arial"/>
          <w:sz w:val="22"/>
        </w:rPr>
        <w:t xml:space="preserve"> and </w:t>
      </w:r>
      <w:r w:rsidR="0069514A" w:rsidRPr="00CA36B6">
        <w:rPr>
          <w:rFonts w:ascii="Arial" w:hAnsi="Arial" w:cs="Arial"/>
          <w:sz w:val="22"/>
        </w:rPr>
        <w:t>St. Johns River</w:t>
      </w:r>
      <w:r w:rsidR="003E0796" w:rsidRPr="00CA36B6">
        <w:rPr>
          <w:rFonts w:ascii="Arial" w:hAnsi="Arial" w:cs="Arial"/>
          <w:sz w:val="22"/>
        </w:rPr>
        <w:t>s</w:t>
      </w:r>
      <w:r w:rsidR="0069514A" w:rsidRPr="00CA36B6">
        <w:rPr>
          <w:rFonts w:ascii="Arial" w:hAnsi="Arial" w:cs="Arial"/>
          <w:sz w:val="22"/>
        </w:rPr>
        <w:t xml:space="preserve"> to </w:t>
      </w:r>
      <w:r w:rsidR="00D55BD9">
        <w:rPr>
          <w:rFonts w:ascii="Arial" w:hAnsi="Arial" w:cs="Arial"/>
          <w:sz w:val="22"/>
        </w:rPr>
        <w:t xml:space="preserve">provide additional </w:t>
      </w:r>
      <w:r w:rsidR="0069514A" w:rsidRPr="00CA36B6">
        <w:rPr>
          <w:rFonts w:ascii="Arial" w:hAnsi="Arial" w:cs="Arial"/>
          <w:sz w:val="22"/>
        </w:rPr>
        <w:t>protect</w:t>
      </w:r>
      <w:r w:rsidR="00D55BD9">
        <w:rPr>
          <w:rFonts w:ascii="Arial" w:hAnsi="Arial" w:cs="Arial"/>
          <w:sz w:val="22"/>
        </w:rPr>
        <w:t>ion</w:t>
      </w:r>
      <w:r w:rsidR="0069514A" w:rsidRPr="00CA36B6">
        <w:rPr>
          <w:rFonts w:ascii="Arial" w:hAnsi="Arial" w:cs="Arial"/>
          <w:sz w:val="22"/>
        </w:rPr>
        <w:t xml:space="preserve"> </w:t>
      </w:r>
      <w:r w:rsidR="00D55BD9">
        <w:rPr>
          <w:rFonts w:ascii="Arial" w:hAnsi="Arial" w:cs="Arial"/>
          <w:sz w:val="22"/>
        </w:rPr>
        <w:t xml:space="preserve">to </w:t>
      </w:r>
      <w:r w:rsidR="0069514A" w:rsidRPr="00CA36B6">
        <w:rPr>
          <w:rFonts w:ascii="Arial" w:hAnsi="Arial" w:cs="Arial"/>
          <w:sz w:val="22"/>
        </w:rPr>
        <w:t xml:space="preserve">certain </w:t>
      </w:r>
      <w:r w:rsidR="00D55BD9">
        <w:rPr>
          <w:rFonts w:ascii="Arial" w:hAnsi="Arial" w:cs="Arial"/>
          <w:sz w:val="22"/>
        </w:rPr>
        <w:t xml:space="preserve">threatened and endangered </w:t>
      </w:r>
      <w:r w:rsidR="00750DD9">
        <w:rPr>
          <w:rFonts w:ascii="Arial" w:hAnsi="Arial" w:cs="Arial"/>
          <w:sz w:val="22"/>
        </w:rPr>
        <w:t xml:space="preserve">(T&amp;E) </w:t>
      </w:r>
      <w:r w:rsidR="0069514A" w:rsidRPr="00CA36B6">
        <w:rPr>
          <w:rFonts w:ascii="Arial" w:hAnsi="Arial" w:cs="Arial"/>
          <w:sz w:val="22"/>
        </w:rPr>
        <w:t>species</w:t>
      </w:r>
      <w:r w:rsidR="003E0796" w:rsidRPr="00CA36B6">
        <w:rPr>
          <w:rFonts w:ascii="Arial" w:hAnsi="Arial" w:cs="Arial"/>
          <w:sz w:val="22"/>
        </w:rPr>
        <w:t xml:space="preserve"> of aquatic fauna</w:t>
      </w:r>
      <w:r w:rsidR="0069514A" w:rsidRPr="00CA36B6">
        <w:rPr>
          <w:rFonts w:ascii="Arial" w:hAnsi="Arial" w:cs="Arial"/>
          <w:sz w:val="22"/>
        </w:rPr>
        <w:t xml:space="preserve">.  </w:t>
      </w:r>
      <w:r w:rsidR="00326B63">
        <w:rPr>
          <w:rFonts w:ascii="Arial" w:hAnsi="Arial" w:cs="Arial"/>
          <w:sz w:val="22"/>
        </w:rPr>
        <w:t>Note that provisions</w:t>
      </w:r>
      <w:r w:rsidR="00750DD9">
        <w:rPr>
          <w:rFonts w:ascii="Arial" w:hAnsi="Arial" w:cs="Arial"/>
          <w:sz w:val="22"/>
        </w:rPr>
        <w:t xml:space="preserve"> for T&amp;E species</w:t>
      </w:r>
      <w:r w:rsidR="00326B63">
        <w:rPr>
          <w:rFonts w:ascii="Arial" w:hAnsi="Arial" w:cs="Arial"/>
          <w:sz w:val="22"/>
        </w:rPr>
        <w:t xml:space="preserve"> apply only to rivers within the Department’s Northeast District.  </w:t>
      </w:r>
      <w:r w:rsidR="0069514A" w:rsidRPr="00CA36B6">
        <w:rPr>
          <w:rFonts w:ascii="Arial" w:hAnsi="Arial" w:cs="Arial"/>
          <w:sz w:val="22"/>
        </w:rPr>
        <w:t>The affected river segments</w:t>
      </w:r>
      <w:r w:rsidR="003E0796" w:rsidRPr="00CA36B6">
        <w:rPr>
          <w:rFonts w:ascii="Arial" w:hAnsi="Arial" w:cs="Arial"/>
          <w:sz w:val="22"/>
        </w:rPr>
        <w:t>, species and criteria</w:t>
      </w:r>
      <w:r w:rsidR="0069514A" w:rsidRPr="00CA36B6">
        <w:rPr>
          <w:rFonts w:ascii="Arial" w:hAnsi="Arial" w:cs="Arial"/>
          <w:sz w:val="22"/>
        </w:rPr>
        <w:t xml:space="preserve"> are identified in TSD Appendix I</w:t>
      </w:r>
      <w:r w:rsidR="00326B63">
        <w:rPr>
          <w:rFonts w:ascii="Arial" w:hAnsi="Arial" w:cs="Arial"/>
          <w:sz w:val="22"/>
        </w:rPr>
        <w:t>.  Implementation of these provisions is addressed in Attachment A of this Section.</w:t>
      </w:r>
    </w:p>
    <w:p w:rsidR="00CE6D7B" w:rsidRDefault="003A26BD" w:rsidP="0069514A">
      <w:pPr>
        <w:pStyle w:val="ListParagraph"/>
        <w:numPr>
          <w:ilvl w:val="0"/>
          <w:numId w:val="35"/>
        </w:numPr>
        <w:tabs>
          <w:tab w:val="left" w:pos="1440"/>
          <w:tab w:val="left" w:pos="4770"/>
        </w:tabs>
        <w:spacing w:before="240" w:after="100" w:afterAutospacing="1"/>
        <w:rPr>
          <w:rFonts w:ascii="Arial" w:hAnsi="Arial" w:cs="Arial"/>
          <w:sz w:val="22"/>
        </w:rPr>
      </w:pPr>
      <w:r>
        <w:rPr>
          <w:rFonts w:ascii="Arial" w:hAnsi="Arial" w:cs="Arial"/>
          <w:sz w:val="22"/>
        </w:rPr>
        <w:t>Subsections</w:t>
      </w:r>
      <w:r w:rsidR="00B25940">
        <w:rPr>
          <w:rFonts w:ascii="Arial" w:hAnsi="Arial" w:cs="Arial"/>
          <w:sz w:val="22"/>
        </w:rPr>
        <w:t xml:space="preserve"> 62-302.533(3) and (4), F.A.C. provide exceptions concerning alternative background conditions for DO. </w:t>
      </w:r>
    </w:p>
    <w:p w:rsidR="0069514A" w:rsidRDefault="003A26BD" w:rsidP="00D031E6">
      <w:pPr>
        <w:pStyle w:val="ListParagraph"/>
        <w:numPr>
          <w:ilvl w:val="1"/>
          <w:numId w:val="35"/>
        </w:numPr>
        <w:tabs>
          <w:tab w:val="left" w:pos="1440"/>
          <w:tab w:val="left" w:pos="4770"/>
        </w:tabs>
        <w:spacing w:before="120" w:after="120"/>
        <w:ind w:left="1483"/>
        <w:contextualSpacing w:val="0"/>
        <w:rPr>
          <w:rFonts w:ascii="Arial" w:hAnsi="Arial" w:cs="Arial"/>
          <w:sz w:val="22"/>
        </w:rPr>
      </w:pPr>
      <w:r>
        <w:rPr>
          <w:rFonts w:ascii="Arial" w:hAnsi="Arial" w:cs="Arial"/>
          <w:sz w:val="22"/>
        </w:rPr>
        <w:t xml:space="preserve">Subsection </w:t>
      </w:r>
      <w:r w:rsidR="00FB1F3D" w:rsidRPr="00CA36B6">
        <w:rPr>
          <w:rFonts w:ascii="Arial" w:hAnsi="Arial" w:cs="Arial"/>
          <w:sz w:val="22"/>
        </w:rPr>
        <w:t>62-302.533(3</w:t>
      </w:r>
      <w:r w:rsidR="004D6FE5" w:rsidRPr="00CA36B6">
        <w:rPr>
          <w:rFonts w:ascii="Arial" w:hAnsi="Arial" w:cs="Arial"/>
          <w:sz w:val="22"/>
        </w:rPr>
        <w:t>)</w:t>
      </w:r>
      <w:r w:rsidR="00DA6117" w:rsidRPr="00CA36B6">
        <w:rPr>
          <w:rFonts w:ascii="Arial" w:hAnsi="Arial" w:cs="Arial"/>
          <w:sz w:val="22"/>
        </w:rPr>
        <w:t>, F.A.C.</w:t>
      </w:r>
      <w:r w:rsidR="00D9173C">
        <w:rPr>
          <w:rFonts w:ascii="Arial" w:hAnsi="Arial" w:cs="Arial"/>
          <w:sz w:val="22"/>
        </w:rPr>
        <w:t>,</w:t>
      </w:r>
      <w:r w:rsidR="00FB1F3D" w:rsidRPr="00CA36B6">
        <w:rPr>
          <w:rFonts w:ascii="Arial" w:hAnsi="Arial" w:cs="Arial"/>
          <w:sz w:val="22"/>
        </w:rPr>
        <w:t xml:space="preserve"> provide</w:t>
      </w:r>
      <w:r w:rsidR="00F53A27">
        <w:rPr>
          <w:rFonts w:ascii="Arial" w:hAnsi="Arial" w:cs="Arial"/>
          <w:sz w:val="22"/>
        </w:rPr>
        <w:t>s</w:t>
      </w:r>
      <w:r w:rsidR="00FB1F3D" w:rsidRPr="00CA36B6">
        <w:rPr>
          <w:rFonts w:ascii="Arial" w:hAnsi="Arial" w:cs="Arial"/>
          <w:sz w:val="22"/>
        </w:rPr>
        <w:t xml:space="preserve"> </w:t>
      </w:r>
      <w:r w:rsidR="00970E3B" w:rsidRPr="00CA36B6">
        <w:rPr>
          <w:rFonts w:ascii="Arial" w:hAnsi="Arial" w:cs="Arial"/>
          <w:sz w:val="22"/>
        </w:rPr>
        <w:t xml:space="preserve">alternative </w:t>
      </w:r>
      <w:r w:rsidR="0069514A" w:rsidRPr="00CA36B6">
        <w:rPr>
          <w:rFonts w:ascii="Arial" w:hAnsi="Arial" w:cs="Arial"/>
          <w:sz w:val="22"/>
        </w:rPr>
        <w:t xml:space="preserve">%DO saturation criteria </w:t>
      </w:r>
      <w:r w:rsidR="00EF61DB" w:rsidRPr="00CA36B6">
        <w:rPr>
          <w:rFonts w:ascii="Arial" w:hAnsi="Arial" w:cs="Arial"/>
          <w:sz w:val="22"/>
        </w:rPr>
        <w:t xml:space="preserve">where </w:t>
      </w:r>
      <w:r w:rsidR="0069514A" w:rsidRPr="00CA36B6">
        <w:rPr>
          <w:rFonts w:ascii="Arial" w:hAnsi="Arial" w:cs="Arial"/>
          <w:sz w:val="22"/>
        </w:rPr>
        <w:t xml:space="preserve">natural background conditions </w:t>
      </w:r>
      <w:r w:rsidR="00C30F91" w:rsidRPr="00CA36B6">
        <w:rPr>
          <w:rFonts w:ascii="Arial" w:hAnsi="Arial" w:cs="Arial"/>
          <w:sz w:val="22"/>
        </w:rPr>
        <w:t xml:space="preserve">are </w:t>
      </w:r>
      <w:r w:rsidR="00D9173C">
        <w:rPr>
          <w:rFonts w:ascii="Arial" w:hAnsi="Arial" w:cs="Arial"/>
          <w:sz w:val="22"/>
        </w:rPr>
        <w:t xml:space="preserve">determined to be </w:t>
      </w:r>
      <w:r w:rsidR="00C30F91" w:rsidRPr="00CA36B6">
        <w:rPr>
          <w:rFonts w:ascii="Arial" w:hAnsi="Arial" w:cs="Arial"/>
          <w:sz w:val="22"/>
        </w:rPr>
        <w:t xml:space="preserve">less than </w:t>
      </w:r>
      <w:r w:rsidR="0069514A" w:rsidRPr="00CA36B6">
        <w:rPr>
          <w:rFonts w:ascii="Arial" w:hAnsi="Arial" w:cs="Arial"/>
          <w:sz w:val="22"/>
        </w:rPr>
        <w:t>the fresh or marine water criteria</w:t>
      </w:r>
      <w:r w:rsidR="00970E3B" w:rsidRPr="00CA36B6">
        <w:rPr>
          <w:rFonts w:ascii="Arial" w:hAnsi="Arial" w:cs="Arial"/>
          <w:sz w:val="22"/>
        </w:rPr>
        <w:t xml:space="preserve"> in Rule 62-302.533(1)</w:t>
      </w:r>
      <w:r w:rsidR="00EC3FEC" w:rsidRPr="00CA36B6">
        <w:rPr>
          <w:rFonts w:ascii="Arial" w:hAnsi="Arial" w:cs="Arial"/>
          <w:sz w:val="22"/>
        </w:rPr>
        <w:t xml:space="preserve"> </w:t>
      </w:r>
      <w:r w:rsidR="00C30F91" w:rsidRPr="00CA36B6">
        <w:rPr>
          <w:rFonts w:ascii="Arial" w:hAnsi="Arial" w:cs="Arial"/>
          <w:sz w:val="22"/>
        </w:rPr>
        <w:t>or (2)</w:t>
      </w:r>
      <w:r w:rsidR="00DA6117" w:rsidRPr="00CA36B6">
        <w:rPr>
          <w:rFonts w:ascii="Arial" w:hAnsi="Arial" w:cs="Arial"/>
          <w:sz w:val="22"/>
        </w:rPr>
        <w:t>, F.A.C.</w:t>
      </w:r>
      <w:r w:rsidR="00D9173C">
        <w:rPr>
          <w:rFonts w:ascii="Arial" w:hAnsi="Arial" w:cs="Arial"/>
          <w:sz w:val="22"/>
        </w:rPr>
        <w:t>, in which case the applicable criteria is 0.1 mg/L below the natural background level</w:t>
      </w:r>
      <w:r w:rsidR="00A53979">
        <w:rPr>
          <w:rFonts w:ascii="Arial" w:hAnsi="Arial" w:cs="Arial"/>
          <w:sz w:val="22"/>
        </w:rPr>
        <w:t xml:space="preserve">; and </w:t>
      </w:r>
    </w:p>
    <w:p w:rsidR="00A53979" w:rsidRPr="00CA36B6" w:rsidRDefault="003A26BD" w:rsidP="00D031E6">
      <w:pPr>
        <w:pStyle w:val="ListParagraph"/>
        <w:numPr>
          <w:ilvl w:val="1"/>
          <w:numId w:val="35"/>
        </w:numPr>
        <w:tabs>
          <w:tab w:val="left" w:pos="1440"/>
          <w:tab w:val="left" w:pos="4770"/>
        </w:tabs>
        <w:spacing w:before="120" w:after="120"/>
        <w:ind w:left="1483"/>
        <w:contextualSpacing w:val="0"/>
        <w:rPr>
          <w:rFonts w:ascii="Arial" w:hAnsi="Arial" w:cs="Arial"/>
          <w:sz w:val="22"/>
        </w:rPr>
      </w:pPr>
      <w:r>
        <w:rPr>
          <w:rFonts w:ascii="Arial" w:hAnsi="Arial" w:cs="Arial"/>
          <w:sz w:val="22"/>
        </w:rPr>
        <w:t xml:space="preserve">Subsection </w:t>
      </w:r>
      <w:r w:rsidR="00A53979">
        <w:rPr>
          <w:rFonts w:ascii="Arial" w:hAnsi="Arial" w:cs="Arial"/>
          <w:sz w:val="22"/>
        </w:rPr>
        <w:t>62-302.533(4), F.A.C.</w:t>
      </w:r>
      <w:r w:rsidR="00D9173C">
        <w:rPr>
          <w:rFonts w:ascii="Arial" w:hAnsi="Arial" w:cs="Arial"/>
          <w:sz w:val="22"/>
        </w:rPr>
        <w:t>,</w:t>
      </w:r>
      <w:r w:rsidR="00A53979">
        <w:rPr>
          <w:rFonts w:ascii="Arial" w:hAnsi="Arial" w:cs="Arial"/>
          <w:sz w:val="22"/>
        </w:rPr>
        <w:t xml:space="preserve"> allows a decrease up to 10% from the natural background </w:t>
      </w:r>
      <w:r w:rsidR="006E21C8">
        <w:rPr>
          <w:rFonts w:ascii="Arial" w:hAnsi="Arial" w:cs="Arial"/>
          <w:sz w:val="22"/>
        </w:rPr>
        <w:t xml:space="preserve">in predominantly marine waters </w:t>
      </w:r>
      <w:r w:rsidR="00A53979">
        <w:rPr>
          <w:rFonts w:ascii="Arial" w:hAnsi="Arial" w:cs="Arial"/>
          <w:sz w:val="22"/>
        </w:rPr>
        <w:t xml:space="preserve">if it is demonstrated that sensitive resident species will not be adversely affected using procedures described in </w:t>
      </w:r>
      <w:r w:rsidR="007A0351">
        <w:rPr>
          <w:rFonts w:ascii="Arial" w:hAnsi="Arial" w:cs="Arial"/>
          <w:sz w:val="22"/>
        </w:rPr>
        <w:t xml:space="preserve">TSD </w:t>
      </w:r>
      <w:r w:rsidR="006E21C8" w:rsidRPr="006E21C8">
        <w:rPr>
          <w:rFonts w:ascii="Arial" w:hAnsi="Arial" w:cs="Arial"/>
          <w:sz w:val="22"/>
        </w:rPr>
        <w:t>Appendix H</w:t>
      </w:r>
      <w:r w:rsidR="007A0351">
        <w:rPr>
          <w:rFonts w:ascii="Arial" w:hAnsi="Arial" w:cs="Arial"/>
          <w:sz w:val="22"/>
        </w:rPr>
        <w:t>,</w:t>
      </w:r>
      <w:r w:rsidR="006E21C8" w:rsidRPr="006E21C8">
        <w:rPr>
          <w:rFonts w:ascii="Arial" w:hAnsi="Arial" w:cs="Arial"/>
          <w:sz w:val="22"/>
        </w:rPr>
        <w:t xml:space="preserve"> “</w:t>
      </w:r>
      <w:r w:rsidR="006E21C8" w:rsidRPr="00CE6D7B">
        <w:rPr>
          <w:rFonts w:ascii="Arial" w:hAnsi="Arial" w:cs="Arial"/>
          <w:sz w:val="22"/>
        </w:rPr>
        <w:t>Determination of Acceptable Deviation from Natural Background Dissolved Oxygen Levels in Fresh and Marine Water</w:t>
      </w:r>
      <w:r w:rsidR="007A0351" w:rsidRPr="00CE6D7B">
        <w:rPr>
          <w:rFonts w:ascii="Arial" w:hAnsi="Arial" w:cs="Arial"/>
          <w:sz w:val="22"/>
        </w:rPr>
        <w:t>s</w:t>
      </w:r>
      <w:r w:rsidR="00491753">
        <w:rPr>
          <w:rFonts w:ascii="Arial" w:hAnsi="Arial" w:cs="Arial"/>
          <w:sz w:val="22"/>
        </w:rPr>
        <w:t>,</w:t>
      </w:r>
      <w:r w:rsidR="007A0351">
        <w:rPr>
          <w:rFonts w:ascii="Arial" w:hAnsi="Arial" w:cs="Arial"/>
          <w:sz w:val="22"/>
        </w:rPr>
        <w:t>”</w:t>
      </w:r>
      <w:r w:rsidR="00491753">
        <w:rPr>
          <w:rFonts w:ascii="Arial" w:hAnsi="Arial" w:cs="Arial"/>
          <w:sz w:val="22"/>
        </w:rPr>
        <w:t xml:space="preserve"> adopted by reference in Subsection 62-302.533(4), F.A.C.</w:t>
      </w:r>
    </w:p>
    <w:p w:rsidR="00B25940" w:rsidRPr="00D031E6" w:rsidRDefault="00B25940" w:rsidP="002607C2">
      <w:pPr>
        <w:pStyle w:val="Heading3"/>
        <w:numPr>
          <w:ilvl w:val="0"/>
          <w:numId w:val="0"/>
        </w:numPr>
        <w:tabs>
          <w:tab w:val="clear" w:pos="1440"/>
          <w:tab w:val="clear" w:pos="4770"/>
          <w:tab w:val="left" w:pos="810"/>
        </w:tabs>
        <w:spacing w:before="120" w:after="100" w:afterAutospacing="1" w:line="240" w:lineRule="auto"/>
        <w:ind w:firstLine="4"/>
        <w:rPr>
          <w:b w:val="0"/>
          <w:sz w:val="22"/>
        </w:rPr>
      </w:pPr>
      <w:r w:rsidRPr="00D031E6">
        <w:rPr>
          <w:rFonts w:cs="Arial"/>
          <w:sz w:val="22"/>
          <w:u w:val="single"/>
        </w:rPr>
        <w:t>It is important to note</w:t>
      </w:r>
      <w:r w:rsidRPr="00D031E6">
        <w:rPr>
          <w:rFonts w:cs="Arial"/>
          <w:b w:val="0"/>
          <w:sz w:val="22"/>
        </w:rPr>
        <w:t>, however, that EPA did not act on, i.e. did not approve, Appendix H of the TSD in their September 9, 2013 approval letter</w:t>
      </w:r>
      <w:r>
        <w:rPr>
          <w:rFonts w:cs="Arial"/>
          <w:b w:val="0"/>
          <w:sz w:val="22"/>
        </w:rPr>
        <w:t>.</w:t>
      </w:r>
      <w:r w:rsidRPr="00D031E6">
        <w:rPr>
          <w:rFonts w:cs="Arial"/>
          <w:b w:val="0"/>
          <w:sz w:val="22"/>
        </w:rPr>
        <w:t xml:space="preserve"> </w:t>
      </w:r>
      <w:r w:rsidR="00F53A27">
        <w:rPr>
          <w:rFonts w:cs="Arial"/>
          <w:b w:val="0"/>
          <w:sz w:val="22"/>
        </w:rPr>
        <w:t xml:space="preserve"> </w:t>
      </w:r>
      <w:r w:rsidR="003A26BD">
        <w:rPr>
          <w:rFonts w:cs="Arial"/>
          <w:b w:val="0"/>
          <w:sz w:val="22"/>
        </w:rPr>
        <w:t xml:space="preserve">EPA indicated that </w:t>
      </w:r>
      <w:r w:rsidRPr="00D031E6">
        <w:rPr>
          <w:rFonts w:cs="Arial"/>
          <w:b w:val="0"/>
          <w:sz w:val="22"/>
        </w:rPr>
        <w:t>they will require sufficient scientific rigor and documentation of any alternative DO criteria derived under these provisions for their review and approval as a change to the State’s water quality standards.</w:t>
      </w:r>
      <w:r w:rsidR="003A26BD">
        <w:rPr>
          <w:rFonts w:cs="Arial"/>
          <w:b w:val="0"/>
          <w:sz w:val="22"/>
        </w:rPr>
        <w:t xml:space="preserve">  Therefore, it is essential that the permit writer consult with WQSP regarding application of Subsections 62-302.533(3) and (4), F.A.C.</w:t>
      </w:r>
    </w:p>
    <w:p w:rsidR="00EE0C5A" w:rsidRDefault="00311664" w:rsidP="002607C2">
      <w:pPr>
        <w:pStyle w:val="Heading3"/>
        <w:numPr>
          <w:ilvl w:val="0"/>
          <w:numId w:val="0"/>
        </w:numPr>
        <w:tabs>
          <w:tab w:val="clear" w:pos="1440"/>
          <w:tab w:val="clear" w:pos="4770"/>
          <w:tab w:val="left" w:pos="810"/>
        </w:tabs>
        <w:spacing w:before="120" w:after="100" w:afterAutospacing="1" w:line="240" w:lineRule="auto"/>
        <w:ind w:firstLine="4"/>
        <w:rPr>
          <w:b w:val="0"/>
          <w:sz w:val="22"/>
        </w:rPr>
      </w:pPr>
      <w:r w:rsidRPr="00CA36B6">
        <w:rPr>
          <w:b w:val="0"/>
          <w:sz w:val="22"/>
        </w:rPr>
        <w:t>Rule 62-302.533(5)</w:t>
      </w:r>
      <w:r w:rsidR="00EB3536" w:rsidRPr="00CA36B6">
        <w:rPr>
          <w:b w:val="0"/>
          <w:sz w:val="22"/>
        </w:rPr>
        <w:t>, F.A.C.,</w:t>
      </w:r>
      <w:r w:rsidRPr="00CA36B6">
        <w:rPr>
          <w:b w:val="0"/>
          <w:sz w:val="22"/>
        </w:rPr>
        <w:t xml:space="preserve"> </w:t>
      </w:r>
      <w:r w:rsidR="00D9173C">
        <w:rPr>
          <w:b w:val="0"/>
          <w:sz w:val="22"/>
        </w:rPr>
        <w:t xml:space="preserve">also </w:t>
      </w:r>
      <w:r w:rsidRPr="00CA36B6">
        <w:rPr>
          <w:b w:val="0"/>
          <w:sz w:val="22"/>
        </w:rPr>
        <w:t xml:space="preserve">requires </w:t>
      </w:r>
      <w:r w:rsidR="00D9173C">
        <w:rPr>
          <w:b w:val="0"/>
          <w:sz w:val="22"/>
        </w:rPr>
        <w:t xml:space="preserve">that </w:t>
      </w:r>
      <w:r w:rsidRPr="00CA36B6">
        <w:rPr>
          <w:b w:val="0"/>
          <w:sz w:val="22"/>
        </w:rPr>
        <w:t>ambient DO levels above the minimum criteria specified in 62-302.533(1) and (2)</w:t>
      </w:r>
      <w:r w:rsidR="00EB3536" w:rsidRPr="00CA36B6">
        <w:rPr>
          <w:b w:val="0"/>
          <w:sz w:val="22"/>
        </w:rPr>
        <w:t>, F.A.C.,</w:t>
      </w:r>
      <w:r w:rsidRPr="00CA36B6">
        <w:rPr>
          <w:b w:val="0"/>
          <w:sz w:val="22"/>
        </w:rPr>
        <w:t xml:space="preserve"> be maintained in accordance with Rules 62-302.300 and 62-4.242, F.A.C.  </w:t>
      </w:r>
      <w:r w:rsidR="00015F27" w:rsidRPr="00CA36B6">
        <w:rPr>
          <w:b w:val="0"/>
          <w:sz w:val="22"/>
        </w:rPr>
        <w:t>T</w:t>
      </w:r>
      <w:r w:rsidRPr="00CA36B6">
        <w:rPr>
          <w:b w:val="0"/>
          <w:sz w:val="22"/>
        </w:rPr>
        <w:t xml:space="preserve">his </w:t>
      </w:r>
      <w:r w:rsidR="00015F27" w:rsidRPr="00CA36B6">
        <w:rPr>
          <w:b w:val="0"/>
          <w:sz w:val="22"/>
        </w:rPr>
        <w:t xml:space="preserve">provision </w:t>
      </w:r>
      <w:r w:rsidR="00566DE1" w:rsidRPr="00CA36B6">
        <w:rPr>
          <w:b w:val="0"/>
          <w:sz w:val="22"/>
        </w:rPr>
        <w:t xml:space="preserve">will </w:t>
      </w:r>
      <w:r w:rsidRPr="00CA36B6">
        <w:rPr>
          <w:b w:val="0"/>
          <w:sz w:val="22"/>
        </w:rPr>
        <w:t xml:space="preserve">be implemented </w:t>
      </w:r>
      <w:r w:rsidR="00566DE1" w:rsidRPr="00CA36B6">
        <w:rPr>
          <w:b w:val="0"/>
          <w:sz w:val="22"/>
        </w:rPr>
        <w:t>primarily during t</w:t>
      </w:r>
      <w:r w:rsidRPr="00CA36B6">
        <w:rPr>
          <w:b w:val="0"/>
          <w:sz w:val="22"/>
        </w:rPr>
        <w:t>he 303(d) impaired waters assessment under Chapter 62-</w:t>
      </w:r>
      <w:r w:rsidR="00D74B33" w:rsidRPr="00CA36B6">
        <w:rPr>
          <w:b w:val="0"/>
          <w:sz w:val="22"/>
        </w:rPr>
        <w:t>30</w:t>
      </w:r>
      <w:r w:rsidR="00D74B33">
        <w:rPr>
          <w:b w:val="0"/>
          <w:sz w:val="22"/>
        </w:rPr>
        <w:t>3</w:t>
      </w:r>
      <w:r w:rsidRPr="00CA36B6">
        <w:rPr>
          <w:b w:val="0"/>
          <w:sz w:val="22"/>
        </w:rPr>
        <w:t xml:space="preserve">, F.A.C.  </w:t>
      </w:r>
      <w:r w:rsidR="00D9173C">
        <w:rPr>
          <w:b w:val="0"/>
          <w:sz w:val="22"/>
        </w:rPr>
        <w:t>D</w:t>
      </w:r>
      <w:r w:rsidR="00015F27" w:rsidRPr="00CA36B6">
        <w:rPr>
          <w:b w:val="0"/>
          <w:sz w:val="22"/>
        </w:rPr>
        <w:t>uring the assessment, t</w:t>
      </w:r>
      <w:r w:rsidRPr="00CA36B6">
        <w:rPr>
          <w:b w:val="0"/>
          <w:sz w:val="22"/>
        </w:rPr>
        <w:t xml:space="preserve">he Department </w:t>
      </w:r>
      <w:r w:rsidR="0098612A" w:rsidRPr="00CA36B6">
        <w:rPr>
          <w:b w:val="0"/>
          <w:sz w:val="22"/>
        </w:rPr>
        <w:t xml:space="preserve">will </w:t>
      </w:r>
      <w:r w:rsidRPr="00CA36B6">
        <w:rPr>
          <w:b w:val="0"/>
          <w:sz w:val="22"/>
        </w:rPr>
        <w:t>evaluate whether there are any decreasing trends in DO or increasing trends in the diurnal range in DO, and waters will be verified as impaired if there is an observable trend and the change in DO was not authorized under the State’s antidegradation policy.</w:t>
      </w:r>
    </w:p>
    <w:p w:rsidR="002607C2" w:rsidRPr="00CA36B6" w:rsidRDefault="00C30F91" w:rsidP="002607C2">
      <w:pPr>
        <w:pStyle w:val="Heading3"/>
        <w:numPr>
          <w:ilvl w:val="0"/>
          <w:numId w:val="0"/>
        </w:numPr>
        <w:tabs>
          <w:tab w:val="clear" w:pos="1440"/>
          <w:tab w:val="clear" w:pos="4770"/>
          <w:tab w:val="left" w:pos="810"/>
        </w:tabs>
        <w:spacing w:before="120" w:after="100" w:afterAutospacing="1" w:line="240" w:lineRule="auto"/>
        <w:ind w:firstLine="4"/>
        <w:rPr>
          <w:b w:val="0"/>
          <w:i/>
          <w:sz w:val="22"/>
          <w:u w:val="single"/>
        </w:rPr>
      </w:pPr>
      <w:r w:rsidRPr="00CA36B6">
        <w:rPr>
          <w:b w:val="0"/>
          <w:i/>
          <w:sz w:val="22"/>
          <w:u w:val="single"/>
        </w:rPr>
        <w:t xml:space="preserve">Where is the </w:t>
      </w:r>
      <w:r w:rsidRPr="00CA36B6">
        <w:rPr>
          <w:b w:val="0"/>
          <w:i/>
          <w:u w:val="single"/>
        </w:rPr>
        <w:t>compliance point</w:t>
      </w:r>
      <w:r w:rsidR="005F57B9" w:rsidRPr="00CA36B6">
        <w:rPr>
          <w:b w:val="0"/>
          <w:i/>
          <w:u w:val="single"/>
        </w:rPr>
        <w:t xml:space="preserve"> </w:t>
      </w:r>
      <w:r w:rsidRPr="00CA36B6">
        <w:rPr>
          <w:b w:val="0"/>
          <w:i/>
          <w:sz w:val="22"/>
          <w:u w:val="single"/>
        </w:rPr>
        <w:t xml:space="preserve">for DO </w:t>
      </w:r>
      <w:r w:rsidRPr="00CA36B6">
        <w:rPr>
          <w:b w:val="0"/>
          <w:i/>
          <w:u w:val="single"/>
        </w:rPr>
        <w:t>effluent limitations?</w:t>
      </w:r>
      <w:r w:rsidR="00C57EFC" w:rsidRPr="00CA36B6">
        <w:rPr>
          <w:b w:val="0"/>
          <w:i/>
          <w:u w:val="single"/>
        </w:rPr>
        <w:t xml:space="preserve"> </w:t>
      </w:r>
    </w:p>
    <w:p w:rsidR="002607C2" w:rsidRPr="00CA36B6" w:rsidRDefault="002607C2" w:rsidP="002607C2">
      <w:pPr>
        <w:tabs>
          <w:tab w:val="left" w:pos="1440"/>
          <w:tab w:val="left" w:pos="4770"/>
        </w:tabs>
        <w:spacing w:before="240" w:after="100" w:afterAutospacing="1"/>
        <w:rPr>
          <w:rFonts w:ascii="Arial" w:hAnsi="Arial" w:cs="Arial"/>
          <w:sz w:val="22"/>
        </w:rPr>
      </w:pPr>
      <w:r w:rsidRPr="00CA36B6">
        <w:rPr>
          <w:rFonts w:ascii="Arial" w:hAnsi="Arial" w:cs="Arial"/>
          <w:sz w:val="22"/>
        </w:rPr>
        <w:t>The effluent limitations associated with both the fresh and marine water quality criteria will generally be applied at the end of pipe before the discharge mixes with the receiving water.</w:t>
      </w:r>
    </w:p>
    <w:p w:rsidR="004C2000" w:rsidRPr="00CA36B6" w:rsidRDefault="004C2000" w:rsidP="0084429D">
      <w:pPr>
        <w:pStyle w:val="Heading3"/>
        <w:numPr>
          <w:ilvl w:val="0"/>
          <w:numId w:val="0"/>
        </w:numPr>
        <w:tabs>
          <w:tab w:val="clear" w:pos="1440"/>
          <w:tab w:val="clear" w:pos="4770"/>
          <w:tab w:val="left" w:pos="810"/>
        </w:tabs>
        <w:spacing w:before="120" w:after="100" w:afterAutospacing="1" w:line="240" w:lineRule="auto"/>
        <w:ind w:firstLine="4"/>
        <w:rPr>
          <w:b w:val="0"/>
          <w:i/>
          <w:u w:val="single"/>
        </w:rPr>
      </w:pPr>
      <w:r w:rsidRPr="00CA36B6">
        <w:rPr>
          <w:b w:val="0"/>
          <w:i/>
          <w:u w:val="single"/>
        </w:rPr>
        <w:lastRenderedPageBreak/>
        <w:t xml:space="preserve">How do I determine whether </w:t>
      </w:r>
      <w:r w:rsidR="00D807DF" w:rsidRPr="00CA36B6">
        <w:rPr>
          <w:b w:val="0"/>
          <w:i/>
          <w:u w:val="single"/>
        </w:rPr>
        <w:t xml:space="preserve">a </w:t>
      </w:r>
      <w:r w:rsidR="002673B6" w:rsidRPr="00CA36B6">
        <w:rPr>
          <w:b w:val="0"/>
          <w:i/>
          <w:u w:val="single"/>
        </w:rPr>
        <w:t xml:space="preserve">permit should </w:t>
      </w:r>
      <w:r w:rsidR="00565AA4" w:rsidRPr="00CA36B6">
        <w:rPr>
          <w:b w:val="0"/>
          <w:i/>
          <w:u w:val="single"/>
        </w:rPr>
        <w:t>include</w:t>
      </w:r>
      <w:r w:rsidR="004D7E0F" w:rsidRPr="00CA36B6">
        <w:rPr>
          <w:b w:val="0"/>
          <w:i/>
          <w:u w:val="single"/>
        </w:rPr>
        <w:t xml:space="preserve"> </w:t>
      </w:r>
      <w:r w:rsidR="00903972" w:rsidRPr="00CA36B6">
        <w:rPr>
          <w:b w:val="0"/>
          <w:i/>
          <w:u w:val="single"/>
        </w:rPr>
        <w:t xml:space="preserve">effluent </w:t>
      </w:r>
      <w:r w:rsidR="004D7E0F" w:rsidRPr="00CA36B6">
        <w:rPr>
          <w:b w:val="0"/>
          <w:i/>
          <w:u w:val="single"/>
        </w:rPr>
        <w:t>limitations</w:t>
      </w:r>
      <w:r w:rsidR="00E30BF7" w:rsidRPr="00CA36B6">
        <w:rPr>
          <w:b w:val="0"/>
          <w:i/>
          <w:u w:val="single"/>
        </w:rPr>
        <w:t xml:space="preserve"> for DO</w:t>
      </w:r>
      <w:r w:rsidRPr="00CA36B6">
        <w:rPr>
          <w:b w:val="0"/>
          <w:i/>
          <w:u w:val="single"/>
        </w:rPr>
        <w:t>?</w:t>
      </w:r>
    </w:p>
    <w:p w:rsidR="00740FB3" w:rsidRDefault="005F57B9" w:rsidP="00F55973">
      <w:pPr>
        <w:pStyle w:val="BodyText"/>
        <w:tabs>
          <w:tab w:val="clear" w:pos="1440"/>
        </w:tabs>
        <w:spacing w:before="100" w:beforeAutospacing="1" w:after="100" w:afterAutospacing="1"/>
        <w:ind w:left="4"/>
        <w:rPr>
          <w:b/>
          <w:sz w:val="22"/>
        </w:rPr>
      </w:pPr>
      <w:r w:rsidRPr="00CA36B6">
        <w:rPr>
          <w:sz w:val="22"/>
        </w:rPr>
        <w:t xml:space="preserve">The permit writer </w:t>
      </w:r>
      <w:r w:rsidR="00380455" w:rsidRPr="00CA36B6">
        <w:rPr>
          <w:rFonts w:cs="Arial"/>
          <w:sz w:val="22"/>
          <w:szCs w:val="22"/>
        </w:rPr>
        <w:t>must</w:t>
      </w:r>
      <w:r w:rsidRPr="00CA36B6">
        <w:rPr>
          <w:sz w:val="22"/>
        </w:rPr>
        <w:t xml:space="preserve"> evaluate the information included in the permit application and any other </w:t>
      </w:r>
      <w:r w:rsidR="00380455" w:rsidRPr="00CA36B6">
        <w:rPr>
          <w:rFonts w:cs="Arial"/>
          <w:sz w:val="22"/>
          <w:szCs w:val="22"/>
        </w:rPr>
        <w:t xml:space="preserve">data </w:t>
      </w:r>
      <w:r w:rsidRPr="00CA36B6">
        <w:rPr>
          <w:sz w:val="22"/>
        </w:rPr>
        <w:t>sources</w:t>
      </w:r>
      <w:r w:rsidR="00380455" w:rsidRPr="00CA36B6">
        <w:rPr>
          <w:rFonts w:cs="Arial"/>
          <w:sz w:val="22"/>
          <w:szCs w:val="22"/>
        </w:rPr>
        <w:t xml:space="preserve"> (such as third or fifth year inspection reports)</w:t>
      </w:r>
      <w:r w:rsidRPr="00CA36B6">
        <w:rPr>
          <w:sz w:val="22"/>
        </w:rPr>
        <w:t xml:space="preserve"> to determine whether effluent limitations for DO are needed.  If available information indicates that DO levels in the effluent may cause or contribute to the receiving water not meeting </w:t>
      </w:r>
      <w:r w:rsidR="00C30F91" w:rsidRPr="00CA36B6">
        <w:rPr>
          <w:sz w:val="22"/>
        </w:rPr>
        <w:t>the</w:t>
      </w:r>
      <w:r w:rsidR="009A11C2" w:rsidRPr="00CA36B6">
        <w:rPr>
          <w:sz w:val="22"/>
        </w:rPr>
        <w:t xml:space="preserve"> </w:t>
      </w:r>
      <w:r w:rsidRPr="00CA36B6">
        <w:rPr>
          <w:sz w:val="22"/>
        </w:rPr>
        <w:t>criteria</w:t>
      </w:r>
      <w:r w:rsidR="00380455" w:rsidRPr="00CA36B6">
        <w:rPr>
          <w:rFonts w:cs="Arial"/>
          <w:sz w:val="22"/>
          <w:szCs w:val="22"/>
        </w:rPr>
        <w:t xml:space="preserve"> in Rule 62-302.533, F.A.C.,</w:t>
      </w:r>
      <w:r w:rsidRPr="00CA36B6">
        <w:rPr>
          <w:sz w:val="22"/>
        </w:rPr>
        <w:t xml:space="preserve"> an effluent limitation for DO should be included in the permit.</w:t>
      </w:r>
      <w:r w:rsidR="00017012" w:rsidRPr="00CA36B6">
        <w:rPr>
          <w:rFonts w:cs="Arial"/>
          <w:sz w:val="22"/>
          <w:szCs w:val="22"/>
        </w:rPr>
        <w:t xml:space="preserve">  </w:t>
      </w:r>
      <w:r w:rsidR="00F45102" w:rsidRPr="00CA36B6">
        <w:rPr>
          <w:rFonts w:cs="Arial"/>
          <w:sz w:val="22"/>
          <w:szCs w:val="22"/>
        </w:rPr>
        <w:t xml:space="preserve">If the receiving water has a DO </w:t>
      </w:r>
      <w:r w:rsidR="00C30F91" w:rsidRPr="00CA36B6">
        <w:rPr>
          <w:rFonts w:cs="Arial"/>
          <w:sz w:val="22"/>
          <w:szCs w:val="22"/>
        </w:rPr>
        <w:t>Site Specific Alternative Criterion</w:t>
      </w:r>
      <w:r w:rsidR="009201DF" w:rsidRPr="00CA36B6">
        <w:rPr>
          <w:rFonts w:cs="Arial"/>
          <w:sz w:val="22"/>
          <w:szCs w:val="22"/>
        </w:rPr>
        <w:t xml:space="preserve"> (</w:t>
      </w:r>
      <w:r w:rsidR="00F45102" w:rsidRPr="00CA36B6">
        <w:rPr>
          <w:rFonts w:cs="Arial"/>
          <w:sz w:val="22"/>
          <w:szCs w:val="22"/>
        </w:rPr>
        <w:t>SSAC</w:t>
      </w:r>
      <w:r w:rsidR="009201DF" w:rsidRPr="00CA36B6">
        <w:rPr>
          <w:rFonts w:cs="Arial"/>
          <w:sz w:val="22"/>
          <w:szCs w:val="22"/>
        </w:rPr>
        <w:t>)</w:t>
      </w:r>
      <w:r w:rsidR="00F45102" w:rsidRPr="00CA36B6">
        <w:rPr>
          <w:rFonts w:cs="Arial"/>
          <w:sz w:val="22"/>
          <w:szCs w:val="22"/>
        </w:rPr>
        <w:t>, DO e</w:t>
      </w:r>
      <w:r w:rsidR="00302FE8" w:rsidRPr="00CA36B6">
        <w:rPr>
          <w:rFonts w:cs="Arial"/>
          <w:sz w:val="22"/>
          <w:szCs w:val="22"/>
        </w:rPr>
        <w:t xml:space="preserve">ffluent limitations </w:t>
      </w:r>
      <w:r w:rsidR="009D3CE9">
        <w:rPr>
          <w:rFonts w:cs="Arial"/>
          <w:sz w:val="22"/>
          <w:szCs w:val="22"/>
        </w:rPr>
        <w:t xml:space="preserve">should be established if the effluent may cause or contribute to exceedances of </w:t>
      </w:r>
      <w:r w:rsidR="00F45102" w:rsidRPr="00CA36B6">
        <w:rPr>
          <w:rFonts w:cs="Arial"/>
          <w:sz w:val="22"/>
          <w:szCs w:val="22"/>
        </w:rPr>
        <w:t>the SSAC</w:t>
      </w:r>
      <w:r w:rsidR="00302FE8" w:rsidRPr="00CA36B6">
        <w:rPr>
          <w:rFonts w:cs="Arial"/>
          <w:sz w:val="22"/>
          <w:szCs w:val="22"/>
        </w:rPr>
        <w:t xml:space="preserve">.  </w:t>
      </w:r>
      <w:r w:rsidR="009A11C2" w:rsidRPr="00CA36B6">
        <w:rPr>
          <w:rFonts w:cs="Arial"/>
          <w:sz w:val="22"/>
          <w:szCs w:val="22"/>
        </w:rPr>
        <w:t xml:space="preserve">If the receiving water has a DO </w:t>
      </w:r>
      <w:r w:rsidR="009201DF" w:rsidRPr="00CA36B6">
        <w:rPr>
          <w:rFonts w:cs="Arial"/>
          <w:sz w:val="22"/>
          <w:szCs w:val="22"/>
        </w:rPr>
        <w:t>Total Maximum Daily Load (</w:t>
      </w:r>
      <w:r w:rsidR="009A11C2" w:rsidRPr="00CA36B6">
        <w:rPr>
          <w:rFonts w:cs="Arial"/>
          <w:sz w:val="22"/>
          <w:szCs w:val="22"/>
        </w:rPr>
        <w:t>TMDL</w:t>
      </w:r>
      <w:r w:rsidR="009201DF" w:rsidRPr="00CA36B6">
        <w:rPr>
          <w:rFonts w:cs="Arial"/>
          <w:sz w:val="22"/>
          <w:szCs w:val="22"/>
        </w:rPr>
        <w:t>)</w:t>
      </w:r>
      <w:r w:rsidR="009A11C2" w:rsidRPr="00CA36B6">
        <w:rPr>
          <w:rFonts w:cs="Arial"/>
          <w:sz w:val="22"/>
          <w:szCs w:val="22"/>
        </w:rPr>
        <w:t xml:space="preserve">, the permit writer should consult the DEAR </w:t>
      </w:r>
      <w:r w:rsidR="008E52CF">
        <w:rPr>
          <w:rFonts w:cs="Arial"/>
          <w:sz w:val="22"/>
          <w:szCs w:val="22"/>
        </w:rPr>
        <w:t>W</w:t>
      </w:r>
      <w:r w:rsidR="009A11C2" w:rsidRPr="00CA36B6">
        <w:rPr>
          <w:rFonts w:cs="Arial"/>
          <w:sz w:val="22"/>
          <w:szCs w:val="22"/>
        </w:rPr>
        <w:t xml:space="preserve">ater </w:t>
      </w:r>
      <w:r w:rsidR="008E52CF">
        <w:rPr>
          <w:rFonts w:cs="Arial"/>
          <w:sz w:val="22"/>
          <w:szCs w:val="22"/>
        </w:rPr>
        <w:t xml:space="preserve">Quality </w:t>
      </w:r>
      <w:r w:rsidR="009D3CE9">
        <w:rPr>
          <w:rFonts w:cs="Arial"/>
          <w:sz w:val="22"/>
          <w:szCs w:val="22"/>
        </w:rPr>
        <w:t>Evaluation &amp; TMDL</w:t>
      </w:r>
      <w:r w:rsidR="009D3CE9" w:rsidRPr="00CA36B6">
        <w:rPr>
          <w:rFonts w:cs="Arial"/>
          <w:sz w:val="22"/>
          <w:szCs w:val="22"/>
        </w:rPr>
        <w:t xml:space="preserve"> </w:t>
      </w:r>
      <w:r w:rsidR="008E52CF">
        <w:rPr>
          <w:rFonts w:cs="Arial"/>
          <w:sz w:val="22"/>
          <w:szCs w:val="22"/>
        </w:rPr>
        <w:t>Program</w:t>
      </w:r>
      <w:r w:rsidR="009A11C2" w:rsidRPr="00CA36B6">
        <w:rPr>
          <w:rFonts w:cs="Arial"/>
          <w:sz w:val="22"/>
          <w:szCs w:val="22"/>
        </w:rPr>
        <w:t xml:space="preserve"> to determine what effluent limitations associated with the DO TMDL should be included in the permit.  </w:t>
      </w:r>
      <w:r w:rsidR="00C30F91" w:rsidRPr="00CA36B6">
        <w:rPr>
          <w:rFonts w:cs="Arial"/>
          <w:sz w:val="22"/>
          <w:szCs w:val="22"/>
        </w:rPr>
        <w:t xml:space="preserve">DO TMDLs </w:t>
      </w:r>
      <w:r w:rsidR="009A11C2" w:rsidRPr="00CA36B6">
        <w:rPr>
          <w:rFonts w:cs="Arial"/>
          <w:sz w:val="22"/>
          <w:szCs w:val="22"/>
        </w:rPr>
        <w:t xml:space="preserve">typically </w:t>
      </w:r>
      <w:r w:rsidR="00C30F91" w:rsidRPr="00CA36B6">
        <w:rPr>
          <w:rFonts w:cs="Arial"/>
          <w:sz w:val="22"/>
          <w:szCs w:val="22"/>
        </w:rPr>
        <w:t xml:space="preserve">include </w:t>
      </w:r>
      <w:r w:rsidR="009D3CE9">
        <w:rPr>
          <w:rFonts w:cs="Arial"/>
          <w:sz w:val="22"/>
          <w:szCs w:val="22"/>
        </w:rPr>
        <w:t>allocations</w:t>
      </w:r>
      <w:r w:rsidR="009A3AB2">
        <w:rPr>
          <w:rFonts w:cs="Arial"/>
          <w:sz w:val="22"/>
          <w:szCs w:val="22"/>
        </w:rPr>
        <w:t xml:space="preserve"> for</w:t>
      </w:r>
      <w:r w:rsidR="00C30F91" w:rsidRPr="00CA36B6">
        <w:rPr>
          <w:rFonts w:cs="Arial"/>
          <w:sz w:val="22"/>
          <w:szCs w:val="22"/>
        </w:rPr>
        <w:t xml:space="preserve"> TN, TP</w:t>
      </w:r>
      <w:r w:rsidR="009A3AB2">
        <w:rPr>
          <w:rFonts w:cs="Arial"/>
          <w:sz w:val="22"/>
          <w:szCs w:val="22"/>
        </w:rPr>
        <w:t xml:space="preserve">, Chlorophyll </w:t>
      </w:r>
      <w:r w:rsidR="009A3AB2">
        <w:rPr>
          <w:rFonts w:cs="Arial"/>
          <w:i/>
          <w:sz w:val="22"/>
          <w:szCs w:val="22"/>
        </w:rPr>
        <w:t>a</w:t>
      </w:r>
      <w:r w:rsidR="009A3AB2">
        <w:rPr>
          <w:rFonts w:cs="Arial"/>
          <w:sz w:val="22"/>
          <w:szCs w:val="22"/>
        </w:rPr>
        <w:t xml:space="preserve"> and/or BOD,</w:t>
      </w:r>
      <w:r w:rsidR="00C30F91" w:rsidRPr="00CA36B6">
        <w:rPr>
          <w:rFonts w:cs="Arial"/>
          <w:sz w:val="22"/>
          <w:szCs w:val="22"/>
        </w:rPr>
        <w:t xml:space="preserve"> rather than DO limits.</w:t>
      </w:r>
      <w:r w:rsidRPr="00CA36B6">
        <w:rPr>
          <w:sz w:val="22"/>
        </w:rPr>
        <w:t xml:space="preserve">  Generally, </w:t>
      </w:r>
      <w:r w:rsidR="00302FE8" w:rsidRPr="00CA36B6">
        <w:rPr>
          <w:rFonts w:cs="Arial"/>
          <w:sz w:val="22"/>
          <w:szCs w:val="22"/>
        </w:rPr>
        <w:t xml:space="preserve">an </w:t>
      </w:r>
      <w:r w:rsidRPr="00CA36B6">
        <w:rPr>
          <w:sz w:val="22"/>
        </w:rPr>
        <w:t xml:space="preserve">existing </w:t>
      </w:r>
      <w:r w:rsidR="00017012" w:rsidRPr="00CA36B6">
        <w:rPr>
          <w:rFonts w:cs="Arial"/>
          <w:sz w:val="22"/>
          <w:szCs w:val="22"/>
        </w:rPr>
        <w:t>permit</w:t>
      </w:r>
      <w:r w:rsidRPr="00CA36B6">
        <w:rPr>
          <w:sz w:val="22"/>
        </w:rPr>
        <w:t xml:space="preserve"> that </w:t>
      </w:r>
      <w:r w:rsidR="00017012" w:rsidRPr="00CA36B6">
        <w:rPr>
          <w:rFonts w:cs="Arial"/>
          <w:sz w:val="22"/>
          <w:szCs w:val="22"/>
        </w:rPr>
        <w:t>ha</w:t>
      </w:r>
      <w:r w:rsidR="00302FE8" w:rsidRPr="00CA36B6">
        <w:rPr>
          <w:rFonts w:cs="Arial"/>
          <w:sz w:val="22"/>
          <w:szCs w:val="22"/>
        </w:rPr>
        <w:t>s</w:t>
      </w:r>
      <w:r w:rsidRPr="00CA36B6">
        <w:rPr>
          <w:sz w:val="22"/>
        </w:rPr>
        <w:t xml:space="preserve"> not previously included an effluent limitation for DO will not need </w:t>
      </w:r>
      <w:r w:rsidR="00F45102" w:rsidRPr="00CA36B6">
        <w:rPr>
          <w:rFonts w:cs="Arial"/>
          <w:sz w:val="22"/>
          <w:szCs w:val="22"/>
        </w:rPr>
        <w:t>one</w:t>
      </w:r>
      <w:r w:rsidRPr="00CA36B6">
        <w:rPr>
          <w:sz w:val="22"/>
        </w:rPr>
        <w:t xml:space="preserve"> at the time of renewal unless the Department finds a limit is needed to protect the receiving water. </w:t>
      </w:r>
    </w:p>
    <w:p w:rsidR="00CB1563" w:rsidRPr="00DD6BF0" w:rsidRDefault="00CB1563" w:rsidP="00F55973">
      <w:pPr>
        <w:pStyle w:val="BodyText"/>
        <w:tabs>
          <w:tab w:val="clear" w:pos="1440"/>
        </w:tabs>
        <w:spacing w:before="100" w:beforeAutospacing="1" w:after="100" w:afterAutospacing="1"/>
        <w:ind w:left="4"/>
        <w:rPr>
          <w:i/>
          <w:szCs w:val="24"/>
          <w:u w:val="single"/>
        </w:rPr>
      </w:pPr>
      <w:r w:rsidRPr="00DD6BF0">
        <w:rPr>
          <w:i/>
          <w:szCs w:val="24"/>
          <w:u w:val="single"/>
        </w:rPr>
        <w:t>Do I Need to Consider the Effect of Other Pollutants on DO Levels?</w:t>
      </w:r>
    </w:p>
    <w:p w:rsidR="00DD77CD" w:rsidRPr="009A60CC" w:rsidRDefault="009A30A2" w:rsidP="00F55973">
      <w:pPr>
        <w:pStyle w:val="BodyText"/>
        <w:tabs>
          <w:tab w:val="clear" w:pos="1440"/>
        </w:tabs>
        <w:spacing w:before="100" w:beforeAutospacing="1" w:after="100" w:afterAutospacing="1"/>
        <w:ind w:left="4"/>
        <w:rPr>
          <w:rFonts w:cs="Arial"/>
          <w:sz w:val="22"/>
          <w:szCs w:val="22"/>
        </w:rPr>
      </w:pPr>
      <w:r w:rsidRPr="00E10033">
        <w:rPr>
          <w:rFonts w:cs="Arial"/>
          <w:sz w:val="22"/>
          <w:szCs w:val="22"/>
        </w:rPr>
        <w:t>In addition to evaluating the effect of effluent DO levels, the permit should also evaluate the effect of oxygen-demanding substances</w:t>
      </w:r>
      <w:r w:rsidR="0055426D">
        <w:rPr>
          <w:rFonts w:cs="Arial"/>
          <w:sz w:val="22"/>
          <w:szCs w:val="22"/>
        </w:rPr>
        <w:t>, such as</w:t>
      </w:r>
      <w:r w:rsidRPr="00E10033">
        <w:rPr>
          <w:rFonts w:cs="Arial"/>
          <w:sz w:val="22"/>
          <w:szCs w:val="22"/>
        </w:rPr>
        <w:t xml:space="preserve"> (BOD) and nutrients</w:t>
      </w:r>
      <w:r w:rsidR="0055426D">
        <w:rPr>
          <w:rFonts w:cs="Arial"/>
          <w:sz w:val="22"/>
          <w:szCs w:val="22"/>
        </w:rPr>
        <w:t>,</w:t>
      </w:r>
      <w:r w:rsidRPr="00E10033">
        <w:rPr>
          <w:rFonts w:cs="Arial"/>
          <w:sz w:val="22"/>
          <w:szCs w:val="22"/>
        </w:rPr>
        <w:t xml:space="preserve"> on receiving water DO levels.  </w:t>
      </w:r>
      <w:r w:rsidR="00CB1563" w:rsidRPr="00AB6705">
        <w:rPr>
          <w:rFonts w:cs="Arial"/>
          <w:sz w:val="22"/>
          <w:szCs w:val="22"/>
        </w:rPr>
        <w:t>A</w:t>
      </w:r>
      <w:r w:rsidR="001A0B8A" w:rsidRPr="00AB6705">
        <w:rPr>
          <w:rFonts w:cs="Arial"/>
          <w:sz w:val="22"/>
          <w:szCs w:val="22"/>
        </w:rPr>
        <w:t>lthough Rule 62-302.533, F.A.C.</w:t>
      </w:r>
      <w:r w:rsidRPr="00AB6705">
        <w:rPr>
          <w:rFonts w:cs="Arial"/>
          <w:sz w:val="22"/>
          <w:szCs w:val="22"/>
        </w:rPr>
        <w:t>,</w:t>
      </w:r>
      <w:r w:rsidR="001A0B8A" w:rsidRPr="00AB6705">
        <w:rPr>
          <w:rFonts w:cs="Arial"/>
          <w:sz w:val="22"/>
          <w:szCs w:val="22"/>
        </w:rPr>
        <w:t xml:space="preserve"> does not address BOD or nutrients, the permit writer should consider whether the permit needs effluent limitations under Subsection 62-302.530(11), F.A.C. for BOD</w:t>
      </w:r>
      <w:r w:rsidR="001A0B8A" w:rsidRPr="003B4233">
        <w:rPr>
          <w:rFonts w:cs="Arial"/>
          <w:sz w:val="22"/>
          <w:szCs w:val="22"/>
        </w:rPr>
        <w:t xml:space="preserve"> </w:t>
      </w:r>
      <w:r w:rsidR="00DD77CD" w:rsidRPr="003B4233">
        <w:rPr>
          <w:rFonts w:cs="Arial"/>
          <w:sz w:val="22"/>
          <w:szCs w:val="22"/>
        </w:rPr>
        <w:t>or under Rules 62-302.530, 531, and/or 532, F.A.C. for nutrients, to ensure that effluent will not cause or contribute to DO excu</w:t>
      </w:r>
      <w:r w:rsidR="00DD77CD" w:rsidRPr="009A60CC">
        <w:rPr>
          <w:rFonts w:cs="Arial"/>
          <w:sz w:val="22"/>
          <w:szCs w:val="22"/>
        </w:rPr>
        <w:t xml:space="preserve">rsions in the receiving waters below the %DO saturation criteria due to either of these pollutants.  </w:t>
      </w:r>
    </w:p>
    <w:p w:rsidR="00DF4716" w:rsidRPr="00E10033" w:rsidRDefault="00DD77CD" w:rsidP="00E10033">
      <w:pPr>
        <w:pStyle w:val="BodyText"/>
        <w:tabs>
          <w:tab w:val="clear" w:pos="1440"/>
        </w:tabs>
        <w:spacing w:before="100" w:beforeAutospacing="1" w:after="100" w:afterAutospacing="1"/>
        <w:ind w:left="4"/>
        <w:rPr>
          <w:rFonts w:cs="Arial"/>
          <w:sz w:val="22"/>
          <w:szCs w:val="22"/>
        </w:rPr>
      </w:pPr>
      <w:r w:rsidRPr="009A60CC">
        <w:rPr>
          <w:rFonts w:cs="Arial"/>
          <w:sz w:val="22"/>
          <w:szCs w:val="22"/>
        </w:rPr>
        <w:t xml:space="preserve">Subsection 62-302.530(11), F.A.C. requires that BOD </w:t>
      </w:r>
      <w:r w:rsidRPr="009A60CC">
        <w:rPr>
          <w:rFonts w:cs="Arial"/>
          <w:i/>
          <w:sz w:val="22"/>
          <w:szCs w:val="22"/>
        </w:rPr>
        <w:t>“Shall</w:t>
      </w:r>
      <w:r w:rsidRPr="00E10033">
        <w:rPr>
          <w:rFonts w:cs="Arial"/>
          <w:i/>
          <w:sz w:val="22"/>
          <w:szCs w:val="22"/>
        </w:rPr>
        <w:t xml:space="preserve"> not be increased to exceed values which would cause dissolved oxygen to be depressed below the limit established for each class and, in no case, shall it be great enough to produce nuisance conditions.”</w:t>
      </w:r>
      <w:r w:rsidR="00AB6705" w:rsidRPr="00E10033">
        <w:rPr>
          <w:rFonts w:cs="Arial"/>
          <w:sz w:val="22"/>
          <w:szCs w:val="22"/>
        </w:rPr>
        <w:t xml:space="preserve"> </w:t>
      </w:r>
      <w:r w:rsidR="00AB6705">
        <w:rPr>
          <w:rFonts w:cs="Arial"/>
          <w:sz w:val="22"/>
          <w:szCs w:val="22"/>
        </w:rPr>
        <w:t xml:space="preserve"> A</w:t>
      </w:r>
      <w:r w:rsidRPr="00E10033">
        <w:rPr>
          <w:rFonts w:cs="Arial"/>
          <w:sz w:val="22"/>
          <w:szCs w:val="22"/>
        </w:rPr>
        <w:t xml:space="preserve">s previously noted, </w:t>
      </w:r>
      <w:r w:rsidR="00DF4716" w:rsidRPr="00E10033">
        <w:rPr>
          <w:rFonts w:cs="Arial"/>
          <w:sz w:val="22"/>
          <w:szCs w:val="22"/>
        </w:rPr>
        <w:t xml:space="preserve">Subsection 62-302.530(47), F.A.C. requires that </w:t>
      </w:r>
      <w:r w:rsidR="00DF4716" w:rsidRPr="00E10033">
        <w:rPr>
          <w:rFonts w:cs="Arial"/>
          <w:i/>
          <w:sz w:val="22"/>
          <w:szCs w:val="22"/>
        </w:rPr>
        <w:t>“The discharge of nutrients shall continue to be limited as needed to prevent violations of other standards contained in this chapter</w:t>
      </w:r>
      <w:r w:rsidR="00AB6705">
        <w:rPr>
          <w:rFonts w:cs="Arial"/>
          <w:i/>
          <w:sz w:val="22"/>
          <w:szCs w:val="22"/>
        </w:rPr>
        <w:t>.</w:t>
      </w:r>
      <w:r w:rsidR="00DF4716" w:rsidRPr="00E10033">
        <w:rPr>
          <w:rFonts w:cs="Arial"/>
          <w:i/>
          <w:sz w:val="22"/>
          <w:szCs w:val="22"/>
        </w:rPr>
        <w:t>”</w:t>
      </w:r>
    </w:p>
    <w:p w:rsidR="00510F0B" w:rsidRDefault="001A0B8A" w:rsidP="00F55973">
      <w:pPr>
        <w:pStyle w:val="BodyText"/>
        <w:tabs>
          <w:tab w:val="clear" w:pos="1440"/>
        </w:tabs>
        <w:spacing w:before="100" w:beforeAutospacing="1" w:after="100" w:afterAutospacing="1"/>
        <w:ind w:left="4"/>
        <w:rPr>
          <w:sz w:val="22"/>
          <w:szCs w:val="22"/>
        </w:rPr>
      </w:pPr>
      <w:r w:rsidRPr="00751A5A">
        <w:rPr>
          <w:rFonts w:cs="Arial"/>
          <w:sz w:val="22"/>
          <w:szCs w:val="22"/>
        </w:rPr>
        <w:t>If the permit already has effluent limitations for BOD or nutrients, the permit writer should determine whether they are sufficiently protective</w:t>
      </w:r>
      <w:r w:rsidR="00340C21">
        <w:rPr>
          <w:rFonts w:cs="Arial"/>
          <w:sz w:val="22"/>
          <w:szCs w:val="22"/>
        </w:rPr>
        <w:t xml:space="preserve">. </w:t>
      </w:r>
      <w:r w:rsidR="00EF45EF">
        <w:rPr>
          <w:sz w:val="22"/>
          <w:szCs w:val="22"/>
        </w:rPr>
        <w:t xml:space="preserve"> P</w:t>
      </w:r>
      <w:r w:rsidR="00340C21">
        <w:rPr>
          <w:rFonts w:cs="Arial"/>
          <w:sz w:val="22"/>
          <w:szCs w:val="22"/>
        </w:rPr>
        <w:t>ermits with BOD effluent limits based on the DO water quality criteria that were in effect before August 1, 2013</w:t>
      </w:r>
      <w:r w:rsidR="00EF45EF">
        <w:rPr>
          <w:rFonts w:cs="Arial"/>
          <w:sz w:val="22"/>
          <w:szCs w:val="22"/>
        </w:rPr>
        <w:t xml:space="preserve">, </w:t>
      </w:r>
      <w:r w:rsidR="009A30A2" w:rsidRPr="00340C21">
        <w:rPr>
          <w:rFonts w:cs="Arial"/>
          <w:sz w:val="22"/>
          <w:szCs w:val="22"/>
        </w:rPr>
        <w:t xml:space="preserve">should generally be adequately protective for discharges </w:t>
      </w:r>
      <w:r w:rsidR="00661EC1">
        <w:rPr>
          <w:rFonts w:cs="Arial"/>
          <w:sz w:val="22"/>
          <w:szCs w:val="22"/>
        </w:rPr>
        <w:t>in</w:t>
      </w:r>
      <w:r w:rsidR="00F12D5F">
        <w:rPr>
          <w:rFonts w:cs="Arial"/>
          <w:sz w:val="22"/>
          <w:szCs w:val="22"/>
        </w:rPr>
        <w:t xml:space="preserve"> </w:t>
      </w:r>
      <w:r w:rsidR="00661EC1">
        <w:rPr>
          <w:rFonts w:cs="Arial"/>
          <w:sz w:val="22"/>
          <w:szCs w:val="22"/>
        </w:rPr>
        <w:t>the</w:t>
      </w:r>
      <w:r w:rsidR="00B72525" w:rsidRPr="00340C21">
        <w:rPr>
          <w:rFonts w:cs="Arial"/>
          <w:sz w:val="22"/>
          <w:szCs w:val="22"/>
        </w:rPr>
        <w:t xml:space="preserve"> Everglades, Peninsula, Big Bend, and North</w:t>
      </w:r>
      <w:r w:rsidR="00934BAD" w:rsidRPr="00340C21">
        <w:rPr>
          <w:rFonts w:cs="Arial"/>
          <w:sz w:val="22"/>
          <w:szCs w:val="22"/>
        </w:rPr>
        <w:t>e</w:t>
      </w:r>
      <w:r w:rsidR="00B72525" w:rsidRPr="00340C21">
        <w:rPr>
          <w:rFonts w:cs="Arial"/>
          <w:sz w:val="22"/>
          <w:szCs w:val="22"/>
        </w:rPr>
        <w:t>ast Bioregions</w:t>
      </w:r>
      <w:r w:rsidR="00661EC1">
        <w:rPr>
          <w:rFonts w:cs="Arial"/>
          <w:sz w:val="22"/>
          <w:szCs w:val="22"/>
        </w:rPr>
        <w:t>.  The</w:t>
      </w:r>
      <w:r w:rsidR="009A30A2" w:rsidRPr="00E10033">
        <w:rPr>
          <w:rFonts w:cs="Arial"/>
          <w:sz w:val="22"/>
          <w:szCs w:val="22"/>
        </w:rPr>
        <w:t xml:space="preserve"> DO criteria</w:t>
      </w:r>
      <w:r w:rsidR="009A30A2">
        <w:rPr>
          <w:sz w:val="22"/>
          <w:szCs w:val="22"/>
        </w:rPr>
        <w:t xml:space="preserve"> </w:t>
      </w:r>
      <w:r w:rsidR="00661EC1">
        <w:rPr>
          <w:sz w:val="22"/>
          <w:szCs w:val="22"/>
        </w:rPr>
        <w:t>for those regions in Rule 62-302.533, F.A.C. are</w:t>
      </w:r>
      <w:r w:rsidR="009A30A2">
        <w:rPr>
          <w:sz w:val="22"/>
          <w:szCs w:val="22"/>
        </w:rPr>
        <w:t xml:space="preserve"> generally </w:t>
      </w:r>
      <w:r w:rsidR="00B72525">
        <w:rPr>
          <w:sz w:val="22"/>
          <w:szCs w:val="22"/>
        </w:rPr>
        <w:t xml:space="preserve">lower (i.e., less stringent) </w:t>
      </w:r>
      <w:r w:rsidR="009A30A2">
        <w:rPr>
          <w:sz w:val="22"/>
          <w:szCs w:val="22"/>
        </w:rPr>
        <w:t>than the previous criteria</w:t>
      </w:r>
      <w:r w:rsidR="00F12D5F">
        <w:rPr>
          <w:sz w:val="22"/>
          <w:szCs w:val="22"/>
        </w:rPr>
        <w:t>.</w:t>
      </w:r>
      <w:r w:rsidR="009A30A2">
        <w:rPr>
          <w:sz w:val="22"/>
          <w:szCs w:val="22"/>
        </w:rPr>
        <w:t xml:space="preserve"> </w:t>
      </w:r>
      <w:r w:rsidR="00510F0B">
        <w:rPr>
          <w:sz w:val="22"/>
          <w:szCs w:val="22"/>
        </w:rPr>
        <w:t xml:space="preserve"> </w:t>
      </w:r>
      <w:r w:rsidR="00CE3300">
        <w:rPr>
          <w:sz w:val="22"/>
          <w:szCs w:val="22"/>
        </w:rPr>
        <w:t xml:space="preserve">However, </w:t>
      </w:r>
      <w:r w:rsidR="009A30A2">
        <w:rPr>
          <w:sz w:val="22"/>
          <w:szCs w:val="22"/>
        </w:rPr>
        <w:t xml:space="preserve">more stringent </w:t>
      </w:r>
      <w:r w:rsidR="00510F0B">
        <w:rPr>
          <w:sz w:val="22"/>
          <w:szCs w:val="22"/>
        </w:rPr>
        <w:t xml:space="preserve">BOD </w:t>
      </w:r>
      <w:r w:rsidR="009A30A2">
        <w:rPr>
          <w:sz w:val="22"/>
          <w:szCs w:val="22"/>
        </w:rPr>
        <w:t xml:space="preserve">effluent limitations may be needed for discharges in the </w:t>
      </w:r>
      <w:r w:rsidR="00B72525">
        <w:rPr>
          <w:sz w:val="22"/>
          <w:szCs w:val="22"/>
        </w:rPr>
        <w:t>P</w:t>
      </w:r>
      <w:r w:rsidR="009A30A2">
        <w:rPr>
          <w:sz w:val="22"/>
          <w:szCs w:val="22"/>
        </w:rPr>
        <w:t>anhandle</w:t>
      </w:r>
      <w:r w:rsidR="00B72525">
        <w:rPr>
          <w:sz w:val="22"/>
          <w:szCs w:val="22"/>
        </w:rPr>
        <w:t xml:space="preserve"> West Bioregion</w:t>
      </w:r>
      <w:r w:rsidR="009A30A2">
        <w:rPr>
          <w:sz w:val="22"/>
          <w:szCs w:val="22"/>
        </w:rPr>
        <w:t xml:space="preserve"> where the revised </w:t>
      </w:r>
      <w:r w:rsidR="00510F0B">
        <w:rPr>
          <w:sz w:val="22"/>
          <w:szCs w:val="22"/>
        </w:rPr>
        <w:t xml:space="preserve">DO water quality </w:t>
      </w:r>
      <w:r w:rsidR="009A30A2">
        <w:rPr>
          <w:sz w:val="22"/>
          <w:szCs w:val="22"/>
        </w:rPr>
        <w:t xml:space="preserve">criteria </w:t>
      </w:r>
      <w:r w:rsidR="00510F0B">
        <w:rPr>
          <w:sz w:val="22"/>
          <w:szCs w:val="22"/>
        </w:rPr>
        <w:t xml:space="preserve">in Rule 62-302.533, F.A.C. </w:t>
      </w:r>
      <w:r w:rsidR="009A30A2">
        <w:rPr>
          <w:sz w:val="22"/>
          <w:szCs w:val="22"/>
        </w:rPr>
        <w:t xml:space="preserve">are </w:t>
      </w:r>
      <w:r w:rsidR="00B72525">
        <w:rPr>
          <w:sz w:val="22"/>
          <w:szCs w:val="22"/>
        </w:rPr>
        <w:t xml:space="preserve">generally </w:t>
      </w:r>
      <w:r w:rsidR="009A30A2">
        <w:rPr>
          <w:sz w:val="22"/>
          <w:szCs w:val="22"/>
        </w:rPr>
        <w:t>more stringent</w:t>
      </w:r>
      <w:r w:rsidR="00B72525">
        <w:rPr>
          <w:sz w:val="22"/>
          <w:szCs w:val="22"/>
        </w:rPr>
        <w:t xml:space="preserve"> (i.e., higher)</w:t>
      </w:r>
      <w:r w:rsidR="00510F0B">
        <w:rPr>
          <w:sz w:val="22"/>
          <w:szCs w:val="22"/>
        </w:rPr>
        <w:t xml:space="preserve"> than the previous criteria</w:t>
      </w:r>
      <w:r w:rsidR="009A30A2">
        <w:rPr>
          <w:sz w:val="22"/>
          <w:szCs w:val="22"/>
        </w:rPr>
        <w:t xml:space="preserve">.  </w:t>
      </w:r>
    </w:p>
    <w:p w:rsidR="00346EB1" w:rsidRPr="00CA36B6" w:rsidRDefault="00510F0B" w:rsidP="00F55973">
      <w:pPr>
        <w:pStyle w:val="BodyText"/>
        <w:tabs>
          <w:tab w:val="clear" w:pos="1440"/>
        </w:tabs>
        <w:spacing w:before="100" w:beforeAutospacing="1" w:after="100" w:afterAutospacing="1"/>
        <w:ind w:left="4"/>
      </w:pPr>
      <w:r>
        <w:rPr>
          <w:sz w:val="22"/>
          <w:szCs w:val="22"/>
        </w:rPr>
        <w:t xml:space="preserve">The permit writer should note that revised BOD </w:t>
      </w:r>
      <w:r w:rsidR="009A30A2">
        <w:rPr>
          <w:sz w:val="22"/>
          <w:szCs w:val="22"/>
        </w:rPr>
        <w:t>limit</w:t>
      </w:r>
      <w:r>
        <w:rPr>
          <w:sz w:val="22"/>
          <w:szCs w:val="22"/>
        </w:rPr>
        <w:t>s</w:t>
      </w:r>
      <w:r w:rsidR="009A30A2">
        <w:rPr>
          <w:sz w:val="22"/>
          <w:szCs w:val="22"/>
        </w:rPr>
        <w:t xml:space="preserve"> for</w:t>
      </w:r>
      <w:r w:rsidR="00EB4008">
        <w:rPr>
          <w:sz w:val="22"/>
          <w:szCs w:val="22"/>
        </w:rPr>
        <w:t xml:space="preserve"> </w:t>
      </w:r>
      <w:r>
        <w:rPr>
          <w:sz w:val="22"/>
          <w:szCs w:val="22"/>
        </w:rPr>
        <w:t xml:space="preserve">either </w:t>
      </w:r>
      <w:r w:rsidR="00EB4008">
        <w:rPr>
          <w:sz w:val="22"/>
          <w:szCs w:val="22"/>
        </w:rPr>
        <w:t xml:space="preserve">existing, </w:t>
      </w:r>
      <w:r w:rsidR="009A30A2">
        <w:rPr>
          <w:sz w:val="22"/>
          <w:szCs w:val="22"/>
        </w:rPr>
        <w:t>new or expanded discharges should be determined under the Level II WQBEL proc</w:t>
      </w:r>
      <w:r w:rsidR="0016338D">
        <w:rPr>
          <w:sz w:val="22"/>
          <w:szCs w:val="22"/>
        </w:rPr>
        <w:t>ess, as described in Section 13.6 PWM</w:t>
      </w:r>
      <w:r w:rsidR="009A30A2">
        <w:rPr>
          <w:sz w:val="22"/>
          <w:szCs w:val="22"/>
        </w:rPr>
        <w:t>.</w:t>
      </w:r>
      <w:r>
        <w:rPr>
          <w:sz w:val="22"/>
          <w:szCs w:val="22"/>
        </w:rPr>
        <w:t xml:space="preserve">  </w:t>
      </w:r>
      <w:r w:rsidR="00BC1436">
        <w:rPr>
          <w:sz w:val="22"/>
          <w:szCs w:val="22"/>
        </w:rPr>
        <w:t>Development of nutrient limitations is discussed in Section 13.8.</w:t>
      </w:r>
      <w:r w:rsidR="005A2DFF">
        <w:rPr>
          <w:sz w:val="22"/>
          <w:szCs w:val="22"/>
        </w:rPr>
        <w:t xml:space="preserve"> </w:t>
      </w:r>
      <w:r w:rsidR="007F7968">
        <w:rPr>
          <w:sz w:val="22"/>
          <w:szCs w:val="22"/>
        </w:rPr>
        <w:t xml:space="preserve">  </w:t>
      </w:r>
      <w:r w:rsidR="000F6768">
        <w:rPr>
          <w:sz w:val="22"/>
          <w:szCs w:val="22"/>
        </w:rPr>
        <w:t xml:space="preserve">  </w:t>
      </w:r>
    </w:p>
    <w:p w:rsidR="0071145B" w:rsidRPr="00CA36B6" w:rsidRDefault="00B66705" w:rsidP="005A7703">
      <w:pPr>
        <w:pStyle w:val="Heading3"/>
        <w:numPr>
          <w:ilvl w:val="0"/>
          <w:numId w:val="0"/>
        </w:numPr>
        <w:tabs>
          <w:tab w:val="clear" w:pos="1440"/>
          <w:tab w:val="clear" w:pos="4770"/>
          <w:tab w:val="left" w:pos="810"/>
        </w:tabs>
        <w:spacing w:before="120" w:after="100" w:afterAutospacing="1" w:line="240" w:lineRule="auto"/>
        <w:ind w:firstLine="4"/>
        <w:rPr>
          <w:b w:val="0"/>
          <w:i/>
          <w:u w:val="single"/>
        </w:rPr>
      </w:pPr>
      <w:r w:rsidRPr="00CA36B6">
        <w:rPr>
          <w:b w:val="0"/>
          <w:i/>
          <w:u w:val="single"/>
        </w:rPr>
        <w:t>Do I need to reopen and reissue a permit to include</w:t>
      </w:r>
      <w:r w:rsidR="00043E1C" w:rsidRPr="00CA36B6">
        <w:rPr>
          <w:b w:val="0"/>
          <w:i/>
          <w:u w:val="single"/>
        </w:rPr>
        <w:t xml:space="preserve"> effluent limitations associated with </w:t>
      </w:r>
      <w:r w:rsidR="00C30F91" w:rsidRPr="00CA36B6">
        <w:rPr>
          <w:b w:val="0"/>
          <w:i/>
          <w:u w:val="single"/>
        </w:rPr>
        <w:t>the</w:t>
      </w:r>
      <w:r w:rsidR="0071145B" w:rsidRPr="00CA36B6">
        <w:rPr>
          <w:b w:val="0"/>
          <w:i/>
          <w:u w:val="single"/>
        </w:rPr>
        <w:t xml:space="preserve"> </w:t>
      </w:r>
      <w:r w:rsidR="00477A6D" w:rsidRPr="00CA36B6">
        <w:rPr>
          <w:b w:val="0"/>
          <w:i/>
          <w:u w:val="single"/>
        </w:rPr>
        <w:t xml:space="preserve">DO </w:t>
      </w:r>
      <w:r w:rsidR="00043E1C" w:rsidRPr="00CA36B6">
        <w:rPr>
          <w:b w:val="0"/>
          <w:i/>
          <w:u w:val="single"/>
        </w:rPr>
        <w:t>criteria</w:t>
      </w:r>
      <w:r w:rsidR="00666E34" w:rsidRPr="00CA36B6">
        <w:rPr>
          <w:b w:val="0"/>
          <w:i/>
          <w:u w:val="single"/>
        </w:rPr>
        <w:t xml:space="preserve"> </w:t>
      </w:r>
      <w:r w:rsidR="0015637D" w:rsidRPr="00CA36B6">
        <w:rPr>
          <w:b w:val="0"/>
          <w:i/>
          <w:u w:val="single"/>
        </w:rPr>
        <w:t xml:space="preserve">established </w:t>
      </w:r>
      <w:r w:rsidR="00DD5F44" w:rsidRPr="00CA36B6">
        <w:rPr>
          <w:b w:val="0"/>
          <w:i/>
          <w:u w:val="single"/>
        </w:rPr>
        <w:t>in Rule 62-302.533, F.A.C.</w:t>
      </w:r>
      <w:r w:rsidR="00477A6D" w:rsidRPr="00CA36B6">
        <w:rPr>
          <w:b w:val="0"/>
          <w:i/>
          <w:u w:val="single"/>
        </w:rPr>
        <w:t>?</w:t>
      </w:r>
    </w:p>
    <w:p w:rsidR="00477A6D" w:rsidRPr="00CA36B6" w:rsidRDefault="000861EE" w:rsidP="009D0224">
      <w:pPr>
        <w:pStyle w:val="BodyText3"/>
        <w:spacing w:before="100" w:beforeAutospacing="1" w:after="100" w:afterAutospacing="1"/>
        <w:rPr>
          <w:rFonts w:cs="Arial"/>
        </w:rPr>
      </w:pPr>
      <w:r w:rsidRPr="00CA36B6">
        <w:rPr>
          <w:rFonts w:cs="Arial"/>
        </w:rPr>
        <w:t xml:space="preserve">Generally, </w:t>
      </w:r>
      <w:r w:rsidR="00762770" w:rsidRPr="00CA36B6">
        <w:rPr>
          <w:rFonts w:cs="Arial"/>
        </w:rPr>
        <w:t xml:space="preserve">these </w:t>
      </w:r>
      <w:r w:rsidR="0015637D" w:rsidRPr="00CA36B6">
        <w:rPr>
          <w:rFonts w:cs="Arial"/>
        </w:rPr>
        <w:t xml:space="preserve">effluent limitations should </w:t>
      </w:r>
      <w:r w:rsidRPr="00CA36B6">
        <w:rPr>
          <w:rFonts w:cs="Arial"/>
        </w:rPr>
        <w:t>be</w:t>
      </w:r>
      <w:r w:rsidR="009D0224" w:rsidRPr="00CA36B6">
        <w:rPr>
          <w:rFonts w:cs="Arial"/>
        </w:rPr>
        <w:t xml:space="preserve"> </w:t>
      </w:r>
      <w:r w:rsidR="00043E1C" w:rsidRPr="00CA36B6">
        <w:rPr>
          <w:rFonts w:cs="Arial"/>
        </w:rPr>
        <w:t xml:space="preserve">included in the permit </w:t>
      </w:r>
      <w:r w:rsidR="009D0224" w:rsidRPr="00CA36B6">
        <w:rPr>
          <w:rFonts w:cs="Arial"/>
        </w:rPr>
        <w:t>on renewal or upon first issuance of the permit</w:t>
      </w:r>
      <w:r w:rsidR="00093007" w:rsidRPr="00CA36B6">
        <w:rPr>
          <w:rFonts w:cs="Arial"/>
        </w:rPr>
        <w:t>, as applicable</w:t>
      </w:r>
      <w:r w:rsidR="009D0224" w:rsidRPr="00CA36B6">
        <w:rPr>
          <w:rFonts w:cs="Arial"/>
        </w:rPr>
        <w:t>.  However, if a permit has been</w:t>
      </w:r>
      <w:r w:rsidR="0098096B" w:rsidRPr="00CA36B6">
        <w:rPr>
          <w:rFonts w:cs="Arial"/>
        </w:rPr>
        <w:t xml:space="preserve"> recently renewed</w:t>
      </w:r>
      <w:r w:rsidR="00CC40C9" w:rsidRPr="00CA36B6">
        <w:rPr>
          <w:rFonts w:cs="Arial"/>
        </w:rPr>
        <w:t xml:space="preserve"> with </w:t>
      </w:r>
      <w:r w:rsidR="00666E34" w:rsidRPr="00CA36B6">
        <w:rPr>
          <w:rFonts w:cs="Arial"/>
        </w:rPr>
        <w:lastRenderedPageBreak/>
        <w:t xml:space="preserve">effluent limitations based on </w:t>
      </w:r>
      <w:r w:rsidR="00CC40C9" w:rsidRPr="00CA36B6">
        <w:rPr>
          <w:rFonts w:cs="Arial"/>
        </w:rPr>
        <w:t>the DO criteria</w:t>
      </w:r>
      <w:r w:rsidR="009E0465" w:rsidRPr="00CA36B6">
        <w:rPr>
          <w:rFonts w:cs="Arial"/>
        </w:rPr>
        <w:t xml:space="preserve"> in effect before August 1, 2013</w:t>
      </w:r>
      <w:r w:rsidR="0098096B" w:rsidRPr="00CA36B6">
        <w:rPr>
          <w:rFonts w:cs="Arial"/>
        </w:rPr>
        <w:t xml:space="preserve">, </w:t>
      </w:r>
      <w:r w:rsidR="009D0224" w:rsidRPr="00CA36B6">
        <w:rPr>
          <w:rFonts w:cs="Arial"/>
        </w:rPr>
        <w:t xml:space="preserve">the permit writer should consider whether </w:t>
      </w:r>
      <w:r w:rsidR="00CC40C9" w:rsidRPr="00CA36B6">
        <w:rPr>
          <w:rFonts w:cs="Arial"/>
        </w:rPr>
        <w:t>it is appropriate to reopen and revise the permit</w:t>
      </w:r>
      <w:r w:rsidR="00B972A0" w:rsidRPr="00B972A0">
        <w:rPr>
          <w:rFonts w:cs="Arial"/>
        </w:rPr>
        <w:t xml:space="preserve"> </w:t>
      </w:r>
      <w:r w:rsidR="00B972A0">
        <w:rPr>
          <w:rFonts w:cs="Arial"/>
        </w:rPr>
        <w:t>for consistency with</w:t>
      </w:r>
      <w:r w:rsidR="00B972A0" w:rsidRPr="00CA36B6">
        <w:rPr>
          <w:rFonts w:cs="Arial"/>
        </w:rPr>
        <w:t xml:space="preserve"> Rule 62-302.533, F.A.C.</w:t>
      </w:r>
      <w:r w:rsidR="009A30A2">
        <w:rPr>
          <w:rFonts w:cs="Arial"/>
        </w:rPr>
        <w:t>, pursuant to the standard permit condition allowing for reopening permits to address more stringent criteria</w:t>
      </w:r>
      <w:r w:rsidR="00B972A0">
        <w:rPr>
          <w:rFonts w:cs="Arial"/>
        </w:rPr>
        <w:t>.</w:t>
      </w:r>
      <w:r w:rsidR="00CC40C9" w:rsidRPr="00CA36B6">
        <w:rPr>
          <w:rFonts w:cs="Arial"/>
        </w:rPr>
        <w:t xml:space="preserve"> </w:t>
      </w:r>
      <w:r w:rsidR="001E0C2B" w:rsidRPr="00CA36B6">
        <w:rPr>
          <w:rFonts w:cs="Arial"/>
        </w:rPr>
        <w:t xml:space="preserve"> Additionally, the </w:t>
      </w:r>
      <w:r w:rsidR="00762770" w:rsidRPr="00CA36B6">
        <w:rPr>
          <w:rFonts w:cs="Arial"/>
        </w:rPr>
        <w:t>p</w:t>
      </w:r>
      <w:r w:rsidR="0098096B" w:rsidRPr="00CA36B6">
        <w:rPr>
          <w:rFonts w:cs="Arial"/>
        </w:rPr>
        <w:t xml:space="preserve">ermittee </w:t>
      </w:r>
      <w:r w:rsidR="001E0C2B" w:rsidRPr="00CA36B6">
        <w:rPr>
          <w:rFonts w:cs="Arial"/>
        </w:rPr>
        <w:t xml:space="preserve">may </w:t>
      </w:r>
      <w:r w:rsidR="002C4F61" w:rsidRPr="00CA36B6">
        <w:rPr>
          <w:rFonts w:cs="Arial"/>
        </w:rPr>
        <w:t xml:space="preserve">request that </w:t>
      </w:r>
      <w:r w:rsidR="00762770" w:rsidRPr="00CA36B6">
        <w:rPr>
          <w:rFonts w:cs="Arial"/>
        </w:rPr>
        <w:t xml:space="preserve">the Department reopen and </w:t>
      </w:r>
      <w:r w:rsidR="001E0C2B" w:rsidRPr="00CA36B6">
        <w:rPr>
          <w:rFonts w:cs="Arial"/>
        </w:rPr>
        <w:t xml:space="preserve">revise the permit </w:t>
      </w:r>
      <w:r w:rsidR="00EE2161">
        <w:rPr>
          <w:rFonts w:cs="Arial"/>
        </w:rPr>
        <w:t>for</w:t>
      </w:r>
      <w:r w:rsidR="009A30A2">
        <w:rPr>
          <w:rFonts w:cs="Arial"/>
        </w:rPr>
        <w:t xml:space="preserve"> consisten</w:t>
      </w:r>
      <w:r w:rsidR="00EE2161">
        <w:rPr>
          <w:rFonts w:cs="Arial"/>
        </w:rPr>
        <w:t>cy</w:t>
      </w:r>
      <w:r w:rsidR="009A30A2">
        <w:rPr>
          <w:rFonts w:cs="Arial"/>
        </w:rPr>
        <w:t xml:space="preserve"> </w:t>
      </w:r>
      <w:r w:rsidR="00BA136C" w:rsidRPr="00CA36B6">
        <w:rPr>
          <w:rFonts w:cs="Arial"/>
        </w:rPr>
        <w:t>with</w:t>
      </w:r>
      <w:r w:rsidR="00203025" w:rsidRPr="00CA36B6">
        <w:rPr>
          <w:rFonts w:cs="Arial"/>
        </w:rPr>
        <w:t xml:space="preserve"> </w:t>
      </w:r>
      <w:r w:rsidR="00B66705" w:rsidRPr="00CA36B6">
        <w:rPr>
          <w:rFonts w:cs="Arial"/>
        </w:rPr>
        <w:t>Rule 62-302.533, F.A.C.</w:t>
      </w:r>
      <w:r w:rsidR="00203025" w:rsidRPr="00CA36B6">
        <w:rPr>
          <w:rFonts w:cs="Arial"/>
        </w:rPr>
        <w:t xml:space="preserve"> </w:t>
      </w:r>
      <w:r w:rsidR="000C703A">
        <w:rPr>
          <w:rFonts w:cs="Arial"/>
        </w:rPr>
        <w:t xml:space="preserve">Reopener requirements are </w:t>
      </w:r>
      <w:r w:rsidR="0016338D">
        <w:rPr>
          <w:rFonts w:cs="Arial"/>
        </w:rPr>
        <w:t>found</w:t>
      </w:r>
      <w:r w:rsidR="000C703A">
        <w:rPr>
          <w:rFonts w:cs="Arial"/>
        </w:rPr>
        <w:t xml:space="preserve"> in Paragraph 62-620.620(1)(f), F.A.C.</w:t>
      </w:r>
      <w:r w:rsidR="0016338D">
        <w:rPr>
          <w:rFonts w:cs="Arial"/>
        </w:rPr>
        <w:t xml:space="preserve"> and discussed in Section 6.15 PWM.</w:t>
      </w:r>
    </w:p>
    <w:p w:rsidR="00B610A3" w:rsidRPr="00CA36B6" w:rsidRDefault="00EA1AB5" w:rsidP="005A7703">
      <w:pPr>
        <w:pStyle w:val="Heading3"/>
        <w:numPr>
          <w:ilvl w:val="0"/>
          <w:numId w:val="0"/>
        </w:numPr>
        <w:tabs>
          <w:tab w:val="clear" w:pos="1440"/>
          <w:tab w:val="clear" w:pos="4770"/>
          <w:tab w:val="left" w:pos="810"/>
        </w:tabs>
        <w:spacing w:before="120" w:after="100" w:afterAutospacing="1" w:line="240" w:lineRule="auto"/>
        <w:ind w:firstLine="4"/>
        <w:rPr>
          <w:b w:val="0"/>
          <w:i/>
          <w:u w:val="single"/>
        </w:rPr>
      </w:pPr>
      <w:r w:rsidRPr="00CA36B6">
        <w:rPr>
          <w:b w:val="0"/>
          <w:i/>
          <w:u w:val="single"/>
        </w:rPr>
        <w:t xml:space="preserve">Is it considered backsliding when the effluent limitations associated with </w:t>
      </w:r>
      <w:bookmarkStart w:id="1" w:name="OLE_LINK1"/>
      <w:bookmarkStart w:id="2" w:name="OLE_LINK2"/>
      <w:r w:rsidR="00B66705" w:rsidRPr="00CA36B6">
        <w:rPr>
          <w:b w:val="0"/>
          <w:i/>
          <w:u w:val="single"/>
        </w:rPr>
        <w:t>Rule 62-502.533, F.A.C.</w:t>
      </w:r>
      <w:bookmarkEnd w:id="1"/>
      <w:bookmarkEnd w:id="2"/>
      <w:r w:rsidR="009D3CE9">
        <w:rPr>
          <w:b w:val="0"/>
          <w:i/>
          <w:u w:val="single"/>
        </w:rPr>
        <w:t>,</w:t>
      </w:r>
      <w:r w:rsidR="00203025" w:rsidRPr="00CA36B6">
        <w:rPr>
          <w:b w:val="0"/>
          <w:i/>
          <w:u w:val="single"/>
        </w:rPr>
        <w:t xml:space="preserve"> are less stringent than the </w:t>
      </w:r>
      <w:r w:rsidRPr="00CA36B6">
        <w:rPr>
          <w:b w:val="0"/>
          <w:i/>
          <w:u w:val="single"/>
        </w:rPr>
        <w:t>previous effluent limitations</w:t>
      </w:r>
      <w:r w:rsidR="00B610A3" w:rsidRPr="00CA36B6">
        <w:rPr>
          <w:b w:val="0"/>
          <w:i/>
          <w:u w:val="single"/>
        </w:rPr>
        <w:t>?</w:t>
      </w:r>
      <w:r w:rsidR="008149E3" w:rsidRPr="00CA36B6">
        <w:rPr>
          <w:b w:val="0"/>
          <w:i/>
          <w:u w:val="single"/>
        </w:rPr>
        <w:t xml:space="preserve">  </w:t>
      </w:r>
    </w:p>
    <w:p w:rsidR="00B610A3" w:rsidRPr="00CA36B6" w:rsidRDefault="00203025" w:rsidP="00AB2D6B">
      <w:pPr>
        <w:pStyle w:val="BodyText3"/>
        <w:spacing w:before="100" w:beforeAutospacing="1" w:after="100" w:afterAutospacing="1"/>
        <w:rPr>
          <w:rFonts w:cs="Arial"/>
        </w:rPr>
      </w:pPr>
      <w:r w:rsidRPr="00CA36B6">
        <w:rPr>
          <w:rFonts w:cs="Arial"/>
        </w:rPr>
        <w:t>No</w:t>
      </w:r>
      <w:r w:rsidR="0068421B" w:rsidRPr="00CA36B6">
        <w:rPr>
          <w:rFonts w:cs="Arial"/>
        </w:rPr>
        <w:t xml:space="preserve">, </w:t>
      </w:r>
      <w:r w:rsidR="00B66705" w:rsidRPr="00CA36B6">
        <w:t>Rule 62-502.533, F.A.C.</w:t>
      </w:r>
      <w:r w:rsidR="009D3CE9">
        <w:t>,</w:t>
      </w:r>
      <w:r w:rsidRPr="00CA36B6">
        <w:rPr>
          <w:rFonts w:cs="Arial"/>
        </w:rPr>
        <w:t xml:space="preserve"> </w:t>
      </w:r>
      <w:r w:rsidR="008366E3" w:rsidRPr="00CA36B6">
        <w:rPr>
          <w:rFonts w:cs="Arial"/>
        </w:rPr>
        <w:t>establish</w:t>
      </w:r>
      <w:r w:rsidR="00B66705" w:rsidRPr="00CA36B6">
        <w:rPr>
          <w:rFonts w:cs="Arial"/>
        </w:rPr>
        <w:t>es</w:t>
      </w:r>
      <w:r w:rsidRPr="00CA36B6">
        <w:rPr>
          <w:rFonts w:cs="Arial"/>
        </w:rPr>
        <w:t xml:space="preserve"> </w:t>
      </w:r>
      <w:r w:rsidR="008366E3" w:rsidRPr="00CA36B6">
        <w:rPr>
          <w:rFonts w:cs="Arial"/>
        </w:rPr>
        <w:t xml:space="preserve">new </w:t>
      </w:r>
      <w:r w:rsidRPr="00CA36B6">
        <w:rPr>
          <w:rFonts w:cs="Arial"/>
        </w:rPr>
        <w:t>water quality standard</w:t>
      </w:r>
      <w:r w:rsidR="008366E3" w:rsidRPr="00CA36B6">
        <w:rPr>
          <w:rFonts w:cs="Arial"/>
        </w:rPr>
        <w:t>s that protect the designated use of the waterbody</w:t>
      </w:r>
      <w:r w:rsidR="009D3CE9">
        <w:rPr>
          <w:rFonts w:cs="Arial"/>
        </w:rPr>
        <w:t xml:space="preserve">, and </w:t>
      </w:r>
      <w:r w:rsidR="0071145B" w:rsidRPr="00CA36B6">
        <w:rPr>
          <w:rFonts w:cs="Arial"/>
        </w:rPr>
        <w:t>“</w:t>
      </w:r>
      <w:r w:rsidR="00A53979">
        <w:rPr>
          <w:rFonts w:cs="Arial"/>
        </w:rPr>
        <w:t>a</w:t>
      </w:r>
      <w:r w:rsidR="00A53979" w:rsidRPr="00CA36B6">
        <w:rPr>
          <w:rFonts w:cs="Arial"/>
        </w:rPr>
        <w:t>nti</w:t>
      </w:r>
      <w:r w:rsidR="0071145B" w:rsidRPr="00CA36B6">
        <w:rPr>
          <w:rFonts w:cs="Arial"/>
        </w:rPr>
        <w:t xml:space="preserve">-backsliding” </w:t>
      </w:r>
      <w:r w:rsidR="0017371C" w:rsidRPr="00CA36B6">
        <w:rPr>
          <w:rFonts w:cs="Arial"/>
        </w:rPr>
        <w:t xml:space="preserve">provisions </w:t>
      </w:r>
      <w:r w:rsidR="008366E3" w:rsidRPr="00CA36B6">
        <w:rPr>
          <w:rFonts w:cs="Arial"/>
        </w:rPr>
        <w:t>in Rule 62-620.620(1)(o) and (4)</w:t>
      </w:r>
      <w:r w:rsidR="007E5D81" w:rsidRPr="00CA36B6">
        <w:rPr>
          <w:rFonts w:cs="Arial"/>
        </w:rPr>
        <w:t>, F.A.C.,</w:t>
      </w:r>
      <w:r w:rsidR="008366E3" w:rsidRPr="00CA36B6">
        <w:rPr>
          <w:rFonts w:cs="Arial"/>
        </w:rPr>
        <w:t xml:space="preserve"> </w:t>
      </w:r>
      <w:r w:rsidR="0017371C" w:rsidRPr="00CA36B6">
        <w:rPr>
          <w:rFonts w:cs="Arial"/>
        </w:rPr>
        <w:t>are not applicable</w:t>
      </w:r>
      <w:r w:rsidR="008149E3" w:rsidRPr="00CA36B6">
        <w:rPr>
          <w:rFonts w:cs="Arial"/>
        </w:rPr>
        <w:t xml:space="preserve"> when </w:t>
      </w:r>
      <w:r w:rsidR="0017371C" w:rsidRPr="00CA36B6">
        <w:rPr>
          <w:rFonts w:cs="Arial"/>
        </w:rPr>
        <w:t>new water quality standards</w:t>
      </w:r>
      <w:r w:rsidR="008149E3" w:rsidRPr="00CA36B6">
        <w:rPr>
          <w:rFonts w:cs="Arial"/>
        </w:rPr>
        <w:t xml:space="preserve"> replace former </w:t>
      </w:r>
      <w:r w:rsidR="007E5D81" w:rsidRPr="00CA36B6">
        <w:rPr>
          <w:rFonts w:cs="Arial"/>
        </w:rPr>
        <w:t>water quality standards</w:t>
      </w:r>
      <w:r w:rsidR="00D807DF" w:rsidRPr="00CA36B6">
        <w:rPr>
          <w:rFonts w:cs="Arial"/>
        </w:rPr>
        <w:t>.</w:t>
      </w:r>
      <w:r w:rsidR="0071145B" w:rsidRPr="00CA36B6">
        <w:rPr>
          <w:rFonts w:cs="Arial"/>
        </w:rPr>
        <w:t xml:space="preserve"> </w:t>
      </w:r>
    </w:p>
    <w:p w:rsidR="00D10587" w:rsidRPr="00CA36B6" w:rsidRDefault="00D10587" w:rsidP="001778F5">
      <w:pPr>
        <w:pStyle w:val="Heading3"/>
        <w:numPr>
          <w:ilvl w:val="0"/>
          <w:numId w:val="0"/>
        </w:numPr>
        <w:tabs>
          <w:tab w:val="clear" w:pos="1440"/>
          <w:tab w:val="clear" w:pos="4770"/>
          <w:tab w:val="left" w:pos="810"/>
        </w:tabs>
        <w:spacing w:before="120" w:after="100" w:afterAutospacing="1" w:line="240" w:lineRule="auto"/>
        <w:ind w:firstLine="4"/>
        <w:rPr>
          <w:b w:val="0"/>
        </w:rPr>
      </w:pPr>
      <w:r w:rsidRPr="00CA36B6">
        <w:rPr>
          <w:b w:val="0"/>
          <w:i/>
          <w:u w:val="single"/>
        </w:rPr>
        <w:t xml:space="preserve">What </w:t>
      </w:r>
      <w:r w:rsidR="003C1DA5" w:rsidRPr="00CA36B6">
        <w:rPr>
          <w:b w:val="0"/>
          <w:i/>
          <w:u w:val="single"/>
        </w:rPr>
        <w:t>permit conditions should be included in the wastewater permit to ensure facilities comply with the State’s DO criteria</w:t>
      </w:r>
      <w:r w:rsidR="00380455" w:rsidRPr="00CA36B6">
        <w:rPr>
          <w:b w:val="0"/>
          <w:i/>
          <w:u w:val="single"/>
        </w:rPr>
        <w:t xml:space="preserve"> found in Rule 62-302.533, F.A.C.</w:t>
      </w:r>
      <w:r w:rsidRPr="00CA36B6">
        <w:rPr>
          <w:b w:val="0"/>
          <w:i/>
          <w:u w:val="single"/>
        </w:rPr>
        <w:t>?</w:t>
      </w:r>
    </w:p>
    <w:p w:rsidR="0011051D" w:rsidRDefault="007A5DEB" w:rsidP="0011051D">
      <w:pPr>
        <w:pStyle w:val="BodyText3"/>
        <w:spacing w:before="100" w:beforeAutospacing="1" w:after="100" w:afterAutospacing="1"/>
        <w:rPr>
          <w:rFonts w:cs="Arial"/>
        </w:rPr>
      </w:pPr>
      <w:bookmarkStart w:id="3" w:name="4_Protection_of_the_Atlantic_and_Shortno"/>
      <w:bookmarkStart w:id="4" w:name="1_Introduction"/>
      <w:bookmarkStart w:id="5" w:name="3_Determining_Whether_DO_Values_Have_Dec"/>
      <w:bookmarkStart w:id="6" w:name="4.1_Sturgeon_in_the_St._Marys_River"/>
      <w:bookmarkEnd w:id="3"/>
      <w:bookmarkEnd w:id="4"/>
      <w:bookmarkEnd w:id="5"/>
      <w:bookmarkEnd w:id="6"/>
      <w:r>
        <w:rPr>
          <w:rFonts w:cs="Arial"/>
        </w:rPr>
        <w:t>When the permit writer has determined that a permit ne</w:t>
      </w:r>
      <w:r w:rsidR="00B02FC6">
        <w:rPr>
          <w:rFonts w:cs="Arial"/>
        </w:rPr>
        <w:t>eds DO effluent limitations</w:t>
      </w:r>
      <w:r>
        <w:rPr>
          <w:rFonts w:cs="Arial"/>
        </w:rPr>
        <w:t>, the permit conditions must be consistent with applicable requirements of Rule 62-302.533, F.A.C.</w:t>
      </w:r>
      <w:r w:rsidR="00B02FC6">
        <w:rPr>
          <w:rFonts w:cs="Arial"/>
        </w:rPr>
        <w:t xml:space="preserve">, </w:t>
      </w:r>
      <w:r w:rsidR="00CA554B">
        <w:rPr>
          <w:rFonts w:cs="Arial"/>
        </w:rPr>
        <w:t>mixing zone requirements pursuant to Rule 62-4.244, F.A.C.</w:t>
      </w:r>
      <w:r w:rsidR="00F717A7">
        <w:rPr>
          <w:rFonts w:cs="Arial"/>
        </w:rPr>
        <w:t>,</w:t>
      </w:r>
      <w:r w:rsidR="00CA554B">
        <w:rPr>
          <w:rFonts w:cs="Arial"/>
        </w:rPr>
        <w:t xml:space="preserve"> </w:t>
      </w:r>
      <w:r w:rsidR="00B02FC6">
        <w:rPr>
          <w:rFonts w:cs="Arial"/>
        </w:rPr>
        <w:t>SSACs</w:t>
      </w:r>
      <w:r w:rsidR="00903FF8">
        <w:rPr>
          <w:rFonts w:cs="Arial"/>
        </w:rPr>
        <w:t xml:space="preserve"> pursuant to Rule 62-302.800, F.A.C.</w:t>
      </w:r>
      <w:r w:rsidR="00104B3F">
        <w:rPr>
          <w:rFonts w:cs="Arial"/>
        </w:rPr>
        <w:t>,</w:t>
      </w:r>
      <w:r w:rsidR="00B02FC6">
        <w:rPr>
          <w:rFonts w:cs="Arial"/>
        </w:rPr>
        <w:t xml:space="preserve"> or </w:t>
      </w:r>
      <w:r w:rsidR="00C53176">
        <w:rPr>
          <w:rFonts w:cs="Arial"/>
        </w:rPr>
        <w:t xml:space="preserve">more stringent requirements </w:t>
      </w:r>
      <w:r>
        <w:rPr>
          <w:rFonts w:cs="Arial"/>
        </w:rPr>
        <w:t>pursuant to Subsection 62-620.</w:t>
      </w:r>
      <w:r w:rsidR="00C53176">
        <w:rPr>
          <w:rFonts w:cs="Arial"/>
        </w:rPr>
        <w:t>620(1</w:t>
      </w:r>
      <w:r>
        <w:rPr>
          <w:rFonts w:cs="Arial"/>
        </w:rPr>
        <w:t>), F.A.C.</w:t>
      </w:r>
      <w:r w:rsidR="00C53176">
        <w:rPr>
          <w:rFonts w:cs="Arial"/>
        </w:rPr>
        <w:t>, if</w:t>
      </w:r>
      <w:r>
        <w:rPr>
          <w:rFonts w:cs="Arial"/>
        </w:rPr>
        <w:t xml:space="preserve"> needed </w:t>
      </w:r>
      <w:r w:rsidRPr="00E15529">
        <w:rPr>
          <w:rFonts w:cs="Arial"/>
        </w:rPr>
        <w:t>to protect the designated use of the receiving waterbody</w:t>
      </w:r>
      <w:r>
        <w:rPr>
          <w:rFonts w:cs="Arial"/>
        </w:rPr>
        <w:t xml:space="preserve">.  </w:t>
      </w:r>
      <w:r w:rsidR="00DB3BD0" w:rsidRPr="00B2279C">
        <w:t>Several typical scenarios consistent with the rule</w:t>
      </w:r>
      <w:r w:rsidR="00DB3BD0">
        <w:t>, other water quality rules discussed in this Chapter</w:t>
      </w:r>
      <w:r w:rsidR="0029672D">
        <w:t xml:space="preserve"> </w:t>
      </w:r>
      <w:r w:rsidR="00DB3BD0">
        <w:t xml:space="preserve">and the TSD </w:t>
      </w:r>
      <w:r w:rsidR="00DB3BD0" w:rsidRPr="00B2279C">
        <w:t xml:space="preserve">are </w:t>
      </w:r>
      <w:r w:rsidR="00DB3BD0">
        <w:t>present</w:t>
      </w:r>
      <w:r w:rsidR="00DB3BD0" w:rsidRPr="00B2279C">
        <w:t>ed below</w:t>
      </w:r>
      <w:r w:rsidR="00DB3BD0">
        <w:t>.</w:t>
      </w:r>
      <w:r w:rsidR="0011051D">
        <w:t xml:space="preserve">  </w:t>
      </w:r>
      <w:r w:rsidR="0011051D">
        <w:rPr>
          <w:rFonts w:cs="Arial"/>
        </w:rPr>
        <w:t>Standard permit conditions and fact sheet language for DO requirements consistent with Rule 62-302.533, F.A.C.</w:t>
      </w:r>
      <w:r w:rsidR="00104B3F">
        <w:rPr>
          <w:rFonts w:cs="Arial"/>
        </w:rPr>
        <w:t>,</w:t>
      </w:r>
      <w:r w:rsidR="0011051D">
        <w:rPr>
          <w:rFonts w:cs="Arial"/>
        </w:rPr>
        <w:t xml:space="preserve"> </w:t>
      </w:r>
      <w:r w:rsidR="00D51623">
        <w:rPr>
          <w:rFonts w:cs="Arial"/>
        </w:rPr>
        <w:t>will be posted</w:t>
      </w:r>
      <w:r w:rsidR="0011051D">
        <w:rPr>
          <w:rFonts w:cs="Arial"/>
        </w:rPr>
        <w:t xml:space="preserve"> on the WRMD intranet at </w:t>
      </w:r>
      <w:r w:rsidR="0011051D" w:rsidRPr="00A61E66">
        <w:rPr>
          <w:rFonts w:cs="Arial"/>
          <w:i/>
        </w:rPr>
        <w:t>(</w:t>
      </w:r>
      <w:r w:rsidR="0011051D">
        <w:rPr>
          <w:rFonts w:cs="Arial"/>
          <w:i/>
        </w:rPr>
        <w:t xml:space="preserve">insert </w:t>
      </w:r>
      <w:proofErr w:type="spellStart"/>
      <w:r w:rsidR="0011051D">
        <w:rPr>
          <w:rFonts w:cs="Arial"/>
          <w:i/>
        </w:rPr>
        <w:t>depnet</w:t>
      </w:r>
      <w:proofErr w:type="spellEnd"/>
      <w:r w:rsidR="0011051D">
        <w:rPr>
          <w:rFonts w:cs="Arial"/>
          <w:i/>
        </w:rPr>
        <w:t xml:space="preserve"> address</w:t>
      </w:r>
      <w:r w:rsidR="0011051D" w:rsidRPr="00D51623">
        <w:rPr>
          <w:rFonts w:cs="Arial"/>
          <w:i/>
        </w:rPr>
        <w:t>)</w:t>
      </w:r>
      <w:r w:rsidR="002532F8" w:rsidRPr="002532F8">
        <w:rPr>
          <w:rFonts w:cs="Arial"/>
        </w:rPr>
        <w:t xml:space="preserve"> </w:t>
      </w:r>
      <w:r w:rsidR="00264C2B">
        <w:rPr>
          <w:rFonts w:cs="Arial"/>
        </w:rPr>
        <w:t>as they are developed.</w:t>
      </w:r>
      <w:r w:rsidR="00264C2B" w:rsidRPr="00A61E66">
        <w:rPr>
          <w:rFonts w:cs="Arial"/>
        </w:rPr>
        <w:t xml:space="preserve">  </w:t>
      </w:r>
      <w:r w:rsidR="0011051D" w:rsidRPr="00A61E66">
        <w:rPr>
          <w:rFonts w:cs="Arial"/>
        </w:rPr>
        <w:t xml:space="preserve">Permit writers will need to use applicable </w:t>
      </w:r>
      <w:r w:rsidR="0011051D">
        <w:rPr>
          <w:rFonts w:cs="Arial"/>
        </w:rPr>
        <w:t>requirements from this site in developing the draft permit.</w:t>
      </w:r>
    </w:p>
    <w:p w:rsidR="00880FF9" w:rsidRPr="008C6EE2" w:rsidRDefault="009A3AB2" w:rsidP="0011051D">
      <w:pPr>
        <w:pStyle w:val="BodyText3"/>
        <w:spacing w:before="100" w:beforeAutospacing="1" w:after="100" w:afterAutospacing="1"/>
        <w:rPr>
          <w:rFonts w:cs="Arial"/>
        </w:rPr>
      </w:pPr>
      <w:r>
        <w:rPr>
          <w:rFonts w:cs="Arial"/>
        </w:rPr>
        <w:t xml:space="preserve">As previously noted, </w:t>
      </w:r>
      <w:r w:rsidR="00880FF9">
        <w:rPr>
          <w:rFonts w:cs="Arial"/>
        </w:rPr>
        <w:t xml:space="preserve">TMDLs for DO </w:t>
      </w:r>
      <w:r w:rsidR="008745F0">
        <w:rPr>
          <w:rFonts w:cs="Arial"/>
        </w:rPr>
        <w:t xml:space="preserve">require </w:t>
      </w:r>
      <w:r w:rsidR="00E02F20">
        <w:rPr>
          <w:rFonts w:cs="Arial"/>
        </w:rPr>
        <w:t>allocations</w:t>
      </w:r>
      <w:r w:rsidR="008745F0">
        <w:rPr>
          <w:rFonts w:cs="Arial"/>
        </w:rPr>
        <w:t xml:space="preserve"> for </w:t>
      </w:r>
      <w:r w:rsidR="008C6EE2">
        <w:rPr>
          <w:rFonts w:cs="Arial"/>
        </w:rPr>
        <w:t xml:space="preserve">TN, TP, Chlorophyll </w:t>
      </w:r>
      <w:r w:rsidR="008C6EE2">
        <w:rPr>
          <w:rFonts w:cs="Arial"/>
          <w:i/>
        </w:rPr>
        <w:t>a</w:t>
      </w:r>
      <w:r w:rsidR="008C6EE2">
        <w:rPr>
          <w:rFonts w:cs="Arial"/>
        </w:rPr>
        <w:t xml:space="preserve"> and/or BOD, i.e. the pollutants that may cause depletion of DO i</w:t>
      </w:r>
      <w:r w:rsidR="007230FD">
        <w:rPr>
          <w:rFonts w:cs="Arial"/>
        </w:rPr>
        <w:t>n</w:t>
      </w:r>
      <w:r w:rsidR="008C6EE2">
        <w:rPr>
          <w:rFonts w:cs="Arial"/>
        </w:rPr>
        <w:t xml:space="preserve"> </w:t>
      </w:r>
      <w:r w:rsidR="00922DDB">
        <w:rPr>
          <w:rFonts w:cs="Arial"/>
        </w:rPr>
        <w:t>a waterbody</w:t>
      </w:r>
      <w:r w:rsidR="008C6EE2">
        <w:rPr>
          <w:rFonts w:cs="Arial"/>
        </w:rPr>
        <w:t xml:space="preserve">.  </w:t>
      </w:r>
      <w:r w:rsidR="007230FD">
        <w:rPr>
          <w:rFonts w:cs="Arial"/>
        </w:rPr>
        <w:t>Limitations</w:t>
      </w:r>
      <w:r w:rsidR="008C6EE2">
        <w:rPr>
          <w:rFonts w:cs="Arial"/>
        </w:rPr>
        <w:t xml:space="preserve"> </w:t>
      </w:r>
      <w:r w:rsidR="007230FD">
        <w:rPr>
          <w:rFonts w:cs="Arial"/>
        </w:rPr>
        <w:t xml:space="preserve">for these pollutants </w:t>
      </w:r>
      <w:r w:rsidR="008C6EE2">
        <w:rPr>
          <w:rFonts w:cs="Arial"/>
        </w:rPr>
        <w:t>establishe</w:t>
      </w:r>
      <w:r w:rsidR="007230FD">
        <w:rPr>
          <w:rFonts w:cs="Arial"/>
        </w:rPr>
        <w:t xml:space="preserve">d under </w:t>
      </w:r>
      <w:r w:rsidR="00922DDB">
        <w:rPr>
          <w:rFonts w:cs="Arial"/>
        </w:rPr>
        <w:t xml:space="preserve">a </w:t>
      </w:r>
      <w:r w:rsidR="007230FD">
        <w:rPr>
          <w:rFonts w:cs="Arial"/>
        </w:rPr>
        <w:t>TMDL</w:t>
      </w:r>
      <w:r w:rsidR="008C6EE2">
        <w:rPr>
          <w:rFonts w:cs="Arial"/>
        </w:rPr>
        <w:t xml:space="preserve"> </w:t>
      </w:r>
      <w:r w:rsidR="007230FD">
        <w:rPr>
          <w:rFonts w:cs="Arial"/>
        </w:rPr>
        <w:t xml:space="preserve">are </w:t>
      </w:r>
      <w:r w:rsidR="008C6EE2">
        <w:rPr>
          <w:rFonts w:cs="Arial"/>
        </w:rPr>
        <w:t xml:space="preserve">designed to restore appropriate DO </w:t>
      </w:r>
      <w:r w:rsidR="007230FD">
        <w:rPr>
          <w:rFonts w:cs="Arial"/>
        </w:rPr>
        <w:t>levels.</w:t>
      </w:r>
    </w:p>
    <w:p w:rsidR="00D607BC" w:rsidRDefault="00D607BC" w:rsidP="00D607BC">
      <w:pPr>
        <w:pStyle w:val="BodyText3"/>
        <w:spacing w:before="100" w:beforeAutospacing="1" w:after="100" w:afterAutospacing="1"/>
        <w:rPr>
          <w:rFonts w:cs="Arial"/>
          <w:u w:val="single"/>
        </w:rPr>
      </w:pPr>
      <w:r>
        <w:rPr>
          <w:rFonts w:cs="Arial"/>
          <w:u w:val="single"/>
        </w:rPr>
        <w:t xml:space="preserve">Determining Frequency of DO Monitoring for Permits </w:t>
      </w:r>
    </w:p>
    <w:p w:rsidR="00DC00F4" w:rsidRDefault="00DC00F4" w:rsidP="00DC00F4">
      <w:pPr>
        <w:pStyle w:val="BodyText3"/>
        <w:spacing w:before="100" w:beforeAutospacing="1" w:after="100" w:afterAutospacing="1"/>
        <w:rPr>
          <w:rFonts w:cs="Arial"/>
        </w:rPr>
      </w:pPr>
      <w:r>
        <w:rPr>
          <w:rFonts w:cs="Arial"/>
        </w:rPr>
        <w:t xml:space="preserve">Rule 62-302.533, F.A.C. does not address sampling frequency for daily average % DO saturation for either fresh waters or marine waters.  Paragraphs 62-302.533(2)(b)-(c), F.A.C., however, include minimum sampling frequencies in marine waters for seven-day (weekly) average and 30-day (monthly) average % DO saturation criteria.  The permit writer should note that these sampling frequencies are used for monitoring within a marine waterbody to </w:t>
      </w:r>
      <w:r w:rsidR="00C86B04">
        <w:rPr>
          <w:rFonts w:cs="Arial"/>
        </w:rPr>
        <w:t xml:space="preserve">assess </w:t>
      </w:r>
      <w:r>
        <w:rPr>
          <w:rFonts w:cs="Arial"/>
        </w:rPr>
        <w:t xml:space="preserve">its compliance with the %DO saturation water quality criteria.  </w:t>
      </w:r>
    </w:p>
    <w:p w:rsidR="00DC00F4" w:rsidRDefault="00DC00F4" w:rsidP="00DC00F4">
      <w:pPr>
        <w:pStyle w:val="BodyText3"/>
        <w:spacing w:before="100" w:beforeAutospacing="1" w:after="100" w:afterAutospacing="1"/>
        <w:rPr>
          <w:rFonts w:cs="Arial"/>
        </w:rPr>
      </w:pPr>
      <w:r>
        <w:rPr>
          <w:rFonts w:cs="Arial"/>
        </w:rPr>
        <w:t xml:space="preserve">Because the sampling frequencies in Rule 62-302.533, F.A.C. were not developed for purposes of effluent monitoring, the permit writer should consult Section 6.4.10.2 for information on effluent monitoring frequencies in the context of NPDES permitting rules.  DO effluent monitoring frequencies are established by rule for domestic wastewater facilities pursuant to Chapter 62-601 Figure 2 as referenced in Subsection 62-601.500(2), F.A.C.; and for facilities discharging demineralization concentrate (industrial wastewater) pursuant to Paragraph 62-620.625(6)(a)12., F.A.C.  Monitoring frequency for other types of industrial wastewater facilities is established on a case-by-case basis.  If an existing permit already includes DO monitoring </w:t>
      </w:r>
      <w:r>
        <w:rPr>
          <w:rFonts w:cs="Arial"/>
        </w:rPr>
        <w:lastRenderedPageBreak/>
        <w:t xml:space="preserve">and limitations, and the permit writer determines that DO monitoring frequency should be increased or decreased based on reasonable assurance, the rationale for the change must be provided in the fact sheet or statement of basis.  </w:t>
      </w:r>
    </w:p>
    <w:p w:rsidR="007230FD" w:rsidRDefault="007230FD" w:rsidP="00D607BC">
      <w:pPr>
        <w:pStyle w:val="BodyText3"/>
        <w:spacing w:before="120" w:after="100" w:afterAutospacing="1"/>
        <w:rPr>
          <w:rFonts w:cs="Arial"/>
          <w:u w:val="single"/>
        </w:rPr>
      </w:pPr>
      <w:r>
        <w:rPr>
          <w:rFonts w:cs="Arial"/>
          <w:u w:val="single"/>
        </w:rPr>
        <w:t>Daily Average Criteria for Fresh Waters</w:t>
      </w:r>
      <w:r w:rsidR="00DC00F4">
        <w:rPr>
          <w:rFonts w:cs="Arial"/>
          <w:u w:val="single"/>
        </w:rPr>
        <w:t xml:space="preserve"> and Marine Waters</w:t>
      </w:r>
    </w:p>
    <w:p w:rsidR="007230FD" w:rsidRPr="007230FD" w:rsidRDefault="007230FD" w:rsidP="00D607BC">
      <w:pPr>
        <w:pStyle w:val="BodyText3"/>
        <w:spacing w:before="120" w:after="100" w:afterAutospacing="1"/>
        <w:rPr>
          <w:rFonts w:cs="Arial"/>
        </w:rPr>
      </w:pPr>
      <w:r>
        <w:rPr>
          <w:rFonts w:cs="Arial"/>
        </w:rPr>
        <w:t>As previously noted, a facility discharging to fresh (or marine waters) is considered to be in compliance with the daily average DO criteria as long as less than 10% of the measurements are below the applicable criteria during the compliance period, typically a month, i.e. 90% in compliance.</w:t>
      </w:r>
      <w:r w:rsidR="00827D14">
        <w:rPr>
          <w:rFonts w:cs="Arial"/>
        </w:rPr>
        <w:t xml:space="preserve">  </w:t>
      </w:r>
    </w:p>
    <w:p w:rsidR="00D607BC" w:rsidRPr="00C10E87" w:rsidRDefault="00D607BC" w:rsidP="00D607BC">
      <w:pPr>
        <w:pStyle w:val="BodyText3"/>
        <w:spacing w:before="120" w:after="100" w:afterAutospacing="1"/>
        <w:rPr>
          <w:rFonts w:cs="Arial"/>
          <w:u w:val="single"/>
        </w:rPr>
      </w:pPr>
      <w:r>
        <w:rPr>
          <w:rFonts w:cs="Arial"/>
          <w:u w:val="single"/>
        </w:rPr>
        <w:t>Weekly and Monthly Criteria for Discharge to Marine Waters</w:t>
      </w:r>
    </w:p>
    <w:p w:rsidR="00D607BC" w:rsidRDefault="001B1637" w:rsidP="00D607BC">
      <w:pPr>
        <w:pStyle w:val="BodyText3"/>
        <w:spacing w:before="120" w:after="100" w:afterAutospacing="1"/>
        <w:rPr>
          <w:rFonts w:cs="Arial"/>
        </w:rPr>
      </w:pPr>
      <w:r>
        <w:rPr>
          <w:rFonts w:cs="Arial"/>
        </w:rPr>
        <w:t xml:space="preserve">Weekly and monthly </w:t>
      </w:r>
      <w:r w:rsidR="00D607BC">
        <w:rPr>
          <w:rFonts w:cs="Arial"/>
        </w:rPr>
        <w:t xml:space="preserve">DO criteria </w:t>
      </w:r>
      <w:r>
        <w:rPr>
          <w:rFonts w:cs="Arial"/>
        </w:rPr>
        <w:t xml:space="preserve">for marine waters </w:t>
      </w:r>
      <w:r w:rsidR="00D607BC">
        <w:rPr>
          <w:rFonts w:cs="Arial"/>
        </w:rPr>
        <w:t xml:space="preserve">in Rule 62-302.533, F.A.C. </w:t>
      </w:r>
      <w:r w:rsidR="003151BD">
        <w:rPr>
          <w:rFonts w:cs="Arial"/>
        </w:rPr>
        <w:t xml:space="preserve">also </w:t>
      </w:r>
      <w:r w:rsidR="00D607BC">
        <w:rPr>
          <w:rFonts w:cs="Arial"/>
        </w:rPr>
        <w:t xml:space="preserve">allow for </w:t>
      </w:r>
      <w:r w:rsidR="000902F5">
        <w:rPr>
          <w:rFonts w:cs="Arial"/>
        </w:rPr>
        <w:t>a limited number</w:t>
      </w:r>
      <w:r w:rsidR="00D607BC">
        <w:rPr>
          <w:rFonts w:cs="Arial"/>
        </w:rPr>
        <w:t xml:space="preserve"> of exceedances.  For example, a facility discharging to marine waters is in compliance if the weekly and monthly averages are not below the criteria more than once in </w:t>
      </w:r>
      <w:r w:rsidR="00AF4AAB">
        <w:rPr>
          <w:rFonts w:cs="Arial"/>
        </w:rPr>
        <w:t xml:space="preserve">any </w:t>
      </w:r>
      <w:r w:rsidR="00D607BC">
        <w:rPr>
          <w:rFonts w:cs="Arial"/>
        </w:rPr>
        <w:t>12 consecutive week</w:t>
      </w:r>
      <w:r w:rsidR="00CE2B79">
        <w:rPr>
          <w:rFonts w:cs="Arial"/>
        </w:rPr>
        <w:t>s</w:t>
      </w:r>
      <w:r w:rsidR="00D607BC">
        <w:rPr>
          <w:rFonts w:cs="Arial"/>
        </w:rPr>
        <w:t xml:space="preserve"> or </w:t>
      </w:r>
      <w:r w:rsidR="00CE2B79">
        <w:rPr>
          <w:rFonts w:cs="Arial"/>
        </w:rPr>
        <w:t>months</w:t>
      </w:r>
      <w:r w:rsidR="00D607BC">
        <w:rPr>
          <w:rFonts w:cs="Arial"/>
        </w:rPr>
        <w:t xml:space="preserve">, respectively. </w:t>
      </w:r>
    </w:p>
    <w:p w:rsidR="00D607BC" w:rsidRDefault="00D607BC" w:rsidP="00D607BC">
      <w:pPr>
        <w:pStyle w:val="BodyText3"/>
        <w:spacing w:before="120" w:after="100" w:afterAutospacing="1"/>
        <w:rPr>
          <w:rFonts w:cs="Arial"/>
        </w:rPr>
      </w:pPr>
      <w:r>
        <w:rPr>
          <w:rFonts w:cs="Arial"/>
        </w:rPr>
        <w:t xml:space="preserve">However, </w:t>
      </w:r>
      <w:r w:rsidR="00CE2B79">
        <w:rPr>
          <w:rFonts w:cs="Arial"/>
        </w:rPr>
        <w:t xml:space="preserve">EPA has not developed </w:t>
      </w:r>
      <w:r>
        <w:rPr>
          <w:rFonts w:cs="Arial"/>
        </w:rPr>
        <w:t>a DMR parameter code for the number of samples in (or not in) compliance</w:t>
      </w:r>
      <w:r w:rsidR="00CE2B79">
        <w:rPr>
          <w:rFonts w:cs="Arial"/>
        </w:rPr>
        <w:t>.  Therefore</w:t>
      </w:r>
      <w:r>
        <w:rPr>
          <w:rFonts w:cs="Arial"/>
        </w:rPr>
        <w:t xml:space="preserve">, </w:t>
      </w:r>
      <w:r w:rsidR="00A81513">
        <w:rPr>
          <w:rFonts w:cs="Arial"/>
        </w:rPr>
        <w:t xml:space="preserve">it </w:t>
      </w:r>
      <w:r w:rsidR="00CE2B79">
        <w:rPr>
          <w:rFonts w:cs="Arial"/>
        </w:rPr>
        <w:t xml:space="preserve">is necessary </w:t>
      </w:r>
      <w:r w:rsidR="00887A8B">
        <w:rPr>
          <w:rFonts w:cs="Arial"/>
        </w:rPr>
        <w:t xml:space="preserve">for permits </w:t>
      </w:r>
      <w:r w:rsidR="00CE2B79">
        <w:rPr>
          <w:rFonts w:cs="Arial"/>
        </w:rPr>
        <w:t>to use</w:t>
      </w:r>
      <w:r>
        <w:rPr>
          <w:rFonts w:cs="Arial"/>
        </w:rPr>
        <w:t xml:space="preserve"> a surrogate parameter code that is consistent with the rule.  For example, the weekly and monthly marine criteria </w:t>
      </w:r>
      <w:r w:rsidR="00CE2B79">
        <w:rPr>
          <w:rFonts w:cs="Arial"/>
        </w:rPr>
        <w:t xml:space="preserve">can </w:t>
      </w:r>
      <w:r>
        <w:rPr>
          <w:rFonts w:cs="Arial"/>
        </w:rPr>
        <w:t xml:space="preserve">be expressed as the percent of samples in compliance over a </w:t>
      </w:r>
      <w:r w:rsidR="00420441">
        <w:rPr>
          <w:rFonts w:cs="Arial"/>
        </w:rPr>
        <w:t>consecutive</w:t>
      </w:r>
      <w:r>
        <w:rPr>
          <w:rFonts w:cs="Arial"/>
        </w:rPr>
        <w:t xml:space="preserve">12 week or 12 month period.  In other words, 11 out of 12 weekly or monthly averages in compliance </w:t>
      </w:r>
      <w:r w:rsidR="00420441">
        <w:rPr>
          <w:rFonts w:cs="Arial"/>
        </w:rPr>
        <w:t xml:space="preserve">can </w:t>
      </w:r>
      <w:r>
        <w:rPr>
          <w:rFonts w:cs="Arial"/>
        </w:rPr>
        <w:t>be expressed as 92% in compliance</w:t>
      </w:r>
      <w:r w:rsidR="00A81513">
        <w:rPr>
          <w:rFonts w:cs="Arial"/>
        </w:rPr>
        <w:t xml:space="preserve">, which </w:t>
      </w:r>
      <w:r w:rsidR="00420441">
        <w:rPr>
          <w:rFonts w:cs="Arial"/>
        </w:rPr>
        <w:t>is</w:t>
      </w:r>
      <w:r w:rsidR="00A81513">
        <w:rPr>
          <w:rFonts w:cs="Arial"/>
        </w:rPr>
        <w:t xml:space="preserve"> consistent with the water quality standard</w:t>
      </w:r>
      <w:r>
        <w:rPr>
          <w:rFonts w:cs="Arial"/>
        </w:rPr>
        <w:t>.</w:t>
      </w:r>
    </w:p>
    <w:p w:rsidR="003A280A" w:rsidRDefault="00CE2B79" w:rsidP="00B02FC6">
      <w:pPr>
        <w:pStyle w:val="BodyText3"/>
        <w:spacing w:before="100" w:beforeAutospacing="1" w:after="100" w:afterAutospacing="1"/>
        <w:rPr>
          <w:rFonts w:cs="Arial"/>
        </w:rPr>
      </w:pPr>
      <w:r>
        <w:rPr>
          <w:rFonts w:cs="Arial"/>
        </w:rPr>
        <w:t xml:space="preserve">For discharge to marine waters the </w:t>
      </w:r>
      <w:r w:rsidR="00D607BC">
        <w:rPr>
          <w:rFonts w:cs="Arial"/>
        </w:rPr>
        <w:t>permit writer will need reasonable assurance that the discharge can comply with all three criteria (daily, weekly and monthly).  Thus, separate effluent limitations may be included for daily, weekly and monthly criteria.  However, based on provisions discussed in Section 6.4.4. of the PWM for BPJ and reasonable assurance</w:t>
      </w:r>
      <w:r w:rsidR="00D607BC" w:rsidRPr="007F5E3C">
        <w:rPr>
          <w:rFonts w:cs="Arial"/>
        </w:rPr>
        <w:t xml:space="preserve"> </w:t>
      </w:r>
      <w:r w:rsidR="00D607BC">
        <w:rPr>
          <w:rFonts w:cs="Arial"/>
        </w:rPr>
        <w:t xml:space="preserve">in Rule 62-620.320, F.A.C. and Rule 62-620.620, F.A.C., the permit writer may consider using only the more stringent weekly and/or monthly DO criteria.  For example, a facility that monitors DO weekly might be required to meet the </w:t>
      </w:r>
      <w:r w:rsidR="00AF4AAB">
        <w:rPr>
          <w:rFonts w:cs="Arial"/>
        </w:rPr>
        <w:t>monthly</w:t>
      </w:r>
      <w:r w:rsidR="00D607BC">
        <w:rPr>
          <w:rFonts w:cs="Arial"/>
        </w:rPr>
        <w:t xml:space="preserve"> criterion of 5</w:t>
      </w:r>
      <w:r w:rsidR="00AF4AAB">
        <w:rPr>
          <w:rFonts w:cs="Arial"/>
        </w:rPr>
        <w:t>6</w:t>
      </w:r>
      <w:r w:rsidR="00D607BC">
        <w:rPr>
          <w:rFonts w:cs="Arial"/>
        </w:rPr>
        <w:t>% DO saturation, rather than the daily average of 42% DO saturation</w:t>
      </w:r>
      <w:r w:rsidR="007246B9">
        <w:rPr>
          <w:rFonts w:cs="Arial"/>
        </w:rPr>
        <w:t xml:space="preserve"> or the weekly average of 51% D</w:t>
      </w:r>
      <w:r w:rsidR="00D607BC">
        <w:rPr>
          <w:rFonts w:cs="Arial"/>
        </w:rPr>
        <w:t xml:space="preserve">. </w:t>
      </w:r>
      <w:r w:rsidR="007230FD">
        <w:rPr>
          <w:rFonts w:cs="Arial"/>
        </w:rPr>
        <w:t xml:space="preserve"> Alternatively, </w:t>
      </w:r>
      <w:r w:rsidR="00251E53">
        <w:rPr>
          <w:rFonts w:cs="Arial"/>
        </w:rPr>
        <w:t>t</w:t>
      </w:r>
      <w:r w:rsidR="007230FD">
        <w:rPr>
          <w:rFonts w:cs="Arial"/>
        </w:rPr>
        <w:t xml:space="preserve">he permit might include both a weekly average limitation (51% DO saturation) and a monthly average limitation </w:t>
      </w:r>
      <w:r w:rsidR="00251E53">
        <w:rPr>
          <w:rFonts w:cs="Arial"/>
        </w:rPr>
        <w:t>(</w:t>
      </w:r>
      <w:r w:rsidR="007230FD">
        <w:rPr>
          <w:rFonts w:cs="Arial"/>
        </w:rPr>
        <w:t>56% DO saturation</w:t>
      </w:r>
      <w:r w:rsidR="00251E53">
        <w:rPr>
          <w:rFonts w:cs="Arial"/>
        </w:rPr>
        <w:t>)</w:t>
      </w:r>
      <w:r w:rsidR="007230FD">
        <w:rPr>
          <w:rFonts w:cs="Arial"/>
        </w:rPr>
        <w:t xml:space="preserve">.  </w:t>
      </w:r>
      <w:r w:rsidR="00D607BC">
        <w:rPr>
          <w:rFonts w:cs="Arial"/>
        </w:rPr>
        <w:t>As discussed in Section 7 of the PWM, the Fact Sheet or Statement of Basis would need to provide the rationale for using only weekly and/or monthly criteria.  A suitable rationale might be evaluation of existing monitoring data (typically covering a period of years) to demonstrate that meeting the more stringent criterion provides reasonable assurance of meeting the daily criterion, or stated otherwise, there is no reasonable potential for an excursion below the lesser criterion.</w:t>
      </w:r>
      <w:r w:rsidR="009A30A2">
        <w:rPr>
          <w:rFonts w:cs="Arial"/>
        </w:rPr>
        <w:t xml:space="preserve"> </w:t>
      </w:r>
    </w:p>
    <w:p w:rsidR="00827D14" w:rsidRPr="00BB715D" w:rsidRDefault="00827D14" w:rsidP="00827D14">
      <w:pPr>
        <w:pStyle w:val="BodyText3"/>
        <w:spacing w:before="100" w:beforeAutospacing="1" w:after="100" w:afterAutospacing="1"/>
        <w:rPr>
          <w:rFonts w:cs="Arial"/>
          <w:u w:val="single"/>
        </w:rPr>
      </w:pPr>
      <w:r w:rsidRPr="00BB715D">
        <w:rPr>
          <w:rFonts w:cs="Arial"/>
          <w:u w:val="single"/>
        </w:rPr>
        <w:t>Permit Renewal W</w:t>
      </w:r>
      <w:r>
        <w:rPr>
          <w:rFonts w:cs="Arial"/>
          <w:u w:val="single"/>
        </w:rPr>
        <w:t>here Discharge Does Not Immediately Achieve the DO Criteria</w:t>
      </w:r>
    </w:p>
    <w:p w:rsidR="00827D14" w:rsidRPr="00A64575" w:rsidRDefault="00827D14" w:rsidP="00827D14">
      <w:pPr>
        <w:pStyle w:val="BodyText3"/>
        <w:spacing w:before="100" w:beforeAutospacing="1" w:after="100" w:afterAutospacing="1"/>
        <w:rPr>
          <w:rFonts w:cs="Arial"/>
        </w:rPr>
      </w:pPr>
      <w:r w:rsidRPr="001A033C">
        <w:rPr>
          <w:rFonts w:cs="Arial"/>
        </w:rPr>
        <w:t>In this circumstance, reasonable assurance is not achieved based on information provided with the renewal application.  In such situations it is often possible to renew or revise an existing permit with an accompanying Administrative Order (AO) under Section 403.088(2)(e) and (f), F.S.</w:t>
      </w:r>
      <w:r w:rsidRPr="00A64575">
        <w:rPr>
          <w:rFonts w:cs="Arial"/>
        </w:rPr>
        <w:t xml:space="preserve">  An AO under this statute enables the Permittee a reasonable amount of time to comply with new or more stringent permit requirements that the facility would not otherwise be able to meet, provided that </w:t>
      </w:r>
    </w:p>
    <w:p w:rsidR="00827D14" w:rsidRDefault="00827D14" w:rsidP="00827D14">
      <w:pPr>
        <w:pStyle w:val="BodyText3"/>
        <w:numPr>
          <w:ilvl w:val="0"/>
          <w:numId w:val="47"/>
        </w:numPr>
        <w:spacing w:before="100" w:beforeAutospacing="1" w:after="100" w:afterAutospacing="1"/>
        <w:rPr>
          <w:rFonts w:cs="Arial"/>
        </w:rPr>
      </w:pPr>
      <w:r w:rsidRPr="00A64575">
        <w:rPr>
          <w:rFonts w:cs="Arial"/>
        </w:rPr>
        <w:t xml:space="preserve">A corresponding permit is being issued, renewed, reissued or revised; and </w:t>
      </w:r>
    </w:p>
    <w:p w:rsidR="00827D14" w:rsidRPr="001A033C" w:rsidRDefault="00827D14" w:rsidP="00827D14">
      <w:pPr>
        <w:pStyle w:val="BodyText3"/>
        <w:numPr>
          <w:ilvl w:val="0"/>
          <w:numId w:val="47"/>
        </w:numPr>
        <w:spacing w:before="100" w:beforeAutospacing="1" w:after="100" w:afterAutospacing="1"/>
        <w:rPr>
          <w:rFonts w:cs="Arial"/>
        </w:rPr>
      </w:pPr>
      <w:r w:rsidRPr="001A033C">
        <w:rPr>
          <w:rFonts w:cs="Arial"/>
        </w:rPr>
        <w:lastRenderedPageBreak/>
        <w:t xml:space="preserve">The facility is in compliance with current permit requirements and applicable statutes and rules. </w:t>
      </w:r>
    </w:p>
    <w:p w:rsidR="00827D14" w:rsidRPr="00A61E66" w:rsidRDefault="00827D14" w:rsidP="00827D14">
      <w:pPr>
        <w:pStyle w:val="BodyText3"/>
        <w:spacing w:before="100" w:beforeAutospacing="1" w:after="100" w:afterAutospacing="1"/>
        <w:rPr>
          <w:rFonts w:cs="Arial"/>
        </w:rPr>
      </w:pPr>
      <w:r w:rsidRPr="009E3741">
        <w:t xml:space="preserve">Applicability and procedures for AOs are discussed </w:t>
      </w:r>
      <w:r>
        <w:t xml:space="preserve">in detail </w:t>
      </w:r>
      <w:r w:rsidRPr="009E3741">
        <w:t>in Chapter 18 and Sections 13.2 and 13.4.  Attachment 13.</w:t>
      </w:r>
      <w:r>
        <w:t>5</w:t>
      </w:r>
      <w:r w:rsidRPr="009E3741">
        <w:t xml:space="preserve"> provides an AO template for use with </w:t>
      </w:r>
      <w:r>
        <w:t>DO criteria</w:t>
      </w:r>
      <w:r w:rsidRPr="009E3741">
        <w:t>.</w:t>
      </w:r>
    </w:p>
    <w:p w:rsidR="00E25AC8" w:rsidRDefault="00E25AC8" w:rsidP="00E25AC8">
      <w:pPr>
        <w:pStyle w:val="BodyText3"/>
        <w:spacing w:before="100" w:beforeAutospacing="1" w:after="100" w:afterAutospacing="1"/>
        <w:rPr>
          <w:rFonts w:cs="Arial"/>
          <w:u w:val="single"/>
        </w:rPr>
        <w:sectPr w:rsidR="00E25AC8" w:rsidSect="00EE1A57">
          <w:headerReference w:type="even" r:id="rId13"/>
          <w:headerReference w:type="default" r:id="rId14"/>
          <w:footerReference w:type="default" r:id="rId15"/>
          <w:headerReference w:type="first" r:id="rId16"/>
          <w:footerReference w:type="first" r:id="rId17"/>
          <w:pgSz w:w="12240" w:h="15840" w:code="1"/>
          <w:pgMar w:top="1267" w:right="1440" w:bottom="634" w:left="1440" w:header="547" w:footer="576" w:gutter="0"/>
          <w:pgNumType w:start="1"/>
          <w:cols w:space="720"/>
          <w:docGrid w:linePitch="272"/>
        </w:sectPr>
      </w:pPr>
    </w:p>
    <w:p w:rsidR="00E25AC8" w:rsidRPr="00E25AC8" w:rsidRDefault="00E25AC8" w:rsidP="00E25AC8">
      <w:pPr>
        <w:pStyle w:val="BodyText3"/>
        <w:spacing w:before="100" w:beforeAutospacing="1" w:after="100" w:afterAutospacing="1"/>
        <w:jc w:val="center"/>
        <w:rPr>
          <w:rFonts w:cs="Arial"/>
          <w:b/>
          <w:u w:val="single"/>
        </w:rPr>
      </w:pPr>
      <w:r w:rsidRPr="00E25AC8">
        <w:rPr>
          <w:rFonts w:cs="Arial"/>
          <w:b/>
          <w:u w:val="single"/>
        </w:rPr>
        <w:lastRenderedPageBreak/>
        <w:t>Attachment A</w:t>
      </w:r>
    </w:p>
    <w:p w:rsidR="006B2431" w:rsidRPr="00EB4008" w:rsidRDefault="006B2431" w:rsidP="00441E74">
      <w:pPr>
        <w:pStyle w:val="BodyText3"/>
        <w:spacing w:before="100" w:beforeAutospacing="1" w:after="100" w:afterAutospacing="1"/>
        <w:jc w:val="center"/>
        <w:rPr>
          <w:rFonts w:cs="Arial"/>
          <w:u w:val="single"/>
        </w:rPr>
      </w:pPr>
      <w:r w:rsidRPr="007C7472">
        <w:rPr>
          <w:rFonts w:cs="Arial"/>
          <w:u w:val="single"/>
        </w:rPr>
        <w:t xml:space="preserve">Permit Renewal for Discharge to </w:t>
      </w:r>
      <w:r w:rsidR="00ED0CAF" w:rsidRPr="00441E74">
        <w:rPr>
          <w:u w:val="single"/>
        </w:rPr>
        <w:t>the Suwannee, Withlacoochee, Santa Fe, New and St. Johns Rivers</w:t>
      </w:r>
      <w:r w:rsidR="00ED0CAF" w:rsidRPr="007C7472">
        <w:rPr>
          <w:rFonts w:cs="Arial"/>
          <w:u w:val="single"/>
        </w:rPr>
        <w:t xml:space="preserve"> </w:t>
      </w:r>
      <w:r w:rsidRPr="007C7472">
        <w:rPr>
          <w:rFonts w:cs="Arial"/>
          <w:u w:val="single"/>
        </w:rPr>
        <w:t>With Requirements for Threatened and Endangered Species</w:t>
      </w:r>
    </w:p>
    <w:p w:rsidR="00F70F60" w:rsidRDefault="00F70F60" w:rsidP="00F70F60">
      <w:pPr>
        <w:pStyle w:val="BodyText3"/>
        <w:spacing w:after="100" w:afterAutospacing="1"/>
      </w:pPr>
      <w:r>
        <w:t>For discharges to</w:t>
      </w:r>
      <w:r w:rsidR="00FF66E1">
        <w:t xml:space="preserve"> the affected segments of the rivers identified in the rule</w:t>
      </w:r>
      <w:r w:rsidR="00784FC1">
        <w:t>,</w:t>
      </w:r>
      <w:r w:rsidRPr="008710F3">
        <w:t xml:space="preserve"> permit writers should refer to </w:t>
      </w:r>
      <w:r w:rsidR="00FA4058" w:rsidRPr="00FA4058">
        <w:t>TSD Appendix I</w:t>
      </w:r>
      <w:r w:rsidR="00FA4058" w:rsidRPr="00FA4058">
        <w:rPr>
          <w:i/>
        </w:rPr>
        <w:t>, Protection of Threatened and Endangered Species in Portions of the Suwannee, Withlacoochee, Santa Fe, New, and St. Johns Rivers</w:t>
      </w:r>
      <w:r w:rsidR="00FA4058" w:rsidRPr="00FA4058">
        <w:t xml:space="preserve">, </w:t>
      </w:r>
      <w:r w:rsidR="00FF66E1">
        <w:t xml:space="preserve">which </w:t>
      </w:r>
      <w:r w:rsidR="00FA4058">
        <w:t xml:space="preserve">is adopted by reference </w:t>
      </w:r>
      <w:r w:rsidR="007263A0">
        <w:t xml:space="preserve">in </w:t>
      </w:r>
      <w:r w:rsidR="00FA4058" w:rsidRPr="00FA4058">
        <w:t xml:space="preserve">Paragraph 62-302.533(1)(e), F.A.C. </w:t>
      </w:r>
      <w:r w:rsidR="00FA4058">
        <w:t xml:space="preserve"> </w:t>
      </w:r>
      <w:r>
        <w:rPr>
          <w:rFonts w:cs="Arial"/>
        </w:rPr>
        <w:t>Permit writers are encouraged to contact staff in the Water Quality Standards Program regarding application of these requirements in permits.</w:t>
      </w:r>
    </w:p>
    <w:p w:rsidR="0029672D" w:rsidRPr="00E834AD" w:rsidRDefault="0029672D" w:rsidP="0029672D">
      <w:pPr>
        <w:pStyle w:val="BodyText3"/>
        <w:spacing w:before="100" w:beforeAutospacing="1"/>
        <w:rPr>
          <w:rFonts w:cs="Arial"/>
          <w:u w:val="single"/>
        </w:rPr>
      </w:pPr>
      <w:r w:rsidRPr="00E834AD">
        <w:rPr>
          <w:rFonts w:cs="Arial"/>
          <w:u w:val="single"/>
        </w:rPr>
        <w:t>St Johns River Segment</w:t>
      </w:r>
    </w:p>
    <w:p w:rsidR="0029672D" w:rsidRDefault="0029672D" w:rsidP="0029672D">
      <w:pPr>
        <w:pStyle w:val="BodyText3"/>
        <w:spacing w:after="100" w:afterAutospacing="1"/>
        <w:rPr>
          <w:sz w:val="23"/>
          <w:szCs w:val="23"/>
        </w:rPr>
      </w:pPr>
      <w:r>
        <w:rPr>
          <w:rFonts w:cs="Arial"/>
        </w:rPr>
        <w:t xml:space="preserve">For discharges </w:t>
      </w:r>
      <w:r w:rsidR="00463D49">
        <w:rPr>
          <w:rFonts w:cs="Arial"/>
        </w:rPr>
        <w:t xml:space="preserve">in </w:t>
      </w:r>
      <w:r w:rsidR="00463D49" w:rsidRPr="00297450">
        <w:rPr>
          <w:rFonts w:cs="Arial"/>
          <w:szCs w:val="22"/>
        </w:rPr>
        <w:t xml:space="preserve">the </w:t>
      </w:r>
      <w:r w:rsidR="00463D49" w:rsidRPr="00297450">
        <w:rPr>
          <w:szCs w:val="22"/>
        </w:rPr>
        <w:t xml:space="preserve">portions </w:t>
      </w:r>
      <w:r w:rsidR="00463D49" w:rsidRPr="00297450">
        <w:rPr>
          <w:rFonts w:cs="Arial"/>
          <w:szCs w:val="22"/>
        </w:rPr>
        <w:t>of</w:t>
      </w:r>
      <w:r w:rsidR="00463D49" w:rsidRPr="00297450">
        <w:rPr>
          <w:rFonts w:cs="Arial"/>
        </w:rPr>
        <w:t xml:space="preserve"> the St. Johns River utilized by the Shortnose or Atlantic Sturgeon</w:t>
      </w:r>
      <w:r>
        <w:rPr>
          <w:rFonts w:cs="Arial"/>
        </w:rPr>
        <w:t xml:space="preserve">, </w:t>
      </w:r>
      <w:r w:rsidRPr="00331D2D">
        <w:rPr>
          <w:rFonts w:cs="Arial"/>
        </w:rPr>
        <w:t xml:space="preserve">the permit will </w:t>
      </w:r>
      <w:r>
        <w:rPr>
          <w:rFonts w:cs="Arial"/>
        </w:rPr>
        <w:t>need</w:t>
      </w:r>
      <w:r w:rsidRPr="00331D2D">
        <w:rPr>
          <w:rFonts w:cs="Arial"/>
        </w:rPr>
        <w:t xml:space="preserve"> conditions that protect </w:t>
      </w:r>
      <w:r w:rsidR="00463D49">
        <w:rPr>
          <w:rFonts w:cs="Arial"/>
        </w:rPr>
        <w:t>this species</w:t>
      </w:r>
      <w:r w:rsidR="00297450">
        <w:rPr>
          <w:rFonts w:cs="Arial"/>
        </w:rPr>
        <w:t xml:space="preserve"> pursuant to </w:t>
      </w:r>
      <w:r w:rsidR="00297450" w:rsidRPr="00FA4058">
        <w:t>Paragraph 62-302.533(1)(</w:t>
      </w:r>
      <w:r w:rsidR="00297450">
        <w:t>d</w:t>
      </w:r>
      <w:r w:rsidR="00297450" w:rsidRPr="00FA4058">
        <w:t xml:space="preserve">), F.A.C. </w:t>
      </w:r>
      <w:r w:rsidR="00297450">
        <w:t xml:space="preserve"> </w:t>
      </w:r>
      <w:r w:rsidRPr="00331D2D">
        <w:rPr>
          <w:rFonts w:cs="Arial"/>
        </w:rPr>
        <w:t>Specifically</w:t>
      </w:r>
      <w:r w:rsidR="00463D49">
        <w:rPr>
          <w:rFonts w:cs="Arial"/>
        </w:rPr>
        <w:t>,</w:t>
      </w:r>
      <w:r w:rsidRPr="00331D2D">
        <w:rPr>
          <w:rFonts w:cs="Arial"/>
        </w:rPr>
        <w:t xml:space="preserve"> the permit needs to require that DO shall not be below 53% saturation during February and March. </w:t>
      </w:r>
      <w:r w:rsidR="00463D49">
        <w:rPr>
          <w:rFonts w:cs="Arial"/>
        </w:rPr>
        <w:t xml:space="preserve"> </w:t>
      </w:r>
      <w:r w:rsidR="00297450">
        <w:rPr>
          <w:rFonts w:cs="Arial"/>
        </w:rPr>
        <w:t>Note that th</w:t>
      </w:r>
      <w:r w:rsidR="00463D49">
        <w:rPr>
          <w:rFonts w:cs="Arial"/>
        </w:rPr>
        <w:t xml:space="preserve">is seasonal criterion does not include an </w:t>
      </w:r>
      <w:r w:rsidR="00297450">
        <w:rPr>
          <w:rFonts w:cs="Arial"/>
        </w:rPr>
        <w:t>allow</w:t>
      </w:r>
      <w:r w:rsidR="00463D49">
        <w:rPr>
          <w:rFonts w:cs="Arial"/>
        </w:rPr>
        <w:t>ance</w:t>
      </w:r>
      <w:r w:rsidR="00297450">
        <w:rPr>
          <w:rFonts w:cs="Arial"/>
        </w:rPr>
        <w:t xml:space="preserve"> for 10% of </w:t>
      </w:r>
      <w:r w:rsidR="00463D49">
        <w:rPr>
          <w:rFonts w:cs="Arial"/>
        </w:rPr>
        <w:t>D</w:t>
      </w:r>
      <w:r w:rsidR="00297450">
        <w:rPr>
          <w:rFonts w:cs="Arial"/>
        </w:rPr>
        <w:t xml:space="preserve">O measurements to fall below </w:t>
      </w:r>
      <w:r w:rsidR="00463D49">
        <w:rPr>
          <w:rFonts w:cs="Arial"/>
        </w:rPr>
        <w:t>the 53% DO saturation threshold</w:t>
      </w:r>
      <w:r w:rsidR="00297450">
        <w:rPr>
          <w:rFonts w:cs="Arial"/>
        </w:rPr>
        <w:t xml:space="preserve"> </w:t>
      </w:r>
      <w:r w:rsidR="00463D49">
        <w:rPr>
          <w:rFonts w:cs="Arial"/>
        </w:rPr>
        <w:t xml:space="preserve">in the affected river segment </w:t>
      </w:r>
      <w:r w:rsidR="00297450">
        <w:rPr>
          <w:rFonts w:cs="Arial"/>
        </w:rPr>
        <w:t xml:space="preserve">during February and March.  </w:t>
      </w:r>
      <w:r w:rsidRPr="00331D2D">
        <w:rPr>
          <w:rFonts w:cs="Arial"/>
        </w:rPr>
        <w:t>During other times of the year, the criteria specified in paragraph 62-302.533(1)(a), F.A.C.</w:t>
      </w:r>
      <w:r w:rsidR="007263A0">
        <w:rPr>
          <w:rFonts w:cs="Arial"/>
        </w:rPr>
        <w:t>,</w:t>
      </w:r>
      <w:r w:rsidRPr="00331D2D">
        <w:rPr>
          <w:rFonts w:cs="Arial"/>
        </w:rPr>
        <w:t xml:space="preserve"> apply.</w:t>
      </w:r>
      <w:r w:rsidR="00297450">
        <w:rPr>
          <w:rFonts w:cs="Arial"/>
        </w:rPr>
        <w:t xml:space="preserve">  </w:t>
      </w:r>
    </w:p>
    <w:p w:rsidR="00E834AD" w:rsidRPr="00E834AD" w:rsidRDefault="00E834AD" w:rsidP="00E834AD">
      <w:pPr>
        <w:pStyle w:val="BodyText3"/>
        <w:rPr>
          <w:u w:val="single"/>
        </w:rPr>
      </w:pPr>
      <w:r w:rsidRPr="00E834AD">
        <w:rPr>
          <w:u w:val="single"/>
        </w:rPr>
        <w:t>Suwannee River System Segments</w:t>
      </w:r>
    </w:p>
    <w:p w:rsidR="006B2431" w:rsidRDefault="00FA4058" w:rsidP="008C4B2A">
      <w:pPr>
        <w:pStyle w:val="BodyText3"/>
        <w:spacing w:after="100" w:afterAutospacing="1"/>
        <w:rPr>
          <w:sz w:val="23"/>
          <w:szCs w:val="23"/>
        </w:rPr>
      </w:pPr>
      <w:r>
        <w:t>Appendix</w:t>
      </w:r>
      <w:r w:rsidR="0029672D">
        <w:t xml:space="preserve"> I</w:t>
      </w:r>
      <w:r>
        <w:t xml:space="preserve"> states (Section 2, page I-1) that </w:t>
      </w:r>
      <w:r>
        <w:rPr>
          <w:sz w:val="23"/>
          <w:szCs w:val="23"/>
        </w:rPr>
        <w:t xml:space="preserve">it is reasonable to assume that maintaining the existing DO conditions in the </w:t>
      </w:r>
      <w:r w:rsidR="004A5200">
        <w:rPr>
          <w:sz w:val="23"/>
          <w:szCs w:val="23"/>
        </w:rPr>
        <w:t xml:space="preserve">affected </w:t>
      </w:r>
      <w:r>
        <w:rPr>
          <w:sz w:val="23"/>
          <w:szCs w:val="23"/>
        </w:rPr>
        <w:t xml:space="preserve">portions of the Suwannee, Withlacoochee, Santa Fe and New Rivers would provide adequate protection </w:t>
      </w:r>
      <w:r w:rsidR="004A5200">
        <w:rPr>
          <w:sz w:val="23"/>
          <w:szCs w:val="23"/>
        </w:rPr>
        <w:t>of the Oval Pigtoe Mussel and G</w:t>
      </w:r>
      <w:r w:rsidR="00837714">
        <w:rPr>
          <w:sz w:val="23"/>
          <w:szCs w:val="23"/>
        </w:rPr>
        <w:t xml:space="preserve">ulf Sturgeon </w:t>
      </w:r>
      <w:r>
        <w:rPr>
          <w:sz w:val="23"/>
          <w:szCs w:val="23"/>
        </w:rPr>
        <w:t>in the future.</w:t>
      </w:r>
      <w:r w:rsidR="00837714">
        <w:rPr>
          <w:sz w:val="23"/>
          <w:szCs w:val="23"/>
        </w:rPr>
        <w:t xml:space="preserve">  Therefore, </w:t>
      </w:r>
      <w:r w:rsidR="006B05B2">
        <w:rPr>
          <w:sz w:val="23"/>
          <w:szCs w:val="23"/>
        </w:rPr>
        <w:t xml:space="preserve">existing </w:t>
      </w:r>
      <w:r w:rsidR="00837714">
        <w:rPr>
          <w:sz w:val="23"/>
          <w:szCs w:val="23"/>
        </w:rPr>
        <w:t>NPDES facilities with DO effluent limitations discharging to those river sections should be able to maintain current DO discharge levels</w:t>
      </w:r>
      <w:r w:rsidR="007A55E0">
        <w:rPr>
          <w:sz w:val="23"/>
          <w:szCs w:val="23"/>
        </w:rPr>
        <w:t xml:space="preserve"> in effect when the current rule was adopted</w:t>
      </w:r>
      <w:r w:rsidR="00837714">
        <w:rPr>
          <w:sz w:val="23"/>
          <w:szCs w:val="23"/>
        </w:rPr>
        <w:t xml:space="preserve">, provided they are in compliance with the existing effluent limitations.  In the absence of a SSAC or other Department adopted </w:t>
      </w:r>
      <w:r w:rsidR="00662CB8">
        <w:rPr>
          <w:sz w:val="23"/>
          <w:szCs w:val="23"/>
        </w:rPr>
        <w:t xml:space="preserve">site-specific </w:t>
      </w:r>
      <w:r w:rsidR="00837714">
        <w:rPr>
          <w:sz w:val="23"/>
          <w:szCs w:val="23"/>
        </w:rPr>
        <w:t>WQBEL, th</w:t>
      </w:r>
      <w:r w:rsidR="007A55E0">
        <w:rPr>
          <w:sz w:val="23"/>
          <w:szCs w:val="23"/>
        </w:rPr>
        <w:t>e limit</w:t>
      </w:r>
      <w:r w:rsidR="00837714">
        <w:rPr>
          <w:sz w:val="23"/>
          <w:szCs w:val="23"/>
        </w:rPr>
        <w:t xml:space="preserve"> would probably be the former DO criterio</w:t>
      </w:r>
      <w:r w:rsidR="004A5200">
        <w:rPr>
          <w:sz w:val="23"/>
          <w:szCs w:val="23"/>
        </w:rPr>
        <w:t>n</w:t>
      </w:r>
      <w:r w:rsidR="00662CB8">
        <w:rPr>
          <w:sz w:val="23"/>
          <w:szCs w:val="23"/>
        </w:rPr>
        <w:t>.</w:t>
      </w:r>
      <w:r w:rsidR="004A5200">
        <w:rPr>
          <w:sz w:val="23"/>
          <w:szCs w:val="23"/>
        </w:rPr>
        <w:t xml:space="preserve"> </w:t>
      </w:r>
      <w:r w:rsidR="006B05B2">
        <w:rPr>
          <w:sz w:val="23"/>
          <w:szCs w:val="23"/>
        </w:rPr>
        <w:t xml:space="preserve"> </w:t>
      </w:r>
    </w:p>
    <w:p w:rsidR="007A55E0" w:rsidRDefault="006C318F" w:rsidP="009A7FA6">
      <w:pPr>
        <w:pStyle w:val="BodyText3"/>
        <w:spacing w:before="100" w:beforeAutospacing="1" w:after="100" w:afterAutospacing="1"/>
        <w:rPr>
          <w:rFonts w:cs="Arial"/>
        </w:rPr>
      </w:pPr>
      <w:r>
        <w:rPr>
          <w:rFonts w:cs="Arial"/>
        </w:rPr>
        <w:t>Applicants for new or expanded discharges</w:t>
      </w:r>
      <w:r w:rsidR="007A55E0">
        <w:rPr>
          <w:rFonts w:cs="Arial"/>
        </w:rPr>
        <w:t xml:space="preserve"> in the Suwannee River system</w:t>
      </w:r>
      <w:r>
        <w:rPr>
          <w:rFonts w:cs="Arial"/>
        </w:rPr>
        <w:t xml:space="preserve">, however, will need to provide reasonable assurance the discharge can comply with the criteria for protection of the Gulf Sturgeon and Oval Pigtoe Mussel.  </w:t>
      </w:r>
      <w:r w:rsidR="00D412F7">
        <w:rPr>
          <w:rFonts w:cs="Arial"/>
        </w:rPr>
        <w:t xml:space="preserve">Table 3 </w:t>
      </w:r>
      <w:r>
        <w:rPr>
          <w:rFonts w:cs="Arial"/>
        </w:rPr>
        <w:t xml:space="preserve">from </w:t>
      </w:r>
      <w:r w:rsidR="00D412F7">
        <w:rPr>
          <w:rFonts w:cs="Arial"/>
        </w:rPr>
        <w:t>Appendix I identifies %DO saturation levels</w:t>
      </w:r>
      <w:r w:rsidR="006B05B2">
        <w:rPr>
          <w:rFonts w:cs="Arial"/>
        </w:rPr>
        <w:t xml:space="preserve"> that must be maintained and which can be</w:t>
      </w:r>
      <w:r w:rsidR="00D412F7">
        <w:rPr>
          <w:rFonts w:cs="Arial"/>
        </w:rPr>
        <w:t xml:space="preserve"> </w:t>
      </w:r>
      <w:r>
        <w:rPr>
          <w:rFonts w:cs="Arial"/>
        </w:rPr>
        <w:t>used to develop effluent limitations</w:t>
      </w:r>
      <w:r w:rsidR="004B01A4">
        <w:rPr>
          <w:rFonts w:cs="Arial"/>
        </w:rPr>
        <w:t xml:space="preserve">.  </w:t>
      </w:r>
    </w:p>
    <w:p w:rsidR="009A7FA6" w:rsidRDefault="006C318F" w:rsidP="009A7FA6">
      <w:pPr>
        <w:pStyle w:val="BodyText3"/>
        <w:spacing w:before="100" w:beforeAutospacing="1" w:after="100" w:afterAutospacing="1"/>
        <w:rPr>
          <w:rFonts w:cs="Arial"/>
        </w:rPr>
      </w:pPr>
      <w:r>
        <w:rPr>
          <w:rFonts w:cs="Arial"/>
        </w:rPr>
        <w:t>In the example below, a new or expanded d</w:t>
      </w:r>
      <w:r w:rsidRPr="00331D2D">
        <w:rPr>
          <w:rFonts w:cs="Arial"/>
        </w:rPr>
        <w:t xml:space="preserve">ischarge </w:t>
      </w:r>
      <w:r>
        <w:rPr>
          <w:rFonts w:cs="Arial"/>
        </w:rPr>
        <w:t xml:space="preserve">to the Suwannee River </w:t>
      </w:r>
      <w:r w:rsidRPr="00331D2D">
        <w:rPr>
          <w:rFonts w:cs="Arial"/>
        </w:rPr>
        <w:t>is located between river kilometers 66.5 and 105.8</w:t>
      </w:r>
      <w:r>
        <w:rPr>
          <w:rFonts w:cs="Arial"/>
        </w:rPr>
        <w:t xml:space="preserve">.  </w:t>
      </w:r>
      <w:r w:rsidR="004B01A4">
        <w:rPr>
          <w:rFonts w:cs="Arial"/>
        </w:rPr>
        <w:t>Paragraph 62-302.533(1)(d), F.A.C.</w:t>
      </w:r>
      <w:r w:rsidR="006B05B2">
        <w:rPr>
          <w:rFonts w:cs="Arial"/>
        </w:rPr>
        <w:t>,</w:t>
      </w:r>
      <w:r w:rsidR="004B01A4">
        <w:rPr>
          <w:rFonts w:cs="Arial"/>
        </w:rPr>
        <w:t xml:space="preserve"> requires that</w:t>
      </w:r>
      <w:r w:rsidR="009A7FA6" w:rsidRPr="00331D2D">
        <w:rPr>
          <w:rFonts w:cs="Arial"/>
        </w:rPr>
        <w:t xml:space="preserve"> no more than 10% of </w:t>
      </w:r>
      <w:r w:rsidR="00020E5A">
        <w:rPr>
          <w:rFonts w:cs="Arial"/>
        </w:rPr>
        <w:t xml:space="preserve">daily average </w:t>
      </w:r>
      <w:r w:rsidR="009A7FA6" w:rsidRPr="00331D2D">
        <w:rPr>
          <w:rFonts w:cs="Arial"/>
        </w:rPr>
        <w:t xml:space="preserve">DO saturation values can be less than 60.2% DO saturation (i.e. the 10th percentile) and no more than 50% of the values can be less than 74.6% DO saturation (i.e. the median).  </w:t>
      </w:r>
      <w:r w:rsidR="009A7FA6">
        <w:rPr>
          <w:rFonts w:cs="Arial"/>
        </w:rPr>
        <w:t xml:space="preserve">The permit </w:t>
      </w:r>
      <w:r w:rsidR="007A55E0">
        <w:rPr>
          <w:rFonts w:cs="Arial"/>
        </w:rPr>
        <w:t>would need to include</w:t>
      </w:r>
      <w:r w:rsidR="009A7FA6">
        <w:rPr>
          <w:rFonts w:cs="Arial"/>
        </w:rPr>
        <w:t xml:space="preserve"> requirement</w:t>
      </w:r>
      <w:r w:rsidR="00020E5A">
        <w:rPr>
          <w:rFonts w:cs="Arial"/>
        </w:rPr>
        <w:t>s</w:t>
      </w:r>
      <w:r w:rsidR="009A7FA6">
        <w:rPr>
          <w:rFonts w:cs="Arial"/>
        </w:rPr>
        <w:t xml:space="preserve"> to </w:t>
      </w:r>
      <w:r w:rsidR="009A7FA6" w:rsidRPr="00153C6F">
        <w:rPr>
          <w:rFonts w:cs="Arial"/>
        </w:rPr>
        <w:t xml:space="preserve">report the “percent samples </w:t>
      </w:r>
      <w:r w:rsidR="009A7FA6">
        <w:rPr>
          <w:rFonts w:cs="Arial"/>
        </w:rPr>
        <w:t>less than 60.2% DO saturation</w:t>
      </w:r>
      <w:r w:rsidR="009A7FA6" w:rsidRPr="00153C6F">
        <w:rPr>
          <w:rFonts w:cs="Arial"/>
        </w:rPr>
        <w:t>”</w:t>
      </w:r>
      <w:r w:rsidR="009A7FA6">
        <w:rPr>
          <w:rFonts w:cs="Arial"/>
        </w:rPr>
        <w:t xml:space="preserve"> and “percent samples below 74.6% DO saturation,”</w:t>
      </w:r>
      <w:r w:rsidR="009A7FA6" w:rsidRPr="00153C6F">
        <w:rPr>
          <w:rFonts w:cs="Arial"/>
        </w:rPr>
        <w:t xml:space="preserve"> </w:t>
      </w:r>
      <w:r w:rsidR="009A7FA6">
        <w:rPr>
          <w:rFonts w:cs="Arial"/>
        </w:rPr>
        <w:t>using % DO saturation values recorded on DMR Part B</w:t>
      </w:r>
      <w:r w:rsidR="009A7FA6" w:rsidRPr="00153C6F">
        <w:rPr>
          <w:rFonts w:cs="Arial"/>
        </w:rPr>
        <w:t>.</w:t>
      </w:r>
      <w:r w:rsidR="007A55E0">
        <w:rPr>
          <w:rFonts w:cs="Arial"/>
        </w:rPr>
        <w:t xml:space="preserve">  </w:t>
      </w:r>
    </w:p>
    <w:p w:rsidR="00090AF1" w:rsidRPr="000210AF" w:rsidRDefault="00090AF1" w:rsidP="00AF4B9E">
      <w:pPr>
        <w:pStyle w:val="BodyText"/>
        <w:tabs>
          <w:tab w:val="left" w:pos="1251"/>
        </w:tabs>
        <w:spacing w:line="276" w:lineRule="exact"/>
        <w:ind w:right="259"/>
        <w:rPr>
          <w:rFonts w:cs="Arial"/>
          <w:sz w:val="22"/>
          <w:szCs w:val="22"/>
        </w:rPr>
      </w:pPr>
      <w:r w:rsidRPr="00AF4B9E">
        <w:rPr>
          <w:rFonts w:cs="Arial"/>
          <w:noProof/>
          <w:sz w:val="22"/>
          <w:szCs w:val="22"/>
        </w:rPr>
        <mc:AlternateContent>
          <mc:Choice Requires="wpg">
            <w:drawing>
              <wp:anchor distT="0" distB="0" distL="114300" distR="114300" simplePos="0" relativeHeight="251659264" behindDoc="1" locked="0" layoutInCell="1" allowOverlap="1" wp14:anchorId="019FC34E" wp14:editId="69142FCC">
                <wp:simplePos x="0" y="0"/>
                <wp:positionH relativeFrom="page">
                  <wp:posOffset>555625</wp:posOffset>
                </wp:positionH>
                <wp:positionV relativeFrom="page">
                  <wp:posOffset>9386570</wp:posOffset>
                </wp:positionV>
                <wp:extent cx="6661150" cy="52070"/>
                <wp:effectExtent l="3175" t="4445" r="3175" b="635"/>
                <wp:wrapNone/>
                <wp:docPr id="1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1150" cy="52070"/>
                          <a:chOff x="875" y="14782"/>
                          <a:chExt cx="10490" cy="82"/>
                        </a:xfrm>
                      </wpg:grpSpPr>
                      <wpg:grpSp>
                        <wpg:cNvPr id="14" name="Group 18"/>
                        <wpg:cNvGrpSpPr>
                          <a:grpSpLocks/>
                        </wpg:cNvGrpSpPr>
                        <wpg:grpSpPr bwMode="auto">
                          <a:xfrm>
                            <a:off x="900" y="14855"/>
                            <a:ext cx="10440" cy="2"/>
                            <a:chOff x="900" y="14855"/>
                            <a:chExt cx="10440" cy="2"/>
                          </a:xfrm>
                        </wpg:grpSpPr>
                        <wps:wsp>
                          <wps:cNvPr id="15" name="Freeform 19"/>
                          <wps:cNvSpPr>
                            <a:spLocks/>
                          </wps:cNvSpPr>
                          <wps:spPr bwMode="auto">
                            <a:xfrm>
                              <a:off x="900" y="14855"/>
                              <a:ext cx="10440" cy="2"/>
                            </a:xfrm>
                            <a:custGeom>
                              <a:avLst/>
                              <a:gdLst>
                                <a:gd name="T0" fmla="+- 0 900 900"/>
                                <a:gd name="T1" fmla="*/ T0 w 10440"/>
                                <a:gd name="T2" fmla="+- 0 11340 900"/>
                                <a:gd name="T3" fmla="*/ T2 w 10440"/>
                              </a:gdLst>
                              <a:ahLst/>
                              <a:cxnLst>
                                <a:cxn ang="0">
                                  <a:pos x="T1" y="0"/>
                                </a:cxn>
                                <a:cxn ang="0">
                                  <a:pos x="T3" y="0"/>
                                </a:cxn>
                              </a:cxnLst>
                              <a:rect l="0" t="0" r="r" b="b"/>
                              <a:pathLst>
                                <a:path w="10440">
                                  <a:moveTo>
                                    <a:pt x="0" y="0"/>
                                  </a:moveTo>
                                  <a:lnTo>
                                    <a:pt x="10440" y="0"/>
                                  </a:lnTo>
                                </a:path>
                              </a:pathLst>
                            </a:custGeom>
                            <a:noFill/>
                            <a:ln w="11430">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20"/>
                        <wpg:cNvGrpSpPr>
                          <a:grpSpLocks/>
                        </wpg:cNvGrpSpPr>
                        <wpg:grpSpPr bwMode="auto">
                          <a:xfrm>
                            <a:off x="900" y="14807"/>
                            <a:ext cx="10440" cy="2"/>
                            <a:chOff x="900" y="14807"/>
                            <a:chExt cx="10440" cy="2"/>
                          </a:xfrm>
                        </wpg:grpSpPr>
                        <wps:wsp>
                          <wps:cNvPr id="17" name="Freeform 21"/>
                          <wps:cNvSpPr>
                            <a:spLocks/>
                          </wps:cNvSpPr>
                          <wps:spPr bwMode="auto">
                            <a:xfrm>
                              <a:off x="900" y="14807"/>
                              <a:ext cx="10440" cy="2"/>
                            </a:xfrm>
                            <a:custGeom>
                              <a:avLst/>
                              <a:gdLst>
                                <a:gd name="T0" fmla="+- 0 900 900"/>
                                <a:gd name="T1" fmla="*/ T0 w 10440"/>
                                <a:gd name="T2" fmla="+- 0 11340 900"/>
                                <a:gd name="T3" fmla="*/ T2 w 10440"/>
                              </a:gdLst>
                              <a:ahLst/>
                              <a:cxnLst>
                                <a:cxn ang="0">
                                  <a:pos x="T1" y="0"/>
                                </a:cxn>
                                <a:cxn ang="0">
                                  <a:pos x="T3" y="0"/>
                                </a:cxn>
                              </a:cxnLst>
                              <a:rect l="0" t="0" r="r" b="b"/>
                              <a:pathLst>
                                <a:path w="10440">
                                  <a:moveTo>
                                    <a:pt x="0" y="0"/>
                                  </a:moveTo>
                                  <a:lnTo>
                                    <a:pt x="10440" y="0"/>
                                  </a:lnTo>
                                </a:path>
                              </a:pathLst>
                            </a:custGeom>
                            <a:noFill/>
                            <a:ln w="31750">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F588074" id="Group 17" o:spid="_x0000_s1026" style="position:absolute;margin-left:43.75pt;margin-top:739.1pt;width:524.5pt;height:4.1pt;z-index:-251657216;mso-position-horizontal-relative:page;mso-position-vertical-relative:page" coordorigin="875,14782" coordsize="1049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">
                <v:group id="Group 18" o:spid="_x0000_s1027" style="position:absolute;left:900;top:14855;width:10440;height:2" coordorigin="900,14855" coordsize="10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19" o:spid="_x0000_s1028" style="position:absolute;left:900;top:14855;width:10440;height:2;visibility:visible;mso-wrap-style:square;v-text-anchor:top" coordsize="10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sSrMMA&#10;AADbAAAADwAAAGRycy9kb3ducmV2LnhtbERPTWvCQBC9C/6HZYReSrOxtKWm2YgtVPTgwVTvQ3ZM&#10;QrOzaXZror/eFQRv83ifk84H04gjda62rGAaxSCIC6trLhXsfr6f3kE4j6yxsUwKTuRgno1HKSba&#10;9rylY+5LEULYJaig8r5NpHRFRQZdZFviwB1sZ9AH2JVSd9iHcNPI5zh+kwZrDg0VtvRVUfGb/xsF&#10;y03+1++Lc3MYln72uGa7+Zy9KPUwGRYfIDwN/i6+uVc6zH+F6y/hAJ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sSrMMAAADbAAAADwAAAAAAAAAAAAAAAACYAgAAZHJzL2Rv&#10;d25yZXYueG1sUEsFBgAAAAAEAAQA9QAAAIgDAAAAAA==&#10;" path="m,l10440,e" filled="f" strokecolor="#818181" strokeweight=".9pt">
                    <v:path arrowok="t" o:connecttype="custom" o:connectlocs="0,0;10440,0" o:connectangles="0,0"/>
                  </v:shape>
                </v:group>
                <v:group id="Group 20" o:spid="_x0000_s1029" style="position:absolute;left:900;top:14807;width:10440;height:2" coordorigin="900,14807" coordsize="10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21" o:spid="_x0000_s1030" style="position:absolute;left:900;top:14807;width:10440;height:2;visibility:visible;mso-wrap-style:square;v-text-anchor:top" coordsize="10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hEiMMA&#10;AADbAAAADwAAAGRycy9kb3ducmV2LnhtbERPTWvCQBC9C/0PyxS8mY0eqkRXaQtiL4KalnocstMk&#10;7e5szK4m9te7BaG3ebzPWax6a8SFWl87VjBOUhDEhdM1lwre8/VoBsIHZI3GMSm4kofV8mGwwEy7&#10;jvd0OYRSxBD2GSqoQmgyKX1RkUWfuIY4cl+utRgibEupW+xiuDVykqZP0mLNsaHChl4rKn4OZ6vg&#10;+wXrLf2mebEzx/3nKTfjbvOh1PCxf56DCNSHf/Hd/abj/Cn8/RIP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hEiMMAAADbAAAADwAAAAAAAAAAAAAAAACYAgAAZHJzL2Rv&#10;d25yZXYueG1sUEsFBgAAAAAEAAQA9QAAAIgDAAAAAA==&#10;" path="m,l10440,e" filled="f" strokecolor="#818181" strokeweight="2.5pt">
                    <v:path arrowok="t" o:connecttype="custom" o:connectlocs="0,0;10440,0" o:connectangles="0,0"/>
                  </v:shape>
                </v:group>
                <w10:wrap anchorx="page" anchory="page"/>
              </v:group>
            </w:pict>
          </mc:Fallback>
        </mc:AlternateContent>
      </w:r>
      <w:r w:rsidRPr="00AF4B9E">
        <w:rPr>
          <w:rFonts w:cs="Arial"/>
          <w:noProof/>
          <w:sz w:val="22"/>
          <w:szCs w:val="22"/>
        </w:rPr>
        <mc:AlternateContent>
          <mc:Choice Requires="wpg">
            <w:drawing>
              <wp:anchor distT="0" distB="0" distL="114300" distR="114300" simplePos="0" relativeHeight="251660288" behindDoc="1" locked="0" layoutInCell="1" allowOverlap="1" wp14:anchorId="467A823F" wp14:editId="64E387B9">
                <wp:simplePos x="0" y="0"/>
                <wp:positionH relativeFrom="page">
                  <wp:posOffset>2379345</wp:posOffset>
                </wp:positionH>
                <wp:positionV relativeFrom="page">
                  <wp:posOffset>4911090</wp:posOffset>
                </wp:positionV>
                <wp:extent cx="1270" cy="1270"/>
                <wp:effectExtent l="7620" t="5715" r="10160" b="12065"/>
                <wp:wrapNone/>
                <wp:docPr id="1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3747" y="7734"/>
                          <a:chExt cx="2" cy="2"/>
                        </a:xfrm>
                      </wpg:grpSpPr>
                      <wps:wsp>
                        <wps:cNvPr id="12" name="Freeform 23"/>
                        <wps:cNvSpPr>
                          <a:spLocks/>
                        </wps:cNvSpPr>
                        <wps:spPr bwMode="auto">
                          <a:xfrm>
                            <a:off x="3747" y="7734"/>
                            <a:ext cx="2" cy="2"/>
                          </a:xfrm>
                          <a:custGeom>
                            <a:avLst/>
                            <a:gdLst/>
                            <a:ahLst/>
                            <a:cxnLst>
                              <a:cxn ang="0">
                                <a:pos x="0" y="0"/>
                              </a:cxn>
                              <a:cxn ang="0">
                                <a:pos x="0" y="0"/>
                              </a:cxn>
                            </a:cxnLst>
                            <a:rect l="0" t="0" r="r" b="b"/>
                            <a:pathLst>
                              <a:path>
                                <a:moveTo>
                                  <a:pt x="0" y="0"/>
                                </a:moveTo>
                                <a:lnTo>
                                  <a:pt x="0" y="0"/>
                                </a:lnTo>
                              </a:path>
                            </a:pathLst>
                          </a:custGeom>
                          <a:noFill/>
                          <a:ln w="0">
                            <a:solidFill>
                              <a:srgbClr val="D0D7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76C49F" id="Group 22" o:spid="_x0000_s1026" style="position:absolute;margin-left:187.35pt;margin-top:386.7pt;width:.1pt;height:.1pt;z-index:-251656192;mso-position-horizontal-relative:page;mso-position-vertical-relative:page" coordorigin="3747,7734"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">
                <v:shape id="Freeform 23" o:spid="_x0000_s1027" style="position:absolute;left:3747;top:7734;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fcEA&#10;AADbAAAADwAAAGRycy9kb3ducmV2LnhtbERPTWvCQBC9F/wPywje6kZDJaSuUgTBUzFpDh6n2TEb&#10;mp0N2a1Gf31XEHqbx/uc9Xa0nbjQ4FvHChbzBARx7XTLjYLqa/+agfABWWPnmBTcyMN2M3lZY67d&#10;lQu6lKERMYR9jgpMCH0upa8NWfRz1xNH7uwGiyHCoZF6wGsMt51cJslKWmw5NhjsaWeo/il/rYLj&#10;Z5u9VcV3d6bVaZ+WqTvcjVNqNh0/3kEEGsO/+Ok+6Dh/CY9f4gFy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PjX3BAAAA2wAAAA8AAAAAAAAAAAAAAAAAmAIAAGRycy9kb3du&#10;cmV2LnhtbFBLBQYAAAAABAAEAPUAAACGAwAAAAA=&#10;" path="m,l,e" filled="f" strokecolor="#d0d7e5" strokeweight="0">
                  <v:path arrowok="t" o:connecttype="custom" o:connectlocs="0,0;0,0" o:connectangles="0,0"/>
                </v:shape>
                <w10:wrap anchorx="page" anchory="page"/>
              </v:group>
            </w:pict>
          </mc:Fallback>
        </mc:AlternateContent>
      </w:r>
      <w:r w:rsidRPr="00AF4B9E">
        <w:rPr>
          <w:rFonts w:cs="Arial"/>
          <w:noProof/>
          <w:sz w:val="22"/>
          <w:szCs w:val="22"/>
        </w:rPr>
        <mc:AlternateContent>
          <mc:Choice Requires="wpg">
            <w:drawing>
              <wp:anchor distT="0" distB="0" distL="114300" distR="114300" simplePos="0" relativeHeight="251661312" behindDoc="1" locked="0" layoutInCell="1" allowOverlap="1" wp14:anchorId="07DAA013" wp14:editId="693BA08A">
                <wp:simplePos x="0" y="0"/>
                <wp:positionH relativeFrom="page">
                  <wp:posOffset>4013200</wp:posOffset>
                </wp:positionH>
                <wp:positionV relativeFrom="page">
                  <wp:posOffset>4911090</wp:posOffset>
                </wp:positionV>
                <wp:extent cx="1270" cy="1270"/>
                <wp:effectExtent l="12700" t="5715" r="5080" b="12065"/>
                <wp:wrapNone/>
                <wp:docPr id="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6320" y="7734"/>
                          <a:chExt cx="2" cy="2"/>
                        </a:xfrm>
                      </wpg:grpSpPr>
                      <wps:wsp>
                        <wps:cNvPr id="10" name="Freeform 25"/>
                        <wps:cNvSpPr>
                          <a:spLocks/>
                        </wps:cNvSpPr>
                        <wps:spPr bwMode="auto">
                          <a:xfrm>
                            <a:off x="6320" y="7734"/>
                            <a:ext cx="2" cy="2"/>
                          </a:xfrm>
                          <a:custGeom>
                            <a:avLst/>
                            <a:gdLst/>
                            <a:ahLst/>
                            <a:cxnLst>
                              <a:cxn ang="0">
                                <a:pos x="0" y="0"/>
                              </a:cxn>
                              <a:cxn ang="0">
                                <a:pos x="0" y="0"/>
                              </a:cxn>
                            </a:cxnLst>
                            <a:rect l="0" t="0" r="r" b="b"/>
                            <a:pathLst>
                              <a:path>
                                <a:moveTo>
                                  <a:pt x="0" y="0"/>
                                </a:moveTo>
                                <a:lnTo>
                                  <a:pt x="0" y="0"/>
                                </a:lnTo>
                              </a:path>
                            </a:pathLst>
                          </a:custGeom>
                          <a:noFill/>
                          <a:ln w="0">
                            <a:solidFill>
                              <a:srgbClr val="D0D7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7C6BC9" id="Group 24" o:spid="_x0000_s1026" style="position:absolute;margin-left:316pt;margin-top:386.7pt;width:.1pt;height:.1pt;z-index:-251655168;mso-position-horizontal-relative:page;mso-position-vertical-relative:page" coordorigin="6320,7734"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">
                <v:shape id="Freeform 25" o:spid="_x0000_s1027" style="position:absolute;left:6320;top:7734;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G2kcQA&#10;AADbAAAADwAAAGRycy9kb3ducmV2LnhtbESPQWvCQBCF7wX/wzKF3uqmlYrEbEQEwVOp0YPHMTtm&#10;g9nZkN1q2l/fORS8zfDevPdNsRp9p240xDawgbdpBoq4DrblxsDxsH1dgIoJ2WIXmAz8UIRVOXkq&#10;MLfhznu6ValREsIxRwMupT7XOtaOPMZp6IlFu4TBY5J1aLQd8C7hvtPvWTbXHluWBoc9bRzV1+rb&#10;G/j6bBcfx/25u9D8tJ1Vs7D7dcGYl+dxvQSVaEwP8//1zgq+0MsvMo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RtpHEAAAA2wAAAA8AAAAAAAAAAAAAAAAAmAIAAGRycy9k&#10;b3ducmV2LnhtbFBLBQYAAAAABAAEAPUAAACJAwAAAAA=&#10;" path="m,l,e" filled="f" strokecolor="#d0d7e5" strokeweight="0">
                  <v:path arrowok="t" o:connecttype="custom" o:connectlocs="0,0;0,0" o:connectangles="0,0"/>
                </v:shape>
                <w10:wrap anchorx="page" anchory="page"/>
              </v:group>
            </w:pict>
          </mc:Fallback>
        </mc:AlternateContent>
      </w:r>
      <w:r w:rsidRPr="00AF4B9E">
        <w:rPr>
          <w:rFonts w:cs="Arial"/>
          <w:noProof/>
          <w:sz w:val="22"/>
          <w:szCs w:val="22"/>
        </w:rPr>
        <mc:AlternateContent>
          <mc:Choice Requires="wpg">
            <w:drawing>
              <wp:anchor distT="0" distB="0" distL="114300" distR="114300" simplePos="0" relativeHeight="251662336" behindDoc="1" locked="0" layoutInCell="1" allowOverlap="1" wp14:anchorId="2F8AAB58" wp14:editId="75DC274E">
                <wp:simplePos x="0" y="0"/>
                <wp:positionH relativeFrom="page">
                  <wp:posOffset>5139690</wp:posOffset>
                </wp:positionH>
                <wp:positionV relativeFrom="page">
                  <wp:posOffset>4911090</wp:posOffset>
                </wp:positionV>
                <wp:extent cx="1270" cy="1270"/>
                <wp:effectExtent l="5715" t="5715" r="12065" b="12065"/>
                <wp:wrapNone/>
                <wp:docPr id="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8094" y="7734"/>
                          <a:chExt cx="2" cy="2"/>
                        </a:xfrm>
                      </wpg:grpSpPr>
                      <wps:wsp>
                        <wps:cNvPr id="8" name="Freeform 27"/>
                        <wps:cNvSpPr>
                          <a:spLocks/>
                        </wps:cNvSpPr>
                        <wps:spPr bwMode="auto">
                          <a:xfrm>
                            <a:off x="8094" y="7734"/>
                            <a:ext cx="2" cy="2"/>
                          </a:xfrm>
                          <a:custGeom>
                            <a:avLst/>
                            <a:gdLst/>
                            <a:ahLst/>
                            <a:cxnLst>
                              <a:cxn ang="0">
                                <a:pos x="0" y="0"/>
                              </a:cxn>
                              <a:cxn ang="0">
                                <a:pos x="0" y="0"/>
                              </a:cxn>
                            </a:cxnLst>
                            <a:rect l="0" t="0" r="r" b="b"/>
                            <a:pathLst>
                              <a:path>
                                <a:moveTo>
                                  <a:pt x="0" y="0"/>
                                </a:moveTo>
                                <a:lnTo>
                                  <a:pt x="0" y="0"/>
                                </a:lnTo>
                              </a:path>
                            </a:pathLst>
                          </a:custGeom>
                          <a:noFill/>
                          <a:ln w="0">
                            <a:solidFill>
                              <a:srgbClr val="D0D7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AAC46E" id="Group 26" o:spid="_x0000_s1026" style="position:absolute;margin-left:404.7pt;margin-top:386.7pt;width:.1pt;height:.1pt;z-index:-251654144;mso-position-horizontal-relative:page;mso-position-vertical-relative:page" coordorigin="8094,7734"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">
                <v:shape id="Freeform 27" o:spid="_x0000_s1027" style="position:absolute;left:8094;top:7734;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o4fL4A&#10;AADaAAAADwAAAGRycy9kb3ducmV2LnhtbERPTYvCMBC9C/6HMII3TVVWpDYVEQRPslYPHsdmbIrN&#10;pDRRu/vrN4cFj4/3nW1624gXdb52rGA2TUAQl07XXCm4nPeTFQgfkDU2jknBD3nY5MNBhql2bz7R&#10;qwiViCHsU1RgQmhTKX1pyKKfupY4cnfXWQwRdpXUHb5juG3kPEmW0mLNscFgSztD5aN4WgXfx3r1&#10;dTndmjstr/tFsXCHX+OUGo/67RpEoD58xP/ug1YQt8Yr8QbI/A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naOHy+AAAA2gAAAA8AAAAAAAAAAAAAAAAAmAIAAGRycy9kb3ducmV2&#10;LnhtbFBLBQYAAAAABAAEAPUAAACDAwAAAAA=&#10;" path="m,l,e" filled="f" strokecolor="#d0d7e5" strokeweight="0">
                  <v:path arrowok="t" o:connecttype="custom" o:connectlocs="0,0;0,0" o:connectangles="0,0"/>
                </v:shape>
                <w10:wrap anchorx="page" anchory="page"/>
              </v:group>
            </w:pict>
          </mc:Fallback>
        </mc:AlternateContent>
      </w:r>
      <w:r w:rsidRPr="00AF4B9E">
        <w:rPr>
          <w:rFonts w:cs="Arial"/>
          <w:noProof/>
          <w:sz w:val="22"/>
          <w:szCs w:val="22"/>
        </w:rPr>
        <mc:AlternateContent>
          <mc:Choice Requires="wpg">
            <w:drawing>
              <wp:anchor distT="0" distB="0" distL="114300" distR="114300" simplePos="0" relativeHeight="251663360" behindDoc="1" locked="0" layoutInCell="1" allowOverlap="1" wp14:anchorId="19DCE176" wp14:editId="49C224BD">
                <wp:simplePos x="0" y="0"/>
                <wp:positionH relativeFrom="page">
                  <wp:posOffset>6097270</wp:posOffset>
                </wp:positionH>
                <wp:positionV relativeFrom="page">
                  <wp:posOffset>4911090</wp:posOffset>
                </wp:positionV>
                <wp:extent cx="1270" cy="1270"/>
                <wp:effectExtent l="10795" t="5715" r="6985" b="12065"/>
                <wp:wrapNone/>
                <wp:docPr id="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602" y="7734"/>
                          <a:chExt cx="2" cy="2"/>
                        </a:xfrm>
                      </wpg:grpSpPr>
                      <wps:wsp>
                        <wps:cNvPr id="6" name="Freeform 29"/>
                        <wps:cNvSpPr>
                          <a:spLocks/>
                        </wps:cNvSpPr>
                        <wps:spPr bwMode="auto">
                          <a:xfrm>
                            <a:off x="9602" y="7734"/>
                            <a:ext cx="2" cy="2"/>
                          </a:xfrm>
                          <a:custGeom>
                            <a:avLst/>
                            <a:gdLst/>
                            <a:ahLst/>
                            <a:cxnLst>
                              <a:cxn ang="0">
                                <a:pos x="0" y="0"/>
                              </a:cxn>
                              <a:cxn ang="0">
                                <a:pos x="0" y="0"/>
                              </a:cxn>
                            </a:cxnLst>
                            <a:rect l="0" t="0" r="r" b="b"/>
                            <a:pathLst>
                              <a:path>
                                <a:moveTo>
                                  <a:pt x="0" y="0"/>
                                </a:moveTo>
                                <a:lnTo>
                                  <a:pt x="0" y="0"/>
                                </a:lnTo>
                              </a:path>
                            </a:pathLst>
                          </a:custGeom>
                          <a:noFill/>
                          <a:ln w="0">
                            <a:solidFill>
                              <a:srgbClr val="D0D7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194274" id="Group 28" o:spid="_x0000_s1026" style="position:absolute;margin-left:480.1pt;margin-top:386.7pt;width:.1pt;height:.1pt;z-index:-251653120;mso-position-horizontal-relative:page;mso-position-vertical-relative:page" coordorigin="9602,7734"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">
                <v:shape id="Freeform 29" o:spid="_x0000_s1027" style="position:absolute;left:9602;top:7734;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kJlcIA&#10;AADaAAAADwAAAGRycy9kb3ducmV2LnhtbESPQYvCMBSE74L/ITxhb5q6YpFqFFkQPMlae9jj2+bZ&#10;FJuX0kTt7q83guBxmJlvmNWmt424UedrxwqmkwQEcel0zZWC4rQbL0D4gKyxcUwK/sjDZj0crDDT&#10;7s5HuuWhEhHCPkMFJoQ2k9KXhiz6iWuJo3d2ncUQZVdJ3eE9wm0jP5MklRZrjgsGW/oyVF7yq1Xw&#10;fagX8+L425wp/dnN8pnb/xun1Meo3y5BBOrDO/xq77WCFJ5X4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CQmVwgAAANoAAAAPAAAAAAAAAAAAAAAAAJgCAABkcnMvZG93&#10;bnJldi54bWxQSwUGAAAAAAQABAD1AAAAhwMAAAAA&#10;" path="m,l,e" filled="f" strokecolor="#d0d7e5" strokeweight="0">
                  <v:path arrowok="t" o:connecttype="custom" o:connectlocs="0,0;0,0" o:connectangles="0,0"/>
                </v:shape>
                <w10:wrap anchorx="page" anchory="page"/>
              </v:group>
            </w:pict>
          </mc:Fallback>
        </mc:AlternateContent>
      </w:r>
      <w:r w:rsidRPr="00AF4B9E">
        <w:rPr>
          <w:rFonts w:cs="Arial"/>
          <w:noProof/>
          <w:sz w:val="22"/>
          <w:szCs w:val="22"/>
        </w:rPr>
        <mc:AlternateContent>
          <mc:Choice Requires="wpg">
            <w:drawing>
              <wp:anchor distT="0" distB="0" distL="114300" distR="114300" simplePos="0" relativeHeight="251664384" behindDoc="1" locked="0" layoutInCell="1" allowOverlap="1" wp14:anchorId="38083B54" wp14:editId="2ED8E919">
                <wp:simplePos x="0" y="0"/>
                <wp:positionH relativeFrom="page">
                  <wp:posOffset>6848475</wp:posOffset>
                </wp:positionH>
                <wp:positionV relativeFrom="page">
                  <wp:posOffset>4911090</wp:posOffset>
                </wp:positionV>
                <wp:extent cx="1270" cy="1270"/>
                <wp:effectExtent l="9525" t="5715" r="8255" b="12065"/>
                <wp:wrapNone/>
                <wp:docPr id="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785" y="7734"/>
                          <a:chExt cx="2" cy="2"/>
                        </a:xfrm>
                      </wpg:grpSpPr>
                      <wps:wsp>
                        <wps:cNvPr id="4" name="Freeform 31"/>
                        <wps:cNvSpPr>
                          <a:spLocks/>
                        </wps:cNvSpPr>
                        <wps:spPr bwMode="auto">
                          <a:xfrm>
                            <a:off x="10785" y="7734"/>
                            <a:ext cx="2" cy="2"/>
                          </a:xfrm>
                          <a:custGeom>
                            <a:avLst/>
                            <a:gdLst/>
                            <a:ahLst/>
                            <a:cxnLst>
                              <a:cxn ang="0">
                                <a:pos x="0" y="0"/>
                              </a:cxn>
                              <a:cxn ang="0">
                                <a:pos x="0" y="0"/>
                              </a:cxn>
                            </a:cxnLst>
                            <a:rect l="0" t="0" r="r" b="b"/>
                            <a:pathLst>
                              <a:path>
                                <a:moveTo>
                                  <a:pt x="0" y="0"/>
                                </a:moveTo>
                                <a:lnTo>
                                  <a:pt x="0" y="0"/>
                                </a:lnTo>
                              </a:path>
                            </a:pathLst>
                          </a:custGeom>
                          <a:noFill/>
                          <a:ln w="0">
                            <a:solidFill>
                              <a:srgbClr val="D0D7E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B5D93C" id="Group 30" o:spid="_x0000_s1026" style="position:absolute;margin-left:539.25pt;margin-top:386.7pt;width:.1pt;height:.1pt;z-index:-251652096;mso-position-horizontal-relative:page;mso-position-vertical-relative:page" coordorigin="10785,7734"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">
                <v:shape id="Freeform 31" o:spid="_x0000_s1027" style="position:absolute;left:10785;top:7734;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cyecEA&#10;AADaAAAADwAAAGRycy9kb3ducmV2LnhtbESPQYvCMBSE74L/ITzBm6aurkg1iiwInkSrB4/P5tkU&#10;m5fSRK3+erOwsMdhZr5hFqvWVuJBjS8dKxgNExDEudMlFwpOx81gBsIHZI2VY1LwIg+rZbezwFS7&#10;Jx/okYVCRAj7FBWYEOpUSp8bsuiHriaO3tU1FkOUTSF1g88It5X8SpKptFhyXDBY04+h/JbdrYL9&#10;rpx9nw6X6krT82acjd32bZxS/V67noMI1Ib/8F97qxVM4PdKvAFy+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XMnnBAAAA2gAAAA8AAAAAAAAAAAAAAAAAmAIAAGRycy9kb3du&#10;cmV2LnhtbFBLBQYAAAAABAAEAPUAAACGAwAAAAA=&#10;" path="m,l,e" filled="f" strokecolor="#d0d7e5" strokeweight="0">
                  <v:path arrowok="t" o:connecttype="custom" o:connectlocs="0,0;0,0" o:connectangles="0,0"/>
                </v:shape>
                <w10:wrap anchorx="page" anchory="page"/>
              </v:group>
            </w:pict>
          </mc:Fallback>
        </mc:AlternateContent>
      </w:r>
      <w:r w:rsidRPr="00331D2D">
        <w:rPr>
          <w:rFonts w:cs="Arial"/>
          <w:b/>
          <w:sz w:val="22"/>
          <w:szCs w:val="22"/>
        </w:rPr>
        <w:t>Table</w:t>
      </w:r>
      <w:r w:rsidRPr="00331D2D">
        <w:rPr>
          <w:rFonts w:cs="Arial"/>
          <w:b/>
          <w:spacing w:val="-1"/>
          <w:sz w:val="22"/>
          <w:szCs w:val="22"/>
        </w:rPr>
        <w:t xml:space="preserve"> </w:t>
      </w:r>
      <w:r w:rsidRPr="00331D2D">
        <w:rPr>
          <w:rFonts w:cs="Arial"/>
          <w:b/>
          <w:sz w:val="22"/>
          <w:szCs w:val="22"/>
        </w:rPr>
        <w:t>3.</w:t>
      </w:r>
      <w:r w:rsidRPr="00331D2D">
        <w:rPr>
          <w:rFonts w:cs="Arial"/>
          <w:b/>
          <w:sz w:val="22"/>
          <w:szCs w:val="22"/>
        </w:rPr>
        <w:tab/>
      </w:r>
      <w:r w:rsidRPr="00331D2D">
        <w:rPr>
          <w:rFonts w:cs="Arial"/>
          <w:spacing w:val="-1"/>
          <w:sz w:val="22"/>
          <w:szCs w:val="22"/>
        </w:rPr>
        <w:t>Baseline</w:t>
      </w:r>
      <w:r w:rsidRPr="00331D2D">
        <w:rPr>
          <w:rFonts w:cs="Arial"/>
          <w:spacing w:val="1"/>
          <w:sz w:val="22"/>
          <w:szCs w:val="22"/>
        </w:rPr>
        <w:t xml:space="preserve"> </w:t>
      </w:r>
      <w:r w:rsidRPr="00331D2D">
        <w:rPr>
          <w:rFonts w:cs="Arial"/>
          <w:spacing w:val="-1"/>
          <w:sz w:val="22"/>
          <w:szCs w:val="22"/>
        </w:rPr>
        <w:t>DO conditions</w:t>
      </w:r>
      <w:r w:rsidRPr="00331D2D">
        <w:rPr>
          <w:rFonts w:cs="Arial"/>
          <w:sz w:val="22"/>
          <w:szCs w:val="22"/>
        </w:rPr>
        <w:t xml:space="preserve"> for</w:t>
      </w:r>
      <w:r w:rsidRPr="00331D2D">
        <w:rPr>
          <w:rFonts w:cs="Arial"/>
          <w:spacing w:val="-1"/>
          <w:sz w:val="22"/>
          <w:szCs w:val="22"/>
        </w:rPr>
        <w:t xml:space="preserve"> portions</w:t>
      </w:r>
      <w:r w:rsidRPr="00331D2D">
        <w:rPr>
          <w:rFonts w:cs="Arial"/>
          <w:sz w:val="22"/>
          <w:szCs w:val="22"/>
        </w:rPr>
        <w:t xml:space="preserve"> of</w:t>
      </w:r>
      <w:r w:rsidRPr="00331D2D">
        <w:rPr>
          <w:rFonts w:cs="Arial"/>
          <w:spacing w:val="-1"/>
          <w:sz w:val="22"/>
          <w:szCs w:val="22"/>
        </w:rPr>
        <w:t xml:space="preserve"> </w:t>
      </w:r>
      <w:r w:rsidRPr="00331D2D">
        <w:rPr>
          <w:rFonts w:cs="Arial"/>
          <w:sz w:val="22"/>
          <w:szCs w:val="22"/>
        </w:rPr>
        <w:t>the</w:t>
      </w:r>
      <w:r w:rsidRPr="00331D2D">
        <w:rPr>
          <w:rFonts w:cs="Arial"/>
          <w:spacing w:val="-1"/>
          <w:sz w:val="22"/>
          <w:szCs w:val="22"/>
        </w:rPr>
        <w:t xml:space="preserve"> Suwannee,</w:t>
      </w:r>
      <w:r w:rsidRPr="00331D2D">
        <w:rPr>
          <w:rFonts w:cs="Arial"/>
          <w:sz w:val="22"/>
          <w:szCs w:val="22"/>
        </w:rPr>
        <w:t xml:space="preserve"> </w:t>
      </w:r>
      <w:r w:rsidRPr="00331D2D">
        <w:rPr>
          <w:rFonts w:cs="Arial"/>
          <w:spacing w:val="-1"/>
          <w:sz w:val="22"/>
          <w:szCs w:val="22"/>
        </w:rPr>
        <w:t>Santa</w:t>
      </w:r>
      <w:r w:rsidRPr="00331D2D">
        <w:rPr>
          <w:rFonts w:cs="Arial"/>
          <w:spacing w:val="1"/>
          <w:sz w:val="22"/>
          <w:szCs w:val="22"/>
        </w:rPr>
        <w:t xml:space="preserve"> </w:t>
      </w:r>
      <w:r w:rsidRPr="00331D2D">
        <w:rPr>
          <w:rFonts w:cs="Arial"/>
          <w:spacing w:val="-1"/>
          <w:sz w:val="22"/>
          <w:szCs w:val="22"/>
        </w:rPr>
        <w:t>Fe,</w:t>
      </w:r>
      <w:r w:rsidRPr="00331D2D">
        <w:rPr>
          <w:rFonts w:cs="Arial"/>
          <w:sz w:val="22"/>
          <w:szCs w:val="22"/>
        </w:rPr>
        <w:t xml:space="preserve"> </w:t>
      </w:r>
      <w:r w:rsidRPr="00331D2D">
        <w:rPr>
          <w:rFonts w:cs="Arial"/>
          <w:spacing w:val="-1"/>
          <w:sz w:val="22"/>
          <w:szCs w:val="22"/>
        </w:rPr>
        <w:t>New,</w:t>
      </w:r>
      <w:r w:rsidRPr="00331D2D">
        <w:rPr>
          <w:rFonts w:cs="Arial"/>
          <w:sz w:val="22"/>
          <w:szCs w:val="22"/>
        </w:rPr>
        <w:t xml:space="preserve"> </w:t>
      </w:r>
      <w:r w:rsidRPr="00331D2D">
        <w:rPr>
          <w:rFonts w:cs="Arial"/>
          <w:spacing w:val="-1"/>
          <w:sz w:val="22"/>
          <w:szCs w:val="22"/>
        </w:rPr>
        <w:t>and</w:t>
      </w:r>
      <w:r w:rsidRPr="00331D2D">
        <w:rPr>
          <w:rFonts w:cs="Arial"/>
          <w:spacing w:val="77"/>
          <w:sz w:val="22"/>
          <w:szCs w:val="22"/>
        </w:rPr>
        <w:t xml:space="preserve"> </w:t>
      </w:r>
      <w:r w:rsidRPr="00331D2D">
        <w:rPr>
          <w:rFonts w:cs="Arial"/>
          <w:spacing w:val="-1"/>
          <w:sz w:val="22"/>
          <w:szCs w:val="22"/>
        </w:rPr>
        <w:t>Withlacoochee Rivers</w:t>
      </w:r>
      <w:r w:rsidRPr="00331D2D">
        <w:rPr>
          <w:rFonts w:cs="Arial"/>
          <w:sz w:val="22"/>
          <w:szCs w:val="22"/>
        </w:rPr>
        <w:t xml:space="preserve"> utilized </w:t>
      </w:r>
      <w:r w:rsidRPr="00331D2D">
        <w:rPr>
          <w:rFonts w:cs="Arial"/>
          <w:spacing w:val="1"/>
          <w:sz w:val="22"/>
          <w:szCs w:val="22"/>
        </w:rPr>
        <w:t>by</w:t>
      </w:r>
      <w:r w:rsidRPr="00331D2D">
        <w:rPr>
          <w:rFonts w:cs="Arial"/>
          <w:spacing w:val="-8"/>
          <w:sz w:val="22"/>
          <w:szCs w:val="22"/>
        </w:rPr>
        <w:t xml:space="preserve"> </w:t>
      </w:r>
      <w:r w:rsidRPr="00331D2D">
        <w:rPr>
          <w:rFonts w:cs="Arial"/>
          <w:sz w:val="22"/>
          <w:szCs w:val="22"/>
        </w:rPr>
        <w:t>the</w:t>
      </w:r>
      <w:r w:rsidRPr="00331D2D">
        <w:rPr>
          <w:rFonts w:cs="Arial"/>
          <w:spacing w:val="-1"/>
          <w:sz w:val="22"/>
          <w:szCs w:val="22"/>
        </w:rPr>
        <w:t xml:space="preserve"> Gulf Sturgeon</w:t>
      </w:r>
      <w:r w:rsidRPr="00331D2D">
        <w:rPr>
          <w:rFonts w:cs="Arial"/>
          <w:sz w:val="22"/>
          <w:szCs w:val="22"/>
        </w:rPr>
        <w:t xml:space="preserve"> </w:t>
      </w:r>
      <w:r w:rsidRPr="00331D2D">
        <w:rPr>
          <w:rFonts w:cs="Arial"/>
          <w:spacing w:val="-1"/>
          <w:sz w:val="22"/>
          <w:szCs w:val="22"/>
        </w:rPr>
        <w:t>and</w:t>
      </w:r>
      <w:r w:rsidRPr="00331D2D">
        <w:rPr>
          <w:rFonts w:cs="Arial"/>
          <w:sz w:val="22"/>
          <w:szCs w:val="22"/>
        </w:rPr>
        <w:t xml:space="preserve"> </w:t>
      </w:r>
      <w:r w:rsidRPr="00331D2D">
        <w:rPr>
          <w:rFonts w:cs="Arial"/>
          <w:spacing w:val="-1"/>
          <w:sz w:val="22"/>
          <w:szCs w:val="22"/>
        </w:rPr>
        <w:t>Oval</w:t>
      </w:r>
      <w:r w:rsidRPr="00331D2D">
        <w:rPr>
          <w:rFonts w:cs="Arial"/>
          <w:sz w:val="22"/>
          <w:szCs w:val="22"/>
        </w:rPr>
        <w:t xml:space="preserve"> </w:t>
      </w:r>
      <w:r w:rsidRPr="00331D2D">
        <w:rPr>
          <w:rFonts w:cs="Arial"/>
          <w:spacing w:val="-1"/>
          <w:sz w:val="22"/>
          <w:szCs w:val="22"/>
        </w:rPr>
        <w:t xml:space="preserve">Pigtoe </w:t>
      </w:r>
      <w:r w:rsidRPr="00331D2D">
        <w:rPr>
          <w:rFonts w:cs="Arial"/>
          <w:sz w:val="22"/>
          <w:szCs w:val="22"/>
        </w:rPr>
        <w:t>Mussel.</w:t>
      </w:r>
      <w:r w:rsidRPr="00331D2D">
        <w:rPr>
          <w:rFonts w:cs="Arial"/>
          <w:spacing w:val="60"/>
          <w:sz w:val="22"/>
          <w:szCs w:val="22"/>
        </w:rPr>
        <w:t xml:space="preserve"> </w:t>
      </w:r>
      <w:r w:rsidRPr="00331D2D">
        <w:rPr>
          <w:rFonts w:cs="Arial"/>
          <w:spacing w:val="-1"/>
          <w:sz w:val="22"/>
          <w:szCs w:val="22"/>
        </w:rPr>
        <w:t>The</w:t>
      </w:r>
      <w:r w:rsidRPr="00331D2D">
        <w:rPr>
          <w:rFonts w:cs="Arial"/>
          <w:spacing w:val="77"/>
          <w:sz w:val="22"/>
          <w:szCs w:val="22"/>
        </w:rPr>
        <w:t xml:space="preserve"> </w:t>
      </w:r>
      <w:r w:rsidRPr="00331D2D">
        <w:rPr>
          <w:rFonts w:cs="Arial"/>
          <w:sz w:val="22"/>
          <w:szCs w:val="22"/>
        </w:rPr>
        <w:t>10</w:t>
      </w:r>
      <w:r w:rsidRPr="00331D2D">
        <w:rPr>
          <w:rFonts w:cs="Arial"/>
          <w:sz w:val="22"/>
          <w:szCs w:val="22"/>
          <w:vertAlign w:val="superscript"/>
        </w:rPr>
        <w:t>th</w:t>
      </w:r>
      <w:r w:rsidRPr="00331D2D">
        <w:rPr>
          <w:rFonts w:cs="Arial"/>
          <w:sz w:val="22"/>
          <w:szCs w:val="22"/>
        </w:rPr>
        <w:t xml:space="preserve"> </w:t>
      </w:r>
      <w:r w:rsidRPr="00331D2D">
        <w:rPr>
          <w:rFonts w:cs="Arial"/>
          <w:spacing w:val="-1"/>
          <w:sz w:val="22"/>
          <w:szCs w:val="22"/>
        </w:rPr>
        <w:t>percentile and</w:t>
      </w:r>
      <w:r w:rsidRPr="00331D2D">
        <w:rPr>
          <w:rFonts w:cs="Arial"/>
          <w:sz w:val="22"/>
          <w:szCs w:val="22"/>
        </w:rPr>
        <w:t xml:space="preserve"> median </w:t>
      </w:r>
      <w:r w:rsidRPr="00331D2D">
        <w:rPr>
          <w:rFonts w:cs="Arial"/>
          <w:spacing w:val="-1"/>
          <w:sz w:val="22"/>
          <w:szCs w:val="22"/>
        </w:rPr>
        <w:t>percent</w:t>
      </w:r>
      <w:r w:rsidRPr="00331D2D">
        <w:rPr>
          <w:rFonts w:cs="Arial"/>
          <w:sz w:val="22"/>
          <w:szCs w:val="22"/>
        </w:rPr>
        <w:t xml:space="preserve"> DO</w:t>
      </w:r>
      <w:r w:rsidRPr="00331D2D">
        <w:rPr>
          <w:rFonts w:cs="Arial"/>
          <w:spacing w:val="-1"/>
          <w:sz w:val="22"/>
          <w:szCs w:val="22"/>
        </w:rPr>
        <w:t xml:space="preserve"> saturation</w:t>
      </w:r>
      <w:r w:rsidRPr="00331D2D">
        <w:rPr>
          <w:rFonts w:cs="Arial"/>
          <w:sz w:val="22"/>
          <w:szCs w:val="22"/>
        </w:rPr>
        <w:t xml:space="preserve"> </w:t>
      </w:r>
      <w:r w:rsidRPr="00331D2D">
        <w:rPr>
          <w:rFonts w:cs="Arial"/>
          <w:spacing w:val="-1"/>
          <w:sz w:val="22"/>
          <w:szCs w:val="22"/>
        </w:rPr>
        <w:t>values</w:t>
      </w:r>
      <w:r w:rsidRPr="00331D2D">
        <w:rPr>
          <w:rFonts w:cs="Arial"/>
          <w:sz w:val="22"/>
          <w:szCs w:val="22"/>
        </w:rPr>
        <w:t xml:space="preserve"> </w:t>
      </w:r>
      <w:r w:rsidRPr="00331D2D">
        <w:rPr>
          <w:rFonts w:cs="Arial"/>
          <w:spacing w:val="-1"/>
          <w:sz w:val="22"/>
          <w:szCs w:val="22"/>
        </w:rPr>
        <w:t>were determined</w:t>
      </w:r>
      <w:r w:rsidRPr="00331D2D">
        <w:rPr>
          <w:rFonts w:cs="Arial"/>
          <w:sz w:val="22"/>
          <w:szCs w:val="22"/>
        </w:rPr>
        <w:t xml:space="preserve"> from </w:t>
      </w:r>
      <w:r w:rsidRPr="00331D2D">
        <w:rPr>
          <w:rFonts w:cs="Arial"/>
          <w:spacing w:val="-1"/>
          <w:sz w:val="22"/>
          <w:szCs w:val="22"/>
        </w:rPr>
        <w:t>data</w:t>
      </w:r>
      <w:r w:rsidRPr="00331D2D">
        <w:rPr>
          <w:rFonts w:cs="Arial"/>
          <w:spacing w:val="79"/>
          <w:sz w:val="22"/>
          <w:szCs w:val="22"/>
        </w:rPr>
        <w:t xml:space="preserve"> </w:t>
      </w:r>
      <w:r w:rsidRPr="00331D2D">
        <w:rPr>
          <w:rFonts w:cs="Arial"/>
          <w:spacing w:val="-1"/>
          <w:sz w:val="22"/>
          <w:szCs w:val="22"/>
        </w:rPr>
        <w:t>collected</w:t>
      </w:r>
      <w:r w:rsidRPr="00331D2D">
        <w:rPr>
          <w:rFonts w:cs="Arial"/>
          <w:sz w:val="22"/>
          <w:szCs w:val="22"/>
        </w:rPr>
        <w:t xml:space="preserve"> from 1991 </w:t>
      </w:r>
      <w:r w:rsidRPr="00331D2D">
        <w:rPr>
          <w:rFonts w:cs="Arial"/>
          <w:spacing w:val="-1"/>
          <w:sz w:val="22"/>
          <w:szCs w:val="22"/>
        </w:rPr>
        <w:t>through</w:t>
      </w:r>
      <w:r w:rsidRPr="00331D2D">
        <w:rPr>
          <w:rFonts w:cs="Arial"/>
          <w:sz w:val="22"/>
          <w:szCs w:val="22"/>
        </w:rPr>
        <w:t xml:space="preserve"> 2011.</w:t>
      </w:r>
    </w:p>
    <w:tbl>
      <w:tblPr>
        <w:tblW w:w="0" w:type="auto"/>
        <w:tblInd w:w="114" w:type="dxa"/>
        <w:tblLayout w:type="fixed"/>
        <w:tblCellMar>
          <w:left w:w="0" w:type="dxa"/>
          <w:right w:w="0" w:type="dxa"/>
        </w:tblCellMar>
        <w:tblLook w:val="01E0" w:firstRow="1" w:lastRow="1" w:firstColumn="1" w:lastColumn="1" w:noHBand="0" w:noVBand="0"/>
      </w:tblPr>
      <w:tblGrid>
        <w:gridCol w:w="2292"/>
        <w:gridCol w:w="2573"/>
        <w:gridCol w:w="1774"/>
        <w:gridCol w:w="1508"/>
        <w:gridCol w:w="1183"/>
      </w:tblGrid>
      <w:tr w:rsidR="00090AF1" w:rsidRPr="00315033" w:rsidTr="00FA6045">
        <w:trPr>
          <w:trHeight w:hRule="exact" w:val="705"/>
        </w:trPr>
        <w:tc>
          <w:tcPr>
            <w:tcW w:w="2292" w:type="dxa"/>
            <w:tcBorders>
              <w:top w:val="single" w:sz="7" w:space="0" w:color="000000"/>
              <w:left w:val="single" w:sz="7" w:space="0" w:color="000000"/>
              <w:bottom w:val="single" w:sz="7" w:space="0" w:color="000000"/>
              <w:right w:val="single" w:sz="7" w:space="0" w:color="000000"/>
            </w:tcBorders>
            <w:shd w:val="clear" w:color="auto" w:fill="F2F2F2"/>
          </w:tcPr>
          <w:p w:rsidR="00090AF1" w:rsidRPr="00315033" w:rsidRDefault="00090AF1" w:rsidP="00FA6045">
            <w:pPr>
              <w:pStyle w:val="TableParagraph"/>
              <w:spacing w:before="192"/>
              <w:ind w:left="723"/>
              <w:rPr>
                <w:rFonts w:ascii="Arial" w:eastAsia="Calibri" w:hAnsi="Arial" w:cs="Arial"/>
                <w:sz w:val="20"/>
                <w:szCs w:val="20"/>
              </w:rPr>
            </w:pPr>
            <w:r w:rsidRPr="00331D2D">
              <w:rPr>
                <w:rFonts w:ascii="Arial" w:hAnsi="Arial" w:cs="Arial"/>
                <w:b/>
                <w:sz w:val="20"/>
                <w:szCs w:val="20"/>
              </w:rPr>
              <w:t>Species</w:t>
            </w:r>
          </w:p>
        </w:tc>
        <w:tc>
          <w:tcPr>
            <w:tcW w:w="2573" w:type="dxa"/>
            <w:tcBorders>
              <w:top w:val="single" w:sz="7" w:space="0" w:color="000000"/>
              <w:left w:val="single" w:sz="7" w:space="0" w:color="000000"/>
              <w:bottom w:val="single" w:sz="7" w:space="0" w:color="000000"/>
              <w:right w:val="single" w:sz="7" w:space="0" w:color="000000"/>
            </w:tcBorders>
            <w:shd w:val="clear" w:color="auto" w:fill="F2F2F2"/>
          </w:tcPr>
          <w:p w:rsidR="00090AF1" w:rsidRPr="00315033" w:rsidRDefault="00090AF1" w:rsidP="00FA6045">
            <w:pPr>
              <w:pStyle w:val="TableParagraph"/>
              <w:spacing w:before="192"/>
              <w:ind w:left="560"/>
              <w:rPr>
                <w:rFonts w:ascii="Arial" w:eastAsia="Calibri" w:hAnsi="Arial" w:cs="Arial"/>
                <w:sz w:val="20"/>
                <w:szCs w:val="20"/>
              </w:rPr>
            </w:pPr>
            <w:r w:rsidRPr="00331D2D">
              <w:rPr>
                <w:rFonts w:ascii="Arial" w:hAnsi="Arial" w:cs="Arial"/>
                <w:b/>
                <w:spacing w:val="-1"/>
                <w:sz w:val="20"/>
                <w:szCs w:val="20"/>
              </w:rPr>
              <w:t>River</w:t>
            </w:r>
            <w:r w:rsidRPr="00331D2D">
              <w:rPr>
                <w:rFonts w:ascii="Arial" w:hAnsi="Arial" w:cs="Arial"/>
                <w:b/>
                <w:spacing w:val="20"/>
                <w:sz w:val="20"/>
                <w:szCs w:val="20"/>
              </w:rPr>
              <w:t xml:space="preserve"> </w:t>
            </w:r>
            <w:r w:rsidRPr="00331D2D">
              <w:rPr>
                <w:rFonts w:ascii="Arial" w:hAnsi="Arial" w:cs="Arial"/>
                <w:b/>
                <w:sz w:val="20"/>
                <w:szCs w:val="20"/>
              </w:rPr>
              <w:t>System</w:t>
            </w:r>
          </w:p>
        </w:tc>
        <w:tc>
          <w:tcPr>
            <w:tcW w:w="1774" w:type="dxa"/>
            <w:tcBorders>
              <w:top w:val="single" w:sz="7" w:space="0" w:color="000000"/>
              <w:left w:val="single" w:sz="7" w:space="0" w:color="000000"/>
              <w:bottom w:val="single" w:sz="7" w:space="0" w:color="000000"/>
              <w:right w:val="single" w:sz="7" w:space="0" w:color="000000"/>
            </w:tcBorders>
            <w:shd w:val="clear" w:color="auto" w:fill="F2F2F2"/>
          </w:tcPr>
          <w:p w:rsidR="00090AF1" w:rsidRPr="00315033" w:rsidRDefault="00090AF1" w:rsidP="00FA6045">
            <w:pPr>
              <w:pStyle w:val="TableParagraph"/>
              <w:spacing w:before="192"/>
              <w:ind w:left="383"/>
              <w:rPr>
                <w:rFonts w:ascii="Arial" w:eastAsia="Calibri" w:hAnsi="Arial" w:cs="Arial"/>
                <w:sz w:val="20"/>
                <w:szCs w:val="20"/>
              </w:rPr>
            </w:pPr>
            <w:r w:rsidRPr="00331D2D">
              <w:rPr>
                <w:rFonts w:ascii="Arial" w:hAnsi="Arial" w:cs="Arial"/>
                <w:b/>
                <w:spacing w:val="-1"/>
                <w:sz w:val="20"/>
                <w:szCs w:val="20"/>
              </w:rPr>
              <w:t>River</w:t>
            </w:r>
            <w:r w:rsidRPr="00331D2D">
              <w:rPr>
                <w:rFonts w:ascii="Arial" w:hAnsi="Arial" w:cs="Arial"/>
                <w:b/>
                <w:spacing w:val="13"/>
                <w:sz w:val="20"/>
                <w:szCs w:val="20"/>
              </w:rPr>
              <w:t xml:space="preserve"> </w:t>
            </w:r>
            <w:r w:rsidRPr="00331D2D">
              <w:rPr>
                <w:rFonts w:ascii="Arial" w:hAnsi="Arial" w:cs="Arial"/>
                <w:b/>
                <w:spacing w:val="1"/>
                <w:sz w:val="20"/>
                <w:szCs w:val="20"/>
              </w:rPr>
              <w:t>km</w:t>
            </w:r>
          </w:p>
        </w:tc>
        <w:tc>
          <w:tcPr>
            <w:tcW w:w="1508" w:type="dxa"/>
            <w:tcBorders>
              <w:top w:val="single" w:sz="7" w:space="0" w:color="000000"/>
              <w:left w:val="single" w:sz="7" w:space="0" w:color="000000"/>
              <w:bottom w:val="single" w:sz="7" w:space="0" w:color="000000"/>
              <w:right w:val="single" w:sz="7" w:space="0" w:color="000000"/>
            </w:tcBorders>
            <w:shd w:val="clear" w:color="auto" w:fill="F2F2F2"/>
          </w:tcPr>
          <w:p w:rsidR="00090AF1" w:rsidRPr="00315033" w:rsidRDefault="00090AF1" w:rsidP="00FA6045">
            <w:pPr>
              <w:pStyle w:val="TableParagraph"/>
              <w:spacing w:before="16"/>
              <w:ind w:left="186" w:right="186"/>
              <w:jc w:val="center"/>
              <w:rPr>
                <w:rFonts w:ascii="Arial" w:eastAsia="Calibri" w:hAnsi="Arial" w:cs="Arial"/>
                <w:sz w:val="20"/>
                <w:szCs w:val="20"/>
              </w:rPr>
            </w:pPr>
            <w:r w:rsidRPr="00331D2D">
              <w:rPr>
                <w:rFonts w:ascii="Arial" w:hAnsi="Arial" w:cs="Arial"/>
                <w:b/>
                <w:spacing w:val="-2"/>
                <w:sz w:val="20"/>
                <w:szCs w:val="20"/>
              </w:rPr>
              <w:t>10</w:t>
            </w:r>
            <w:r w:rsidRPr="008C4B2A">
              <w:rPr>
                <w:rFonts w:ascii="Arial" w:hAnsi="Arial" w:cs="Arial"/>
                <w:b/>
                <w:spacing w:val="-2"/>
                <w:sz w:val="20"/>
                <w:szCs w:val="20"/>
                <w:vertAlign w:val="superscript"/>
              </w:rPr>
              <w:t>th</w:t>
            </w:r>
          </w:p>
          <w:p w:rsidR="00090AF1" w:rsidRPr="00315033" w:rsidRDefault="00090AF1" w:rsidP="00FA6045">
            <w:pPr>
              <w:pStyle w:val="TableParagraph"/>
              <w:spacing w:before="35"/>
              <w:ind w:left="186" w:right="186"/>
              <w:jc w:val="center"/>
              <w:rPr>
                <w:rFonts w:ascii="Arial" w:eastAsia="Calibri" w:hAnsi="Arial" w:cs="Arial"/>
                <w:sz w:val="20"/>
                <w:szCs w:val="20"/>
              </w:rPr>
            </w:pPr>
            <w:r w:rsidRPr="00331D2D">
              <w:rPr>
                <w:rFonts w:ascii="Arial" w:hAnsi="Arial" w:cs="Arial"/>
                <w:b/>
                <w:spacing w:val="-1"/>
                <w:sz w:val="20"/>
                <w:szCs w:val="20"/>
              </w:rPr>
              <w:t>Percentile</w:t>
            </w:r>
          </w:p>
        </w:tc>
        <w:tc>
          <w:tcPr>
            <w:tcW w:w="1183" w:type="dxa"/>
            <w:tcBorders>
              <w:top w:val="single" w:sz="7" w:space="0" w:color="000000"/>
              <w:left w:val="single" w:sz="7" w:space="0" w:color="000000"/>
              <w:bottom w:val="single" w:sz="7" w:space="0" w:color="000000"/>
              <w:right w:val="single" w:sz="7" w:space="0" w:color="000000"/>
            </w:tcBorders>
            <w:shd w:val="clear" w:color="auto" w:fill="F2F2F2"/>
          </w:tcPr>
          <w:p w:rsidR="00090AF1" w:rsidRPr="00315033" w:rsidRDefault="00090AF1" w:rsidP="00FA6045">
            <w:pPr>
              <w:pStyle w:val="TableParagraph"/>
              <w:spacing w:before="192"/>
              <w:ind w:left="146"/>
              <w:rPr>
                <w:rFonts w:ascii="Arial" w:eastAsia="Calibri" w:hAnsi="Arial" w:cs="Arial"/>
                <w:sz w:val="20"/>
                <w:szCs w:val="20"/>
              </w:rPr>
            </w:pPr>
            <w:r w:rsidRPr="00331D2D">
              <w:rPr>
                <w:rFonts w:ascii="Arial" w:hAnsi="Arial" w:cs="Arial"/>
                <w:b/>
                <w:sz w:val="20"/>
                <w:szCs w:val="20"/>
              </w:rPr>
              <w:t>Median</w:t>
            </w:r>
          </w:p>
        </w:tc>
      </w:tr>
      <w:tr w:rsidR="00090AF1" w:rsidRPr="00315033" w:rsidTr="00FA6045">
        <w:trPr>
          <w:trHeight w:hRule="exact" w:val="353"/>
        </w:trPr>
        <w:tc>
          <w:tcPr>
            <w:tcW w:w="2292"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6"/>
              <w:ind w:left="43"/>
              <w:rPr>
                <w:rFonts w:ascii="Arial" w:eastAsia="Calibri" w:hAnsi="Arial" w:cs="Arial"/>
                <w:sz w:val="20"/>
                <w:szCs w:val="20"/>
              </w:rPr>
            </w:pPr>
            <w:r w:rsidRPr="00331D2D">
              <w:rPr>
                <w:rFonts w:ascii="Arial" w:hAnsi="Arial" w:cs="Arial"/>
                <w:sz w:val="20"/>
                <w:szCs w:val="20"/>
              </w:rPr>
              <w:lastRenderedPageBreak/>
              <w:t>Oval</w:t>
            </w:r>
            <w:r w:rsidRPr="00331D2D">
              <w:rPr>
                <w:rFonts w:ascii="Arial" w:hAnsi="Arial" w:cs="Arial"/>
                <w:spacing w:val="16"/>
                <w:sz w:val="20"/>
                <w:szCs w:val="20"/>
              </w:rPr>
              <w:t xml:space="preserve"> </w:t>
            </w:r>
            <w:r w:rsidRPr="00331D2D">
              <w:rPr>
                <w:rFonts w:ascii="Arial" w:hAnsi="Arial" w:cs="Arial"/>
                <w:spacing w:val="-2"/>
                <w:sz w:val="20"/>
                <w:szCs w:val="20"/>
              </w:rPr>
              <w:t>Pigtoe</w:t>
            </w:r>
            <w:r w:rsidRPr="00331D2D">
              <w:rPr>
                <w:rFonts w:ascii="Arial" w:hAnsi="Arial" w:cs="Arial"/>
                <w:spacing w:val="19"/>
                <w:sz w:val="20"/>
                <w:szCs w:val="20"/>
              </w:rPr>
              <w:t xml:space="preserve"> </w:t>
            </w:r>
            <w:r w:rsidRPr="00331D2D">
              <w:rPr>
                <w:rFonts w:ascii="Arial" w:hAnsi="Arial" w:cs="Arial"/>
                <w:spacing w:val="-3"/>
                <w:sz w:val="20"/>
                <w:szCs w:val="20"/>
              </w:rPr>
              <w:t>Mussel</w:t>
            </w:r>
          </w:p>
        </w:tc>
        <w:tc>
          <w:tcPr>
            <w:tcW w:w="257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6"/>
              <w:ind w:left="43"/>
              <w:rPr>
                <w:rFonts w:ascii="Arial" w:eastAsia="Calibri" w:hAnsi="Arial" w:cs="Arial"/>
                <w:sz w:val="20"/>
                <w:szCs w:val="20"/>
              </w:rPr>
            </w:pPr>
            <w:r w:rsidRPr="00331D2D">
              <w:rPr>
                <w:rFonts w:ascii="Arial" w:hAnsi="Arial" w:cs="Arial"/>
                <w:sz w:val="20"/>
                <w:szCs w:val="20"/>
              </w:rPr>
              <w:t>New</w:t>
            </w:r>
            <w:r w:rsidRPr="00331D2D">
              <w:rPr>
                <w:rFonts w:ascii="Arial" w:hAnsi="Arial" w:cs="Arial"/>
                <w:spacing w:val="25"/>
                <w:sz w:val="20"/>
                <w:szCs w:val="20"/>
              </w:rPr>
              <w:t xml:space="preserve"> </w:t>
            </w:r>
            <w:r w:rsidRPr="00331D2D">
              <w:rPr>
                <w:rFonts w:ascii="Arial" w:hAnsi="Arial" w:cs="Arial"/>
                <w:spacing w:val="-1"/>
                <w:sz w:val="20"/>
                <w:szCs w:val="20"/>
              </w:rPr>
              <w:t>River</w:t>
            </w:r>
          </w:p>
        </w:tc>
        <w:tc>
          <w:tcPr>
            <w:tcW w:w="1774"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6"/>
              <w:ind w:left="472"/>
              <w:rPr>
                <w:rFonts w:ascii="Arial" w:eastAsia="Calibri" w:hAnsi="Arial" w:cs="Arial"/>
                <w:sz w:val="20"/>
                <w:szCs w:val="20"/>
              </w:rPr>
            </w:pPr>
            <w:r w:rsidRPr="00331D2D">
              <w:rPr>
                <w:rFonts w:ascii="Arial" w:hAnsi="Arial" w:cs="Arial"/>
                <w:sz w:val="20"/>
                <w:szCs w:val="20"/>
              </w:rPr>
              <w:t>0</w:t>
            </w:r>
            <w:r w:rsidRPr="00331D2D">
              <w:rPr>
                <w:rFonts w:ascii="Arial" w:hAnsi="Arial" w:cs="Arial"/>
                <w:spacing w:val="4"/>
                <w:sz w:val="20"/>
                <w:szCs w:val="20"/>
              </w:rPr>
              <w:t xml:space="preserve"> </w:t>
            </w:r>
            <w:r w:rsidRPr="00331D2D">
              <w:rPr>
                <w:rFonts w:ascii="Arial" w:hAnsi="Arial" w:cs="Arial"/>
                <w:sz w:val="20"/>
                <w:szCs w:val="20"/>
              </w:rPr>
              <w:t>-</w:t>
            </w:r>
            <w:r w:rsidRPr="00331D2D">
              <w:rPr>
                <w:rFonts w:ascii="Arial" w:hAnsi="Arial" w:cs="Arial"/>
                <w:spacing w:val="14"/>
                <w:sz w:val="20"/>
                <w:szCs w:val="20"/>
              </w:rPr>
              <w:t xml:space="preserve"> </w:t>
            </w:r>
            <w:r w:rsidRPr="00331D2D">
              <w:rPr>
                <w:rFonts w:ascii="Arial" w:hAnsi="Arial" w:cs="Arial"/>
                <w:sz w:val="20"/>
                <w:szCs w:val="20"/>
              </w:rPr>
              <w:t>31.5</w:t>
            </w:r>
          </w:p>
        </w:tc>
        <w:tc>
          <w:tcPr>
            <w:tcW w:w="1508"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6"/>
              <w:ind w:left="503" w:right="487"/>
              <w:jc w:val="center"/>
              <w:rPr>
                <w:rFonts w:ascii="Arial" w:eastAsia="Calibri" w:hAnsi="Arial" w:cs="Arial"/>
                <w:sz w:val="20"/>
                <w:szCs w:val="20"/>
              </w:rPr>
            </w:pPr>
            <w:r w:rsidRPr="00331D2D">
              <w:rPr>
                <w:rFonts w:ascii="Arial" w:hAnsi="Arial" w:cs="Arial"/>
                <w:sz w:val="20"/>
                <w:szCs w:val="20"/>
              </w:rPr>
              <w:t>52.5</w:t>
            </w:r>
          </w:p>
        </w:tc>
        <w:tc>
          <w:tcPr>
            <w:tcW w:w="118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6"/>
              <w:ind w:left="353"/>
              <w:rPr>
                <w:rFonts w:ascii="Arial" w:eastAsia="Calibri" w:hAnsi="Arial" w:cs="Arial"/>
                <w:sz w:val="20"/>
                <w:szCs w:val="20"/>
              </w:rPr>
            </w:pPr>
            <w:r w:rsidRPr="00331D2D">
              <w:rPr>
                <w:rFonts w:ascii="Arial" w:hAnsi="Arial" w:cs="Arial"/>
                <w:sz w:val="20"/>
                <w:szCs w:val="20"/>
              </w:rPr>
              <w:t>67.7</w:t>
            </w:r>
          </w:p>
        </w:tc>
      </w:tr>
      <w:tr w:rsidR="00090AF1" w:rsidRPr="00315033" w:rsidTr="00FA6045">
        <w:trPr>
          <w:trHeight w:hRule="exact" w:val="353"/>
        </w:trPr>
        <w:tc>
          <w:tcPr>
            <w:tcW w:w="2292"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6"/>
              <w:ind w:left="43"/>
              <w:rPr>
                <w:rFonts w:ascii="Arial" w:eastAsia="Calibri" w:hAnsi="Arial" w:cs="Arial"/>
                <w:sz w:val="20"/>
                <w:szCs w:val="20"/>
              </w:rPr>
            </w:pPr>
            <w:r w:rsidRPr="00331D2D">
              <w:rPr>
                <w:rFonts w:ascii="Arial" w:hAnsi="Arial" w:cs="Arial"/>
                <w:spacing w:val="-4"/>
                <w:sz w:val="20"/>
                <w:szCs w:val="20"/>
              </w:rPr>
              <w:t>Gulf</w:t>
            </w:r>
            <w:r w:rsidRPr="00331D2D">
              <w:rPr>
                <w:rFonts w:ascii="Arial" w:hAnsi="Arial" w:cs="Arial"/>
                <w:spacing w:val="34"/>
                <w:sz w:val="20"/>
                <w:szCs w:val="20"/>
              </w:rPr>
              <w:t xml:space="preserve"> </w:t>
            </w:r>
            <w:r w:rsidRPr="00331D2D">
              <w:rPr>
                <w:rFonts w:ascii="Arial" w:hAnsi="Arial" w:cs="Arial"/>
                <w:spacing w:val="-3"/>
                <w:sz w:val="20"/>
                <w:szCs w:val="20"/>
              </w:rPr>
              <w:t>Sturgeon</w:t>
            </w:r>
          </w:p>
        </w:tc>
        <w:tc>
          <w:tcPr>
            <w:tcW w:w="257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6"/>
              <w:ind w:left="43"/>
              <w:rPr>
                <w:rFonts w:ascii="Arial" w:eastAsia="Calibri" w:hAnsi="Arial" w:cs="Arial"/>
                <w:sz w:val="20"/>
                <w:szCs w:val="20"/>
              </w:rPr>
            </w:pPr>
            <w:r w:rsidRPr="00331D2D">
              <w:rPr>
                <w:rFonts w:ascii="Arial" w:hAnsi="Arial" w:cs="Arial"/>
                <w:spacing w:val="-2"/>
                <w:sz w:val="20"/>
                <w:szCs w:val="20"/>
              </w:rPr>
              <w:t>Santa</w:t>
            </w:r>
            <w:r w:rsidRPr="00331D2D">
              <w:rPr>
                <w:rFonts w:ascii="Arial" w:hAnsi="Arial" w:cs="Arial"/>
                <w:spacing w:val="19"/>
                <w:sz w:val="20"/>
                <w:szCs w:val="20"/>
              </w:rPr>
              <w:t xml:space="preserve"> </w:t>
            </w:r>
            <w:r w:rsidRPr="00331D2D">
              <w:rPr>
                <w:rFonts w:ascii="Arial" w:hAnsi="Arial" w:cs="Arial"/>
                <w:spacing w:val="-3"/>
                <w:sz w:val="20"/>
                <w:szCs w:val="20"/>
              </w:rPr>
              <w:t>Fe</w:t>
            </w:r>
            <w:r w:rsidRPr="00331D2D">
              <w:rPr>
                <w:rFonts w:ascii="Arial" w:hAnsi="Arial" w:cs="Arial"/>
                <w:spacing w:val="13"/>
                <w:sz w:val="20"/>
                <w:szCs w:val="20"/>
              </w:rPr>
              <w:t xml:space="preserve"> </w:t>
            </w:r>
            <w:r w:rsidRPr="00331D2D">
              <w:rPr>
                <w:rFonts w:ascii="Arial" w:hAnsi="Arial" w:cs="Arial"/>
                <w:spacing w:val="-1"/>
                <w:sz w:val="20"/>
                <w:szCs w:val="20"/>
              </w:rPr>
              <w:t>River</w:t>
            </w:r>
          </w:p>
        </w:tc>
        <w:tc>
          <w:tcPr>
            <w:tcW w:w="1774"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6"/>
              <w:ind w:left="472"/>
              <w:rPr>
                <w:rFonts w:ascii="Arial" w:eastAsia="Calibri" w:hAnsi="Arial" w:cs="Arial"/>
                <w:sz w:val="20"/>
                <w:szCs w:val="20"/>
              </w:rPr>
            </w:pPr>
            <w:r w:rsidRPr="00331D2D">
              <w:rPr>
                <w:rFonts w:ascii="Arial" w:hAnsi="Arial" w:cs="Arial"/>
                <w:sz w:val="20"/>
                <w:szCs w:val="20"/>
              </w:rPr>
              <w:t>0</w:t>
            </w:r>
            <w:r w:rsidRPr="00331D2D">
              <w:rPr>
                <w:rFonts w:ascii="Arial" w:hAnsi="Arial" w:cs="Arial"/>
                <w:spacing w:val="4"/>
                <w:sz w:val="20"/>
                <w:szCs w:val="20"/>
              </w:rPr>
              <w:t xml:space="preserve"> </w:t>
            </w:r>
            <w:r w:rsidRPr="00331D2D">
              <w:rPr>
                <w:rFonts w:ascii="Arial" w:hAnsi="Arial" w:cs="Arial"/>
                <w:sz w:val="20"/>
                <w:szCs w:val="20"/>
              </w:rPr>
              <w:t>-</w:t>
            </w:r>
            <w:r w:rsidRPr="00331D2D">
              <w:rPr>
                <w:rFonts w:ascii="Arial" w:hAnsi="Arial" w:cs="Arial"/>
                <w:spacing w:val="14"/>
                <w:sz w:val="20"/>
                <w:szCs w:val="20"/>
              </w:rPr>
              <w:t xml:space="preserve"> </w:t>
            </w:r>
            <w:r w:rsidRPr="00331D2D">
              <w:rPr>
                <w:rFonts w:ascii="Arial" w:hAnsi="Arial" w:cs="Arial"/>
                <w:sz w:val="20"/>
                <w:szCs w:val="20"/>
              </w:rPr>
              <w:t>17.1</w:t>
            </w:r>
          </w:p>
        </w:tc>
        <w:tc>
          <w:tcPr>
            <w:tcW w:w="1508"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6"/>
              <w:ind w:left="503" w:right="487"/>
              <w:jc w:val="center"/>
              <w:rPr>
                <w:rFonts w:ascii="Arial" w:eastAsia="Calibri" w:hAnsi="Arial" w:cs="Arial"/>
                <w:sz w:val="20"/>
                <w:szCs w:val="20"/>
              </w:rPr>
            </w:pPr>
            <w:r w:rsidRPr="00331D2D">
              <w:rPr>
                <w:rFonts w:ascii="Arial" w:hAnsi="Arial" w:cs="Arial"/>
                <w:sz w:val="20"/>
                <w:szCs w:val="20"/>
              </w:rPr>
              <w:t>50.9</w:t>
            </w:r>
          </w:p>
        </w:tc>
        <w:tc>
          <w:tcPr>
            <w:tcW w:w="118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6"/>
              <w:ind w:left="353"/>
              <w:rPr>
                <w:rFonts w:ascii="Arial" w:eastAsia="Calibri" w:hAnsi="Arial" w:cs="Arial"/>
                <w:sz w:val="20"/>
                <w:szCs w:val="20"/>
              </w:rPr>
            </w:pPr>
            <w:r w:rsidRPr="00331D2D">
              <w:rPr>
                <w:rFonts w:ascii="Arial" w:hAnsi="Arial" w:cs="Arial"/>
                <w:sz w:val="20"/>
                <w:szCs w:val="20"/>
              </w:rPr>
              <w:t>66.0</w:t>
            </w:r>
          </w:p>
        </w:tc>
      </w:tr>
      <w:tr w:rsidR="00090AF1" w:rsidRPr="00315033" w:rsidTr="00FA6045">
        <w:trPr>
          <w:trHeight w:hRule="exact" w:val="353"/>
        </w:trPr>
        <w:tc>
          <w:tcPr>
            <w:tcW w:w="2292"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4"/>
                <w:sz w:val="20"/>
                <w:szCs w:val="20"/>
              </w:rPr>
              <w:t>Gulf</w:t>
            </w:r>
            <w:r w:rsidRPr="00331D2D">
              <w:rPr>
                <w:rFonts w:ascii="Arial" w:hAnsi="Arial" w:cs="Arial"/>
                <w:spacing w:val="34"/>
                <w:sz w:val="20"/>
                <w:szCs w:val="20"/>
              </w:rPr>
              <w:t xml:space="preserve"> </w:t>
            </w:r>
            <w:r w:rsidRPr="00331D2D">
              <w:rPr>
                <w:rFonts w:ascii="Arial" w:hAnsi="Arial" w:cs="Arial"/>
                <w:spacing w:val="-3"/>
                <w:sz w:val="20"/>
                <w:szCs w:val="20"/>
              </w:rPr>
              <w:t>Sturgeon</w:t>
            </w:r>
          </w:p>
        </w:tc>
        <w:tc>
          <w:tcPr>
            <w:tcW w:w="257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2"/>
                <w:sz w:val="20"/>
                <w:szCs w:val="20"/>
              </w:rPr>
              <w:t>Santa</w:t>
            </w:r>
            <w:r w:rsidRPr="00331D2D">
              <w:rPr>
                <w:rFonts w:ascii="Arial" w:hAnsi="Arial" w:cs="Arial"/>
                <w:spacing w:val="19"/>
                <w:sz w:val="20"/>
                <w:szCs w:val="20"/>
              </w:rPr>
              <w:t xml:space="preserve"> </w:t>
            </w:r>
            <w:r w:rsidRPr="00331D2D">
              <w:rPr>
                <w:rFonts w:ascii="Arial" w:hAnsi="Arial" w:cs="Arial"/>
                <w:spacing w:val="-3"/>
                <w:sz w:val="20"/>
                <w:szCs w:val="20"/>
              </w:rPr>
              <w:t>Fe</w:t>
            </w:r>
            <w:r w:rsidRPr="00331D2D">
              <w:rPr>
                <w:rFonts w:ascii="Arial" w:hAnsi="Arial" w:cs="Arial"/>
                <w:spacing w:val="13"/>
                <w:sz w:val="20"/>
                <w:szCs w:val="20"/>
              </w:rPr>
              <w:t xml:space="preserve"> </w:t>
            </w:r>
            <w:r w:rsidRPr="00331D2D">
              <w:rPr>
                <w:rFonts w:ascii="Arial" w:hAnsi="Arial" w:cs="Arial"/>
                <w:spacing w:val="-1"/>
                <w:sz w:val="20"/>
                <w:szCs w:val="20"/>
              </w:rPr>
              <w:t>River</w:t>
            </w:r>
          </w:p>
        </w:tc>
        <w:tc>
          <w:tcPr>
            <w:tcW w:w="1774"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309"/>
              <w:rPr>
                <w:rFonts w:ascii="Arial" w:eastAsia="Calibri" w:hAnsi="Arial" w:cs="Arial"/>
                <w:sz w:val="20"/>
                <w:szCs w:val="20"/>
              </w:rPr>
            </w:pPr>
            <w:r w:rsidRPr="00331D2D">
              <w:rPr>
                <w:rFonts w:ascii="Arial" w:hAnsi="Arial" w:cs="Arial"/>
                <w:sz w:val="20"/>
                <w:szCs w:val="20"/>
              </w:rPr>
              <w:t>17.1</w:t>
            </w:r>
            <w:r w:rsidRPr="00331D2D">
              <w:rPr>
                <w:rFonts w:ascii="Arial" w:hAnsi="Arial" w:cs="Arial"/>
                <w:spacing w:val="7"/>
                <w:sz w:val="20"/>
                <w:szCs w:val="20"/>
              </w:rPr>
              <w:t xml:space="preserve"> </w:t>
            </w:r>
            <w:r w:rsidRPr="00331D2D">
              <w:rPr>
                <w:rFonts w:ascii="Arial" w:hAnsi="Arial" w:cs="Arial"/>
                <w:sz w:val="20"/>
                <w:szCs w:val="20"/>
              </w:rPr>
              <w:t>-</w:t>
            </w:r>
            <w:r w:rsidRPr="00331D2D">
              <w:rPr>
                <w:rFonts w:ascii="Arial" w:hAnsi="Arial" w:cs="Arial"/>
                <w:spacing w:val="18"/>
                <w:sz w:val="20"/>
                <w:szCs w:val="20"/>
              </w:rPr>
              <w:t xml:space="preserve"> </w:t>
            </w:r>
            <w:r w:rsidRPr="00331D2D">
              <w:rPr>
                <w:rFonts w:ascii="Arial" w:hAnsi="Arial" w:cs="Arial"/>
                <w:sz w:val="20"/>
                <w:szCs w:val="20"/>
              </w:rPr>
              <w:t>31.1</w:t>
            </w:r>
          </w:p>
        </w:tc>
        <w:tc>
          <w:tcPr>
            <w:tcW w:w="1508"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503" w:right="487"/>
              <w:jc w:val="center"/>
              <w:rPr>
                <w:rFonts w:ascii="Arial" w:eastAsia="Calibri" w:hAnsi="Arial" w:cs="Arial"/>
                <w:sz w:val="20"/>
                <w:szCs w:val="20"/>
              </w:rPr>
            </w:pPr>
            <w:r w:rsidRPr="00331D2D">
              <w:rPr>
                <w:rFonts w:ascii="Arial" w:hAnsi="Arial" w:cs="Arial"/>
                <w:sz w:val="20"/>
                <w:szCs w:val="20"/>
              </w:rPr>
              <w:t>47.6</w:t>
            </w:r>
          </w:p>
        </w:tc>
        <w:tc>
          <w:tcPr>
            <w:tcW w:w="118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353"/>
              <w:rPr>
                <w:rFonts w:ascii="Arial" w:eastAsia="Calibri" w:hAnsi="Arial" w:cs="Arial"/>
                <w:sz w:val="20"/>
                <w:szCs w:val="20"/>
              </w:rPr>
            </w:pPr>
            <w:r w:rsidRPr="00331D2D">
              <w:rPr>
                <w:rFonts w:ascii="Arial" w:hAnsi="Arial" w:cs="Arial"/>
                <w:sz w:val="20"/>
                <w:szCs w:val="20"/>
              </w:rPr>
              <w:t>74.0</w:t>
            </w:r>
          </w:p>
        </w:tc>
      </w:tr>
      <w:tr w:rsidR="00090AF1" w:rsidRPr="00315033" w:rsidTr="00FA6045">
        <w:trPr>
          <w:trHeight w:hRule="exact" w:val="353"/>
        </w:trPr>
        <w:tc>
          <w:tcPr>
            <w:tcW w:w="2292"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4"/>
                <w:sz w:val="20"/>
                <w:szCs w:val="20"/>
              </w:rPr>
              <w:t>Gulf</w:t>
            </w:r>
            <w:r w:rsidRPr="00331D2D">
              <w:rPr>
                <w:rFonts w:ascii="Arial" w:hAnsi="Arial" w:cs="Arial"/>
                <w:spacing w:val="34"/>
                <w:sz w:val="20"/>
                <w:szCs w:val="20"/>
              </w:rPr>
              <w:t xml:space="preserve"> </w:t>
            </w:r>
            <w:r w:rsidRPr="00331D2D">
              <w:rPr>
                <w:rFonts w:ascii="Arial" w:hAnsi="Arial" w:cs="Arial"/>
                <w:spacing w:val="-3"/>
                <w:sz w:val="20"/>
                <w:szCs w:val="20"/>
              </w:rPr>
              <w:t>Sturgeon</w:t>
            </w:r>
          </w:p>
        </w:tc>
        <w:tc>
          <w:tcPr>
            <w:tcW w:w="257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2"/>
                <w:sz w:val="20"/>
                <w:szCs w:val="20"/>
              </w:rPr>
              <w:t>Santa</w:t>
            </w:r>
            <w:r w:rsidRPr="00331D2D">
              <w:rPr>
                <w:rFonts w:ascii="Arial" w:hAnsi="Arial" w:cs="Arial"/>
                <w:spacing w:val="19"/>
                <w:sz w:val="20"/>
                <w:szCs w:val="20"/>
              </w:rPr>
              <w:t xml:space="preserve"> </w:t>
            </w:r>
            <w:r w:rsidRPr="00331D2D">
              <w:rPr>
                <w:rFonts w:ascii="Arial" w:hAnsi="Arial" w:cs="Arial"/>
                <w:spacing w:val="-3"/>
                <w:sz w:val="20"/>
                <w:szCs w:val="20"/>
              </w:rPr>
              <w:t>Fe</w:t>
            </w:r>
            <w:r w:rsidRPr="00331D2D">
              <w:rPr>
                <w:rFonts w:ascii="Arial" w:hAnsi="Arial" w:cs="Arial"/>
                <w:spacing w:val="13"/>
                <w:sz w:val="20"/>
                <w:szCs w:val="20"/>
              </w:rPr>
              <w:t xml:space="preserve"> </w:t>
            </w:r>
            <w:r w:rsidRPr="00331D2D">
              <w:rPr>
                <w:rFonts w:ascii="Arial" w:hAnsi="Arial" w:cs="Arial"/>
                <w:spacing w:val="-1"/>
                <w:sz w:val="20"/>
                <w:szCs w:val="20"/>
              </w:rPr>
              <w:t>River</w:t>
            </w:r>
          </w:p>
        </w:tc>
        <w:tc>
          <w:tcPr>
            <w:tcW w:w="1774"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309"/>
              <w:rPr>
                <w:rFonts w:ascii="Arial" w:eastAsia="Calibri" w:hAnsi="Arial" w:cs="Arial"/>
                <w:sz w:val="20"/>
                <w:szCs w:val="20"/>
              </w:rPr>
            </w:pPr>
            <w:r w:rsidRPr="00331D2D">
              <w:rPr>
                <w:rFonts w:ascii="Arial" w:hAnsi="Arial" w:cs="Arial"/>
                <w:sz w:val="20"/>
                <w:szCs w:val="20"/>
              </w:rPr>
              <w:t>31.1</w:t>
            </w:r>
            <w:r w:rsidRPr="00331D2D">
              <w:rPr>
                <w:rFonts w:ascii="Arial" w:hAnsi="Arial" w:cs="Arial"/>
                <w:spacing w:val="7"/>
                <w:sz w:val="20"/>
                <w:szCs w:val="20"/>
              </w:rPr>
              <w:t xml:space="preserve"> </w:t>
            </w:r>
            <w:r w:rsidRPr="00331D2D">
              <w:rPr>
                <w:rFonts w:ascii="Arial" w:hAnsi="Arial" w:cs="Arial"/>
                <w:sz w:val="20"/>
                <w:szCs w:val="20"/>
              </w:rPr>
              <w:t>-</w:t>
            </w:r>
            <w:r w:rsidRPr="00331D2D">
              <w:rPr>
                <w:rFonts w:ascii="Arial" w:hAnsi="Arial" w:cs="Arial"/>
                <w:spacing w:val="18"/>
                <w:sz w:val="20"/>
                <w:szCs w:val="20"/>
              </w:rPr>
              <w:t xml:space="preserve"> </w:t>
            </w:r>
            <w:r w:rsidRPr="00331D2D">
              <w:rPr>
                <w:rFonts w:ascii="Arial" w:hAnsi="Arial" w:cs="Arial"/>
                <w:sz w:val="20"/>
                <w:szCs w:val="20"/>
              </w:rPr>
              <w:t>71.6</w:t>
            </w:r>
          </w:p>
        </w:tc>
        <w:tc>
          <w:tcPr>
            <w:tcW w:w="1508"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503" w:right="487"/>
              <w:jc w:val="center"/>
              <w:rPr>
                <w:rFonts w:ascii="Arial" w:eastAsia="Calibri" w:hAnsi="Arial" w:cs="Arial"/>
                <w:sz w:val="20"/>
                <w:szCs w:val="20"/>
              </w:rPr>
            </w:pPr>
            <w:r w:rsidRPr="00331D2D">
              <w:rPr>
                <w:rFonts w:ascii="Arial" w:hAnsi="Arial" w:cs="Arial"/>
                <w:sz w:val="20"/>
                <w:szCs w:val="20"/>
              </w:rPr>
              <w:t>30.7</w:t>
            </w:r>
          </w:p>
        </w:tc>
        <w:tc>
          <w:tcPr>
            <w:tcW w:w="118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353"/>
              <w:rPr>
                <w:rFonts w:ascii="Arial" w:eastAsia="Calibri" w:hAnsi="Arial" w:cs="Arial"/>
                <w:sz w:val="20"/>
                <w:szCs w:val="20"/>
              </w:rPr>
            </w:pPr>
            <w:r w:rsidRPr="00331D2D">
              <w:rPr>
                <w:rFonts w:ascii="Arial" w:hAnsi="Arial" w:cs="Arial"/>
                <w:sz w:val="20"/>
                <w:szCs w:val="20"/>
              </w:rPr>
              <w:t>53.6</w:t>
            </w:r>
          </w:p>
        </w:tc>
      </w:tr>
      <w:tr w:rsidR="00090AF1" w:rsidRPr="00315033" w:rsidTr="00FA6045">
        <w:trPr>
          <w:trHeight w:hRule="exact" w:val="353"/>
        </w:trPr>
        <w:tc>
          <w:tcPr>
            <w:tcW w:w="2292"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z w:val="20"/>
                <w:szCs w:val="20"/>
              </w:rPr>
              <w:t>Oval</w:t>
            </w:r>
            <w:r w:rsidRPr="00331D2D">
              <w:rPr>
                <w:rFonts w:ascii="Arial" w:hAnsi="Arial" w:cs="Arial"/>
                <w:spacing w:val="16"/>
                <w:sz w:val="20"/>
                <w:szCs w:val="20"/>
              </w:rPr>
              <w:t xml:space="preserve"> </w:t>
            </w:r>
            <w:r w:rsidRPr="00331D2D">
              <w:rPr>
                <w:rFonts w:ascii="Arial" w:hAnsi="Arial" w:cs="Arial"/>
                <w:spacing w:val="-2"/>
                <w:sz w:val="20"/>
                <w:szCs w:val="20"/>
              </w:rPr>
              <w:t>Pigtoe</w:t>
            </w:r>
            <w:r w:rsidRPr="00331D2D">
              <w:rPr>
                <w:rFonts w:ascii="Arial" w:hAnsi="Arial" w:cs="Arial"/>
                <w:spacing w:val="19"/>
                <w:sz w:val="20"/>
                <w:szCs w:val="20"/>
              </w:rPr>
              <w:t xml:space="preserve"> </w:t>
            </w:r>
            <w:r w:rsidRPr="00331D2D">
              <w:rPr>
                <w:rFonts w:ascii="Arial" w:hAnsi="Arial" w:cs="Arial"/>
                <w:spacing w:val="-3"/>
                <w:sz w:val="20"/>
                <w:szCs w:val="20"/>
              </w:rPr>
              <w:t>Mussel</w:t>
            </w:r>
          </w:p>
        </w:tc>
        <w:tc>
          <w:tcPr>
            <w:tcW w:w="257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2"/>
                <w:sz w:val="20"/>
                <w:szCs w:val="20"/>
              </w:rPr>
              <w:t>Santa</w:t>
            </w:r>
            <w:r w:rsidRPr="00331D2D">
              <w:rPr>
                <w:rFonts w:ascii="Arial" w:hAnsi="Arial" w:cs="Arial"/>
                <w:spacing w:val="19"/>
                <w:sz w:val="20"/>
                <w:szCs w:val="20"/>
              </w:rPr>
              <w:t xml:space="preserve"> </w:t>
            </w:r>
            <w:r w:rsidRPr="00331D2D">
              <w:rPr>
                <w:rFonts w:ascii="Arial" w:hAnsi="Arial" w:cs="Arial"/>
                <w:spacing w:val="-3"/>
                <w:sz w:val="20"/>
                <w:szCs w:val="20"/>
              </w:rPr>
              <w:t>Fe</w:t>
            </w:r>
            <w:r w:rsidRPr="00331D2D">
              <w:rPr>
                <w:rFonts w:ascii="Arial" w:hAnsi="Arial" w:cs="Arial"/>
                <w:spacing w:val="13"/>
                <w:sz w:val="20"/>
                <w:szCs w:val="20"/>
              </w:rPr>
              <w:t xml:space="preserve"> </w:t>
            </w:r>
            <w:r w:rsidRPr="00331D2D">
              <w:rPr>
                <w:rFonts w:ascii="Arial" w:hAnsi="Arial" w:cs="Arial"/>
                <w:spacing w:val="-1"/>
                <w:sz w:val="20"/>
                <w:szCs w:val="20"/>
              </w:rPr>
              <w:t>River</w:t>
            </w:r>
          </w:p>
        </w:tc>
        <w:tc>
          <w:tcPr>
            <w:tcW w:w="1774"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309"/>
              <w:rPr>
                <w:rFonts w:ascii="Arial" w:eastAsia="Calibri" w:hAnsi="Arial" w:cs="Arial"/>
                <w:sz w:val="20"/>
                <w:szCs w:val="20"/>
              </w:rPr>
            </w:pPr>
            <w:r w:rsidRPr="00331D2D">
              <w:rPr>
                <w:rFonts w:ascii="Arial" w:hAnsi="Arial" w:cs="Arial"/>
                <w:sz w:val="20"/>
                <w:szCs w:val="20"/>
              </w:rPr>
              <w:t>71.6</w:t>
            </w:r>
            <w:r w:rsidRPr="00331D2D">
              <w:rPr>
                <w:rFonts w:ascii="Arial" w:hAnsi="Arial" w:cs="Arial"/>
                <w:spacing w:val="7"/>
                <w:sz w:val="20"/>
                <w:szCs w:val="20"/>
              </w:rPr>
              <w:t xml:space="preserve"> </w:t>
            </w:r>
            <w:r w:rsidRPr="00331D2D">
              <w:rPr>
                <w:rFonts w:ascii="Arial" w:hAnsi="Arial" w:cs="Arial"/>
                <w:sz w:val="20"/>
                <w:szCs w:val="20"/>
              </w:rPr>
              <w:t>-</w:t>
            </w:r>
            <w:r w:rsidRPr="00331D2D">
              <w:rPr>
                <w:rFonts w:ascii="Arial" w:hAnsi="Arial" w:cs="Arial"/>
                <w:spacing w:val="18"/>
                <w:sz w:val="20"/>
                <w:szCs w:val="20"/>
              </w:rPr>
              <w:t xml:space="preserve"> </w:t>
            </w:r>
            <w:r w:rsidRPr="00331D2D">
              <w:rPr>
                <w:rFonts w:ascii="Arial" w:hAnsi="Arial" w:cs="Arial"/>
                <w:sz w:val="20"/>
                <w:szCs w:val="20"/>
              </w:rPr>
              <w:t>87.7</w:t>
            </w:r>
          </w:p>
        </w:tc>
        <w:tc>
          <w:tcPr>
            <w:tcW w:w="1508"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503" w:right="487"/>
              <w:jc w:val="center"/>
              <w:rPr>
                <w:rFonts w:ascii="Arial" w:eastAsia="Calibri" w:hAnsi="Arial" w:cs="Arial"/>
                <w:sz w:val="20"/>
                <w:szCs w:val="20"/>
              </w:rPr>
            </w:pPr>
            <w:r w:rsidRPr="00331D2D">
              <w:rPr>
                <w:rFonts w:ascii="Arial" w:hAnsi="Arial" w:cs="Arial"/>
                <w:sz w:val="20"/>
                <w:szCs w:val="20"/>
              </w:rPr>
              <w:t>59.5</w:t>
            </w:r>
          </w:p>
        </w:tc>
        <w:tc>
          <w:tcPr>
            <w:tcW w:w="118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353"/>
              <w:rPr>
                <w:rFonts w:ascii="Arial" w:eastAsia="Calibri" w:hAnsi="Arial" w:cs="Arial"/>
                <w:sz w:val="20"/>
                <w:szCs w:val="20"/>
              </w:rPr>
            </w:pPr>
            <w:r w:rsidRPr="00331D2D">
              <w:rPr>
                <w:rFonts w:ascii="Arial" w:hAnsi="Arial" w:cs="Arial"/>
                <w:sz w:val="20"/>
                <w:szCs w:val="20"/>
              </w:rPr>
              <w:t>73.0</w:t>
            </w:r>
          </w:p>
        </w:tc>
      </w:tr>
      <w:tr w:rsidR="00090AF1" w:rsidRPr="00315033" w:rsidTr="00FA6045">
        <w:trPr>
          <w:trHeight w:hRule="exact" w:val="353"/>
        </w:trPr>
        <w:tc>
          <w:tcPr>
            <w:tcW w:w="2292"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z w:val="20"/>
                <w:szCs w:val="20"/>
              </w:rPr>
              <w:t>Oval</w:t>
            </w:r>
            <w:r w:rsidRPr="00331D2D">
              <w:rPr>
                <w:rFonts w:ascii="Arial" w:hAnsi="Arial" w:cs="Arial"/>
                <w:spacing w:val="16"/>
                <w:sz w:val="20"/>
                <w:szCs w:val="20"/>
              </w:rPr>
              <w:t xml:space="preserve"> </w:t>
            </w:r>
            <w:r w:rsidRPr="00331D2D">
              <w:rPr>
                <w:rFonts w:ascii="Arial" w:hAnsi="Arial" w:cs="Arial"/>
                <w:spacing w:val="-2"/>
                <w:sz w:val="20"/>
                <w:szCs w:val="20"/>
              </w:rPr>
              <w:t>Pigtoe</w:t>
            </w:r>
            <w:r w:rsidRPr="00331D2D">
              <w:rPr>
                <w:rFonts w:ascii="Arial" w:hAnsi="Arial" w:cs="Arial"/>
                <w:spacing w:val="19"/>
                <w:sz w:val="20"/>
                <w:szCs w:val="20"/>
              </w:rPr>
              <w:t xml:space="preserve"> </w:t>
            </w:r>
            <w:r w:rsidRPr="00331D2D">
              <w:rPr>
                <w:rFonts w:ascii="Arial" w:hAnsi="Arial" w:cs="Arial"/>
                <w:spacing w:val="-3"/>
                <w:sz w:val="20"/>
                <w:szCs w:val="20"/>
              </w:rPr>
              <w:t>Mussel</w:t>
            </w:r>
          </w:p>
        </w:tc>
        <w:tc>
          <w:tcPr>
            <w:tcW w:w="257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2"/>
                <w:sz w:val="20"/>
                <w:szCs w:val="20"/>
              </w:rPr>
              <w:t>Santa</w:t>
            </w:r>
            <w:r w:rsidRPr="00331D2D">
              <w:rPr>
                <w:rFonts w:ascii="Arial" w:hAnsi="Arial" w:cs="Arial"/>
                <w:spacing w:val="19"/>
                <w:sz w:val="20"/>
                <w:szCs w:val="20"/>
              </w:rPr>
              <w:t xml:space="preserve"> </w:t>
            </w:r>
            <w:r w:rsidRPr="00331D2D">
              <w:rPr>
                <w:rFonts w:ascii="Arial" w:hAnsi="Arial" w:cs="Arial"/>
                <w:spacing w:val="-3"/>
                <w:sz w:val="20"/>
                <w:szCs w:val="20"/>
              </w:rPr>
              <w:t>Fe</w:t>
            </w:r>
            <w:r w:rsidRPr="00331D2D">
              <w:rPr>
                <w:rFonts w:ascii="Arial" w:hAnsi="Arial" w:cs="Arial"/>
                <w:spacing w:val="13"/>
                <w:sz w:val="20"/>
                <w:szCs w:val="20"/>
              </w:rPr>
              <w:t xml:space="preserve"> </w:t>
            </w:r>
            <w:r w:rsidRPr="00331D2D">
              <w:rPr>
                <w:rFonts w:ascii="Arial" w:hAnsi="Arial" w:cs="Arial"/>
                <w:spacing w:val="-1"/>
                <w:sz w:val="20"/>
                <w:szCs w:val="20"/>
              </w:rPr>
              <w:t>River</w:t>
            </w:r>
          </w:p>
        </w:tc>
        <w:tc>
          <w:tcPr>
            <w:tcW w:w="1774"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235"/>
              <w:rPr>
                <w:rFonts w:ascii="Arial" w:eastAsia="Calibri" w:hAnsi="Arial" w:cs="Arial"/>
                <w:sz w:val="20"/>
                <w:szCs w:val="20"/>
              </w:rPr>
            </w:pPr>
            <w:r w:rsidRPr="00331D2D">
              <w:rPr>
                <w:rFonts w:ascii="Arial" w:hAnsi="Arial" w:cs="Arial"/>
                <w:sz w:val="20"/>
                <w:szCs w:val="20"/>
              </w:rPr>
              <w:t>87.7</w:t>
            </w:r>
            <w:r w:rsidRPr="00331D2D">
              <w:rPr>
                <w:rFonts w:ascii="Arial" w:hAnsi="Arial" w:cs="Arial"/>
                <w:spacing w:val="8"/>
                <w:sz w:val="20"/>
                <w:szCs w:val="20"/>
              </w:rPr>
              <w:t xml:space="preserve"> </w:t>
            </w:r>
            <w:r w:rsidRPr="00331D2D">
              <w:rPr>
                <w:rFonts w:ascii="Arial" w:hAnsi="Arial" w:cs="Arial"/>
                <w:sz w:val="20"/>
                <w:szCs w:val="20"/>
              </w:rPr>
              <w:t>-</w:t>
            </w:r>
            <w:r w:rsidRPr="00331D2D">
              <w:rPr>
                <w:rFonts w:ascii="Arial" w:hAnsi="Arial" w:cs="Arial"/>
                <w:spacing w:val="19"/>
                <w:sz w:val="20"/>
                <w:szCs w:val="20"/>
              </w:rPr>
              <w:t xml:space="preserve"> </w:t>
            </w:r>
            <w:r w:rsidRPr="00331D2D">
              <w:rPr>
                <w:rFonts w:ascii="Arial" w:hAnsi="Arial" w:cs="Arial"/>
                <w:sz w:val="20"/>
                <w:szCs w:val="20"/>
              </w:rPr>
              <w:t>104.5</w:t>
            </w:r>
          </w:p>
        </w:tc>
        <w:tc>
          <w:tcPr>
            <w:tcW w:w="1508"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503" w:right="487"/>
              <w:jc w:val="center"/>
              <w:rPr>
                <w:rFonts w:ascii="Arial" w:eastAsia="Calibri" w:hAnsi="Arial" w:cs="Arial"/>
                <w:sz w:val="20"/>
                <w:szCs w:val="20"/>
              </w:rPr>
            </w:pPr>
            <w:r w:rsidRPr="00331D2D">
              <w:rPr>
                <w:rFonts w:ascii="Arial" w:hAnsi="Arial" w:cs="Arial"/>
                <w:sz w:val="20"/>
                <w:szCs w:val="20"/>
              </w:rPr>
              <w:t>46.1</w:t>
            </w:r>
          </w:p>
        </w:tc>
        <w:tc>
          <w:tcPr>
            <w:tcW w:w="118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353"/>
              <w:rPr>
                <w:rFonts w:ascii="Arial" w:eastAsia="Calibri" w:hAnsi="Arial" w:cs="Arial"/>
                <w:sz w:val="20"/>
                <w:szCs w:val="20"/>
              </w:rPr>
            </w:pPr>
            <w:r w:rsidRPr="00331D2D">
              <w:rPr>
                <w:rFonts w:ascii="Arial" w:hAnsi="Arial" w:cs="Arial"/>
                <w:sz w:val="20"/>
                <w:szCs w:val="20"/>
              </w:rPr>
              <w:t>69.2</w:t>
            </w:r>
          </w:p>
        </w:tc>
      </w:tr>
      <w:tr w:rsidR="00090AF1" w:rsidRPr="00315033" w:rsidTr="00FA6045">
        <w:trPr>
          <w:trHeight w:hRule="exact" w:val="353"/>
        </w:trPr>
        <w:tc>
          <w:tcPr>
            <w:tcW w:w="2292"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z w:val="20"/>
                <w:szCs w:val="20"/>
              </w:rPr>
              <w:t>Oval</w:t>
            </w:r>
            <w:r w:rsidRPr="00331D2D">
              <w:rPr>
                <w:rFonts w:ascii="Arial" w:hAnsi="Arial" w:cs="Arial"/>
                <w:spacing w:val="16"/>
                <w:sz w:val="20"/>
                <w:szCs w:val="20"/>
              </w:rPr>
              <w:t xml:space="preserve"> </w:t>
            </w:r>
            <w:r w:rsidRPr="00331D2D">
              <w:rPr>
                <w:rFonts w:ascii="Arial" w:hAnsi="Arial" w:cs="Arial"/>
                <w:spacing w:val="-2"/>
                <w:sz w:val="20"/>
                <w:szCs w:val="20"/>
              </w:rPr>
              <w:t>Pigtoe</w:t>
            </w:r>
            <w:r w:rsidRPr="00331D2D">
              <w:rPr>
                <w:rFonts w:ascii="Arial" w:hAnsi="Arial" w:cs="Arial"/>
                <w:spacing w:val="19"/>
                <w:sz w:val="20"/>
                <w:szCs w:val="20"/>
              </w:rPr>
              <w:t xml:space="preserve"> </w:t>
            </w:r>
            <w:r w:rsidRPr="00331D2D">
              <w:rPr>
                <w:rFonts w:ascii="Arial" w:hAnsi="Arial" w:cs="Arial"/>
                <w:spacing w:val="-3"/>
                <w:sz w:val="20"/>
                <w:szCs w:val="20"/>
              </w:rPr>
              <w:t>Mussel</w:t>
            </w:r>
          </w:p>
        </w:tc>
        <w:tc>
          <w:tcPr>
            <w:tcW w:w="257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2"/>
                <w:sz w:val="20"/>
                <w:szCs w:val="20"/>
              </w:rPr>
              <w:t>Santa</w:t>
            </w:r>
            <w:r w:rsidRPr="00331D2D">
              <w:rPr>
                <w:rFonts w:ascii="Arial" w:hAnsi="Arial" w:cs="Arial"/>
                <w:spacing w:val="19"/>
                <w:sz w:val="20"/>
                <w:szCs w:val="20"/>
              </w:rPr>
              <w:t xml:space="preserve"> </w:t>
            </w:r>
            <w:r w:rsidRPr="00331D2D">
              <w:rPr>
                <w:rFonts w:ascii="Arial" w:hAnsi="Arial" w:cs="Arial"/>
                <w:spacing w:val="-3"/>
                <w:sz w:val="20"/>
                <w:szCs w:val="20"/>
              </w:rPr>
              <w:t>Fe</w:t>
            </w:r>
            <w:r w:rsidRPr="00331D2D">
              <w:rPr>
                <w:rFonts w:ascii="Arial" w:hAnsi="Arial" w:cs="Arial"/>
                <w:spacing w:val="13"/>
                <w:sz w:val="20"/>
                <w:szCs w:val="20"/>
              </w:rPr>
              <w:t xml:space="preserve"> </w:t>
            </w:r>
            <w:r w:rsidRPr="00331D2D">
              <w:rPr>
                <w:rFonts w:ascii="Arial" w:hAnsi="Arial" w:cs="Arial"/>
                <w:spacing w:val="-1"/>
                <w:sz w:val="20"/>
                <w:szCs w:val="20"/>
              </w:rPr>
              <w:t>River</w:t>
            </w:r>
          </w:p>
        </w:tc>
        <w:tc>
          <w:tcPr>
            <w:tcW w:w="1774"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176"/>
              <w:rPr>
                <w:rFonts w:ascii="Arial" w:eastAsia="Calibri" w:hAnsi="Arial" w:cs="Arial"/>
                <w:sz w:val="20"/>
                <w:szCs w:val="20"/>
              </w:rPr>
            </w:pPr>
            <w:r w:rsidRPr="00331D2D">
              <w:rPr>
                <w:rFonts w:ascii="Arial" w:hAnsi="Arial" w:cs="Arial"/>
                <w:sz w:val="20"/>
                <w:szCs w:val="20"/>
              </w:rPr>
              <w:t>104.5</w:t>
            </w:r>
            <w:r w:rsidRPr="00331D2D">
              <w:rPr>
                <w:rFonts w:ascii="Arial" w:hAnsi="Arial" w:cs="Arial"/>
                <w:spacing w:val="9"/>
                <w:sz w:val="20"/>
                <w:szCs w:val="20"/>
              </w:rPr>
              <w:t xml:space="preserve"> </w:t>
            </w:r>
            <w:r w:rsidRPr="00331D2D">
              <w:rPr>
                <w:rFonts w:ascii="Arial" w:hAnsi="Arial" w:cs="Arial"/>
                <w:sz w:val="20"/>
                <w:szCs w:val="20"/>
              </w:rPr>
              <w:t>-</w:t>
            </w:r>
            <w:r w:rsidRPr="00331D2D">
              <w:rPr>
                <w:rFonts w:ascii="Arial" w:hAnsi="Arial" w:cs="Arial"/>
                <w:spacing w:val="21"/>
                <w:sz w:val="20"/>
                <w:szCs w:val="20"/>
              </w:rPr>
              <w:t xml:space="preserve"> </w:t>
            </w:r>
            <w:r w:rsidRPr="00331D2D">
              <w:rPr>
                <w:rFonts w:ascii="Arial" w:hAnsi="Arial" w:cs="Arial"/>
                <w:sz w:val="20"/>
                <w:szCs w:val="20"/>
              </w:rPr>
              <w:t>118.7</w:t>
            </w:r>
          </w:p>
        </w:tc>
        <w:tc>
          <w:tcPr>
            <w:tcW w:w="1508"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503" w:right="487"/>
              <w:jc w:val="center"/>
              <w:rPr>
                <w:rFonts w:ascii="Arial" w:eastAsia="Calibri" w:hAnsi="Arial" w:cs="Arial"/>
                <w:sz w:val="20"/>
                <w:szCs w:val="20"/>
              </w:rPr>
            </w:pPr>
            <w:r w:rsidRPr="00331D2D">
              <w:rPr>
                <w:rFonts w:ascii="Arial" w:hAnsi="Arial" w:cs="Arial"/>
                <w:sz w:val="20"/>
                <w:szCs w:val="20"/>
              </w:rPr>
              <w:t>37.1</w:t>
            </w:r>
          </w:p>
        </w:tc>
        <w:tc>
          <w:tcPr>
            <w:tcW w:w="118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353"/>
              <w:rPr>
                <w:rFonts w:ascii="Arial" w:eastAsia="Calibri" w:hAnsi="Arial" w:cs="Arial"/>
                <w:sz w:val="20"/>
                <w:szCs w:val="20"/>
              </w:rPr>
            </w:pPr>
            <w:r w:rsidRPr="00331D2D">
              <w:rPr>
                <w:rFonts w:ascii="Arial" w:hAnsi="Arial" w:cs="Arial"/>
                <w:sz w:val="20"/>
                <w:szCs w:val="20"/>
              </w:rPr>
              <w:t>69.3</w:t>
            </w:r>
          </w:p>
        </w:tc>
      </w:tr>
      <w:tr w:rsidR="00090AF1" w:rsidRPr="00315033" w:rsidTr="00FA6045">
        <w:trPr>
          <w:trHeight w:hRule="exact" w:val="353"/>
        </w:trPr>
        <w:tc>
          <w:tcPr>
            <w:tcW w:w="2292"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4"/>
                <w:sz w:val="20"/>
                <w:szCs w:val="20"/>
              </w:rPr>
              <w:t>Gulf</w:t>
            </w:r>
            <w:r w:rsidRPr="00331D2D">
              <w:rPr>
                <w:rFonts w:ascii="Arial" w:hAnsi="Arial" w:cs="Arial"/>
                <w:spacing w:val="34"/>
                <w:sz w:val="20"/>
                <w:szCs w:val="20"/>
              </w:rPr>
              <w:t xml:space="preserve"> </w:t>
            </w:r>
            <w:r w:rsidRPr="00331D2D">
              <w:rPr>
                <w:rFonts w:ascii="Arial" w:hAnsi="Arial" w:cs="Arial"/>
                <w:spacing w:val="-3"/>
                <w:sz w:val="20"/>
                <w:szCs w:val="20"/>
              </w:rPr>
              <w:t>Sturgeon</w:t>
            </w:r>
          </w:p>
        </w:tc>
        <w:tc>
          <w:tcPr>
            <w:tcW w:w="257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3"/>
                <w:sz w:val="20"/>
                <w:szCs w:val="20"/>
              </w:rPr>
              <w:t>Suwannee</w:t>
            </w:r>
            <w:r w:rsidRPr="00331D2D">
              <w:rPr>
                <w:rFonts w:ascii="Arial" w:hAnsi="Arial" w:cs="Arial"/>
                <w:spacing w:val="32"/>
                <w:sz w:val="20"/>
                <w:szCs w:val="20"/>
              </w:rPr>
              <w:t xml:space="preserve"> </w:t>
            </w:r>
            <w:r w:rsidRPr="00331D2D">
              <w:rPr>
                <w:rFonts w:ascii="Arial" w:hAnsi="Arial" w:cs="Arial"/>
                <w:spacing w:val="-1"/>
                <w:sz w:val="20"/>
                <w:szCs w:val="20"/>
              </w:rPr>
              <w:t>River</w:t>
            </w:r>
          </w:p>
        </w:tc>
        <w:tc>
          <w:tcPr>
            <w:tcW w:w="1774"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72"/>
              <w:rPr>
                <w:rFonts w:ascii="Arial" w:eastAsia="Calibri" w:hAnsi="Arial" w:cs="Arial"/>
                <w:sz w:val="20"/>
                <w:szCs w:val="20"/>
              </w:rPr>
            </w:pPr>
            <w:r w:rsidRPr="00331D2D">
              <w:rPr>
                <w:rFonts w:ascii="Arial" w:hAnsi="Arial" w:cs="Arial"/>
                <w:sz w:val="20"/>
                <w:szCs w:val="20"/>
              </w:rPr>
              <w:t>0</w:t>
            </w:r>
            <w:r w:rsidRPr="00331D2D">
              <w:rPr>
                <w:rFonts w:ascii="Arial" w:hAnsi="Arial" w:cs="Arial"/>
                <w:spacing w:val="4"/>
                <w:sz w:val="20"/>
                <w:szCs w:val="20"/>
              </w:rPr>
              <w:t xml:space="preserve"> </w:t>
            </w:r>
            <w:r w:rsidRPr="00331D2D">
              <w:rPr>
                <w:rFonts w:ascii="Arial" w:hAnsi="Arial" w:cs="Arial"/>
                <w:sz w:val="20"/>
                <w:szCs w:val="20"/>
              </w:rPr>
              <w:t>-</w:t>
            </w:r>
            <w:r w:rsidRPr="00331D2D">
              <w:rPr>
                <w:rFonts w:ascii="Arial" w:hAnsi="Arial" w:cs="Arial"/>
                <w:spacing w:val="14"/>
                <w:sz w:val="20"/>
                <w:szCs w:val="20"/>
              </w:rPr>
              <w:t xml:space="preserve"> </w:t>
            </w:r>
            <w:r w:rsidRPr="00331D2D">
              <w:rPr>
                <w:rFonts w:ascii="Arial" w:hAnsi="Arial" w:cs="Arial"/>
                <w:sz w:val="20"/>
                <w:szCs w:val="20"/>
              </w:rPr>
              <w:t>66.5</w:t>
            </w:r>
          </w:p>
        </w:tc>
        <w:tc>
          <w:tcPr>
            <w:tcW w:w="1508"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503" w:right="487"/>
              <w:jc w:val="center"/>
              <w:rPr>
                <w:rFonts w:ascii="Arial" w:eastAsia="Calibri" w:hAnsi="Arial" w:cs="Arial"/>
                <w:sz w:val="20"/>
                <w:szCs w:val="20"/>
              </w:rPr>
            </w:pPr>
            <w:r w:rsidRPr="00331D2D">
              <w:rPr>
                <w:rFonts w:ascii="Arial" w:hAnsi="Arial" w:cs="Arial"/>
                <w:sz w:val="20"/>
                <w:szCs w:val="20"/>
              </w:rPr>
              <w:t>58.9</w:t>
            </w:r>
          </w:p>
        </w:tc>
        <w:tc>
          <w:tcPr>
            <w:tcW w:w="118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353"/>
              <w:rPr>
                <w:rFonts w:ascii="Arial" w:eastAsia="Calibri" w:hAnsi="Arial" w:cs="Arial"/>
                <w:sz w:val="20"/>
                <w:szCs w:val="20"/>
              </w:rPr>
            </w:pPr>
            <w:r w:rsidRPr="00331D2D">
              <w:rPr>
                <w:rFonts w:ascii="Arial" w:hAnsi="Arial" w:cs="Arial"/>
                <w:sz w:val="20"/>
                <w:szCs w:val="20"/>
              </w:rPr>
              <w:t>76.7</w:t>
            </w:r>
          </w:p>
        </w:tc>
      </w:tr>
      <w:tr w:rsidR="00090AF1" w:rsidRPr="00315033" w:rsidTr="00FA6045">
        <w:trPr>
          <w:trHeight w:hRule="exact" w:val="353"/>
        </w:trPr>
        <w:tc>
          <w:tcPr>
            <w:tcW w:w="2292" w:type="dxa"/>
            <w:tcBorders>
              <w:top w:val="single" w:sz="7" w:space="0" w:color="000000"/>
              <w:left w:val="single" w:sz="7" w:space="0" w:color="000000"/>
              <w:bottom w:val="single" w:sz="7" w:space="0" w:color="000000"/>
              <w:right w:val="single" w:sz="7" w:space="0" w:color="000000"/>
            </w:tcBorders>
          </w:tcPr>
          <w:p w:rsidR="00090AF1" w:rsidRPr="0097511B" w:rsidRDefault="00090AF1" w:rsidP="00FA6045">
            <w:pPr>
              <w:pStyle w:val="TableParagraph"/>
              <w:spacing w:before="15"/>
              <w:ind w:left="43"/>
              <w:rPr>
                <w:rFonts w:ascii="Arial" w:eastAsia="Calibri" w:hAnsi="Arial" w:cs="Arial"/>
                <w:sz w:val="20"/>
                <w:szCs w:val="20"/>
                <w:highlight w:val="yellow"/>
              </w:rPr>
            </w:pPr>
            <w:r w:rsidRPr="00331D2D">
              <w:rPr>
                <w:rFonts w:ascii="Arial" w:hAnsi="Arial" w:cs="Arial"/>
                <w:spacing w:val="-4"/>
                <w:sz w:val="20"/>
                <w:szCs w:val="20"/>
                <w:highlight w:val="yellow"/>
              </w:rPr>
              <w:t>Gulf</w:t>
            </w:r>
            <w:r w:rsidRPr="00331D2D">
              <w:rPr>
                <w:rFonts w:ascii="Arial" w:hAnsi="Arial" w:cs="Arial"/>
                <w:spacing w:val="34"/>
                <w:sz w:val="20"/>
                <w:szCs w:val="20"/>
                <w:highlight w:val="yellow"/>
              </w:rPr>
              <w:t xml:space="preserve"> </w:t>
            </w:r>
            <w:r w:rsidRPr="00331D2D">
              <w:rPr>
                <w:rFonts w:ascii="Arial" w:hAnsi="Arial" w:cs="Arial"/>
                <w:spacing w:val="-3"/>
                <w:sz w:val="20"/>
                <w:szCs w:val="20"/>
                <w:highlight w:val="yellow"/>
              </w:rPr>
              <w:t>Sturgeon</w:t>
            </w:r>
          </w:p>
        </w:tc>
        <w:tc>
          <w:tcPr>
            <w:tcW w:w="2573" w:type="dxa"/>
            <w:tcBorders>
              <w:top w:val="single" w:sz="7" w:space="0" w:color="000000"/>
              <w:left w:val="single" w:sz="7" w:space="0" w:color="000000"/>
              <w:bottom w:val="single" w:sz="7" w:space="0" w:color="000000"/>
              <w:right w:val="single" w:sz="7" w:space="0" w:color="000000"/>
            </w:tcBorders>
          </w:tcPr>
          <w:p w:rsidR="00090AF1" w:rsidRPr="0097511B" w:rsidRDefault="00090AF1" w:rsidP="00FA6045">
            <w:pPr>
              <w:pStyle w:val="TableParagraph"/>
              <w:spacing w:before="15"/>
              <w:ind w:left="43"/>
              <w:rPr>
                <w:rFonts w:ascii="Arial" w:eastAsia="Calibri" w:hAnsi="Arial" w:cs="Arial"/>
                <w:sz w:val="20"/>
                <w:szCs w:val="20"/>
                <w:highlight w:val="yellow"/>
              </w:rPr>
            </w:pPr>
            <w:r w:rsidRPr="00331D2D">
              <w:rPr>
                <w:rFonts w:ascii="Arial" w:hAnsi="Arial" w:cs="Arial"/>
                <w:spacing w:val="-3"/>
                <w:sz w:val="20"/>
                <w:szCs w:val="20"/>
                <w:highlight w:val="yellow"/>
              </w:rPr>
              <w:t>Suwannee</w:t>
            </w:r>
            <w:r w:rsidRPr="00331D2D">
              <w:rPr>
                <w:rFonts w:ascii="Arial" w:hAnsi="Arial" w:cs="Arial"/>
                <w:spacing w:val="32"/>
                <w:sz w:val="20"/>
                <w:szCs w:val="20"/>
                <w:highlight w:val="yellow"/>
              </w:rPr>
              <w:t xml:space="preserve"> </w:t>
            </w:r>
            <w:r w:rsidRPr="00331D2D">
              <w:rPr>
                <w:rFonts w:ascii="Arial" w:hAnsi="Arial" w:cs="Arial"/>
                <w:spacing w:val="-1"/>
                <w:sz w:val="20"/>
                <w:szCs w:val="20"/>
                <w:highlight w:val="yellow"/>
              </w:rPr>
              <w:t>River</w:t>
            </w:r>
          </w:p>
        </w:tc>
        <w:tc>
          <w:tcPr>
            <w:tcW w:w="1774" w:type="dxa"/>
            <w:tcBorders>
              <w:top w:val="single" w:sz="7" w:space="0" w:color="000000"/>
              <w:left w:val="single" w:sz="7" w:space="0" w:color="000000"/>
              <w:bottom w:val="single" w:sz="7" w:space="0" w:color="000000"/>
              <w:right w:val="single" w:sz="7" w:space="0" w:color="000000"/>
            </w:tcBorders>
          </w:tcPr>
          <w:p w:rsidR="00090AF1" w:rsidRPr="0097511B" w:rsidRDefault="00090AF1" w:rsidP="00FA6045">
            <w:pPr>
              <w:pStyle w:val="TableParagraph"/>
              <w:spacing w:before="15"/>
              <w:ind w:left="235"/>
              <w:rPr>
                <w:rFonts w:ascii="Arial" w:eastAsia="Calibri" w:hAnsi="Arial" w:cs="Arial"/>
                <w:sz w:val="20"/>
                <w:szCs w:val="20"/>
                <w:highlight w:val="yellow"/>
              </w:rPr>
            </w:pPr>
            <w:r w:rsidRPr="00331D2D">
              <w:rPr>
                <w:rFonts w:ascii="Arial" w:hAnsi="Arial" w:cs="Arial"/>
                <w:sz w:val="20"/>
                <w:szCs w:val="20"/>
                <w:highlight w:val="yellow"/>
              </w:rPr>
              <w:t>66.5</w:t>
            </w:r>
            <w:r w:rsidRPr="00331D2D">
              <w:rPr>
                <w:rFonts w:ascii="Arial" w:hAnsi="Arial" w:cs="Arial"/>
                <w:spacing w:val="8"/>
                <w:sz w:val="20"/>
                <w:szCs w:val="20"/>
                <w:highlight w:val="yellow"/>
              </w:rPr>
              <w:t xml:space="preserve"> </w:t>
            </w:r>
            <w:r w:rsidRPr="00331D2D">
              <w:rPr>
                <w:rFonts w:ascii="Arial" w:hAnsi="Arial" w:cs="Arial"/>
                <w:sz w:val="20"/>
                <w:szCs w:val="20"/>
                <w:highlight w:val="yellow"/>
              </w:rPr>
              <w:t>-</w:t>
            </w:r>
            <w:r w:rsidRPr="00331D2D">
              <w:rPr>
                <w:rFonts w:ascii="Arial" w:hAnsi="Arial" w:cs="Arial"/>
                <w:spacing w:val="19"/>
                <w:sz w:val="20"/>
                <w:szCs w:val="20"/>
                <w:highlight w:val="yellow"/>
              </w:rPr>
              <w:t xml:space="preserve"> </w:t>
            </w:r>
            <w:r w:rsidRPr="00331D2D">
              <w:rPr>
                <w:rFonts w:ascii="Arial" w:hAnsi="Arial" w:cs="Arial"/>
                <w:sz w:val="20"/>
                <w:szCs w:val="20"/>
                <w:highlight w:val="yellow"/>
              </w:rPr>
              <w:t>105.8</w:t>
            </w:r>
          </w:p>
        </w:tc>
        <w:tc>
          <w:tcPr>
            <w:tcW w:w="1508" w:type="dxa"/>
            <w:tcBorders>
              <w:top w:val="single" w:sz="7" w:space="0" w:color="000000"/>
              <w:left w:val="single" w:sz="7" w:space="0" w:color="000000"/>
              <w:bottom w:val="single" w:sz="7" w:space="0" w:color="000000"/>
              <w:right w:val="single" w:sz="7" w:space="0" w:color="000000"/>
            </w:tcBorders>
          </w:tcPr>
          <w:p w:rsidR="00090AF1" w:rsidRPr="0097511B" w:rsidRDefault="00090AF1" w:rsidP="00FA6045">
            <w:pPr>
              <w:pStyle w:val="TableParagraph"/>
              <w:spacing w:before="15"/>
              <w:ind w:left="503" w:right="487"/>
              <w:jc w:val="center"/>
              <w:rPr>
                <w:rFonts w:ascii="Arial" w:eastAsia="Calibri" w:hAnsi="Arial" w:cs="Arial"/>
                <w:sz w:val="20"/>
                <w:szCs w:val="20"/>
                <w:highlight w:val="yellow"/>
              </w:rPr>
            </w:pPr>
            <w:r w:rsidRPr="00331D2D">
              <w:rPr>
                <w:rFonts w:ascii="Arial" w:hAnsi="Arial" w:cs="Arial"/>
                <w:sz w:val="20"/>
                <w:szCs w:val="20"/>
                <w:highlight w:val="yellow"/>
              </w:rPr>
              <w:t>60.2</w:t>
            </w:r>
          </w:p>
        </w:tc>
        <w:tc>
          <w:tcPr>
            <w:tcW w:w="1183" w:type="dxa"/>
            <w:tcBorders>
              <w:top w:val="single" w:sz="7" w:space="0" w:color="000000"/>
              <w:left w:val="single" w:sz="7" w:space="0" w:color="000000"/>
              <w:bottom w:val="single" w:sz="7" w:space="0" w:color="000000"/>
              <w:right w:val="single" w:sz="7" w:space="0" w:color="000000"/>
            </w:tcBorders>
          </w:tcPr>
          <w:p w:rsidR="00090AF1" w:rsidRPr="0097511B" w:rsidRDefault="00090AF1" w:rsidP="00FA6045">
            <w:pPr>
              <w:pStyle w:val="TableParagraph"/>
              <w:spacing w:before="15"/>
              <w:ind w:left="353"/>
              <w:rPr>
                <w:rFonts w:ascii="Arial" w:eastAsia="Calibri" w:hAnsi="Arial" w:cs="Arial"/>
                <w:sz w:val="20"/>
                <w:szCs w:val="20"/>
                <w:highlight w:val="yellow"/>
              </w:rPr>
            </w:pPr>
            <w:r w:rsidRPr="00331D2D">
              <w:rPr>
                <w:rFonts w:ascii="Arial" w:hAnsi="Arial" w:cs="Arial"/>
                <w:sz w:val="20"/>
                <w:szCs w:val="20"/>
                <w:highlight w:val="yellow"/>
              </w:rPr>
              <w:t>74.6</w:t>
            </w:r>
          </w:p>
        </w:tc>
      </w:tr>
      <w:tr w:rsidR="00090AF1" w:rsidRPr="00315033" w:rsidTr="00FA6045">
        <w:trPr>
          <w:trHeight w:hRule="exact" w:val="353"/>
        </w:trPr>
        <w:tc>
          <w:tcPr>
            <w:tcW w:w="2292"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4"/>
                <w:sz w:val="20"/>
                <w:szCs w:val="20"/>
              </w:rPr>
              <w:t>Gulf</w:t>
            </w:r>
            <w:r w:rsidRPr="00331D2D">
              <w:rPr>
                <w:rFonts w:ascii="Arial" w:hAnsi="Arial" w:cs="Arial"/>
                <w:spacing w:val="34"/>
                <w:sz w:val="20"/>
                <w:szCs w:val="20"/>
              </w:rPr>
              <w:t xml:space="preserve"> </w:t>
            </w:r>
            <w:r w:rsidRPr="00331D2D">
              <w:rPr>
                <w:rFonts w:ascii="Arial" w:hAnsi="Arial" w:cs="Arial"/>
                <w:spacing w:val="-3"/>
                <w:sz w:val="20"/>
                <w:szCs w:val="20"/>
              </w:rPr>
              <w:t>Sturgeon</w:t>
            </w:r>
          </w:p>
        </w:tc>
        <w:tc>
          <w:tcPr>
            <w:tcW w:w="257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3"/>
                <w:sz w:val="20"/>
                <w:szCs w:val="20"/>
              </w:rPr>
              <w:t>Suwannee</w:t>
            </w:r>
            <w:r w:rsidRPr="00331D2D">
              <w:rPr>
                <w:rFonts w:ascii="Arial" w:hAnsi="Arial" w:cs="Arial"/>
                <w:spacing w:val="32"/>
                <w:sz w:val="20"/>
                <w:szCs w:val="20"/>
              </w:rPr>
              <w:t xml:space="preserve"> </w:t>
            </w:r>
            <w:r w:rsidRPr="00331D2D">
              <w:rPr>
                <w:rFonts w:ascii="Arial" w:hAnsi="Arial" w:cs="Arial"/>
                <w:spacing w:val="-1"/>
                <w:sz w:val="20"/>
                <w:szCs w:val="20"/>
              </w:rPr>
              <w:t>River</w:t>
            </w:r>
          </w:p>
        </w:tc>
        <w:tc>
          <w:tcPr>
            <w:tcW w:w="1774"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176"/>
              <w:rPr>
                <w:rFonts w:ascii="Arial" w:eastAsia="Calibri" w:hAnsi="Arial" w:cs="Arial"/>
                <w:sz w:val="20"/>
                <w:szCs w:val="20"/>
              </w:rPr>
            </w:pPr>
            <w:r w:rsidRPr="00331D2D">
              <w:rPr>
                <w:rFonts w:ascii="Arial" w:hAnsi="Arial" w:cs="Arial"/>
                <w:sz w:val="20"/>
                <w:szCs w:val="20"/>
              </w:rPr>
              <w:t>105.8</w:t>
            </w:r>
            <w:r w:rsidRPr="00331D2D">
              <w:rPr>
                <w:rFonts w:ascii="Arial" w:hAnsi="Arial" w:cs="Arial"/>
                <w:spacing w:val="9"/>
                <w:sz w:val="20"/>
                <w:szCs w:val="20"/>
              </w:rPr>
              <w:t xml:space="preserve"> </w:t>
            </w:r>
            <w:r w:rsidRPr="00331D2D">
              <w:rPr>
                <w:rFonts w:ascii="Arial" w:hAnsi="Arial" w:cs="Arial"/>
                <w:sz w:val="20"/>
                <w:szCs w:val="20"/>
              </w:rPr>
              <w:t>-</w:t>
            </w:r>
            <w:r w:rsidRPr="00331D2D">
              <w:rPr>
                <w:rFonts w:ascii="Arial" w:hAnsi="Arial" w:cs="Arial"/>
                <w:spacing w:val="21"/>
                <w:sz w:val="20"/>
                <w:szCs w:val="20"/>
              </w:rPr>
              <w:t xml:space="preserve"> </w:t>
            </w:r>
            <w:r w:rsidRPr="00331D2D">
              <w:rPr>
                <w:rFonts w:ascii="Arial" w:hAnsi="Arial" w:cs="Arial"/>
                <w:sz w:val="20"/>
                <w:szCs w:val="20"/>
              </w:rPr>
              <w:t>205.4</w:t>
            </w:r>
          </w:p>
        </w:tc>
        <w:tc>
          <w:tcPr>
            <w:tcW w:w="1508"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503" w:right="487"/>
              <w:jc w:val="center"/>
              <w:rPr>
                <w:rFonts w:ascii="Arial" w:eastAsia="Calibri" w:hAnsi="Arial" w:cs="Arial"/>
                <w:sz w:val="20"/>
                <w:szCs w:val="20"/>
              </w:rPr>
            </w:pPr>
            <w:r w:rsidRPr="00331D2D">
              <w:rPr>
                <w:rFonts w:ascii="Arial" w:hAnsi="Arial" w:cs="Arial"/>
                <w:sz w:val="20"/>
                <w:szCs w:val="20"/>
              </w:rPr>
              <w:t>53.3</w:t>
            </w:r>
          </w:p>
        </w:tc>
        <w:tc>
          <w:tcPr>
            <w:tcW w:w="118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353"/>
              <w:rPr>
                <w:rFonts w:ascii="Arial" w:eastAsia="Calibri" w:hAnsi="Arial" w:cs="Arial"/>
                <w:sz w:val="20"/>
                <w:szCs w:val="20"/>
              </w:rPr>
            </w:pPr>
            <w:r w:rsidRPr="00331D2D">
              <w:rPr>
                <w:rFonts w:ascii="Arial" w:hAnsi="Arial" w:cs="Arial"/>
                <w:sz w:val="20"/>
                <w:szCs w:val="20"/>
              </w:rPr>
              <w:t>69.0</w:t>
            </w:r>
          </w:p>
        </w:tc>
      </w:tr>
      <w:tr w:rsidR="00090AF1" w:rsidRPr="00315033" w:rsidTr="00FA6045">
        <w:trPr>
          <w:trHeight w:hRule="exact" w:val="353"/>
        </w:trPr>
        <w:tc>
          <w:tcPr>
            <w:tcW w:w="2292"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4"/>
                <w:sz w:val="20"/>
                <w:szCs w:val="20"/>
              </w:rPr>
              <w:t>Gulf</w:t>
            </w:r>
            <w:r w:rsidRPr="00331D2D">
              <w:rPr>
                <w:rFonts w:ascii="Arial" w:hAnsi="Arial" w:cs="Arial"/>
                <w:spacing w:val="34"/>
                <w:sz w:val="20"/>
                <w:szCs w:val="20"/>
              </w:rPr>
              <w:t xml:space="preserve"> </w:t>
            </w:r>
            <w:r w:rsidRPr="00331D2D">
              <w:rPr>
                <w:rFonts w:ascii="Arial" w:hAnsi="Arial" w:cs="Arial"/>
                <w:spacing w:val="-3"/>
                <w:sz w:val="20"/>
                <w:szCs w:val="20"/>
              </w:rPr>
              <w:t>Sturgeon</w:t>
            </w:r>
          </w:p>
        </w:tc>
        <w:tc>
          <w:tcPr>
            <w:tcW w:w="257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3"/>
                <w:sz w:val="20"/>
                <w:szCs w:val="20"/>
              </w:rPr>
              <w:t>Suwannee</w:t>
            </w:r>
            <w:r w:rsidRPr="00331D2D">
              <w:rPr>
                <w:rFonts w:ascii="Arial" w:hAnsi="Arial" w:cs="Arial"/>
                <w:spacing w:val="32"/>
                <w:sz w:val="20"/>
                <w:szCs w:val="20"/>
              </w:rPr>
              <w:t xml:space="preserve"> </w:t>
            </w:r>
            <w:r w:rsidRPr="00331D2D">
              <w:rPr>
                <w:rFonts w:ascii="Arial" w:hAnsi="Arial" w:cs="Arial"/>
                <w:spacing w:val="-1"/>
                <w:sz w:val="20"/>
                <w:szCs w:val="20"/>
              </w:rPr>
              <w:t>River</w:t>
            </w:r>
          </w:p>
        </w:tc>
        <w:tc>
          <w:tcPr>
            <w:tcW w:w="1774"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176"/>
              <w:rPr>
                <w:rFonts w:ascii="Arial" w:eastAsia="Calibri" w:hAnsi="Arial" w:cs="Arial"/>
                <w:sz w:val="20"/>
                <w:szCs w:val="20"/>
              </w:rPr>
            </w:pPr>
            <w:r w:rsidRPr="00331D2D">
              <w:rPr>
                <w:rFonts w:ascii="Arial" w:hAnsi="Arial" w:cs="Arial"/>
                <w:sz w:val="20"/>
                <w:szCs w:val="20"/>
              </w:rPr>
              <w:t>205.4</w:t>
            </w:r>
            <w:r w:rsidRPr="00331D2D">
              <w:rPr>
                <w:rFonts w:ascii="Arial" w:hAnsi="Arial" w:cs="Arial"/>
                <w:spacing w:val="9"/>
                <w:sz w:val="20"/>
                <w:szCs w:val="20"/>
              </w:rPr>
              <w:t xml:space="preserve"> </w:t>
            </w:r>
            <w:r w:rsidRPr="00331D2D">
              <w:rPr>
                <w:rFonts w:ascii="Arial" w:hAnsi="Arial" w:cs="Arial"/>
                <w:sz w:val="20"/>
                <w:szCs w:val="20"/>
              </w:rPr>
              <w:t>-</w:t>
            </w:r>
            <w:r w:rsidRPr="00331D2D">
              <w:rPr>
                <w:rFonts w:ascii="Arial" w:hAnsi="Arial" w:cs="Arial"/>
                <w:spacing w:val="21"/>
                <w:sz w:val="20"/>
                <w:szCs w:val="20"/>
              </w:rPr>
              <w:t xml:space="preserve"> </w:t>
            </w:r>
            <w:r w:rsidRPr="00331D2D">
              <w:rPr>
                <w:rFonts w:ascii="Arial" w:hAnsi="Arial" w:cs="Arial"/>
                <w:sz w:val="20"/>
                <w:szCs w:val="20"/>
              </w:rPr>
              <w:t>261.6</w:t>
            </w:r>
          </w:p>
        </w:tc>
        <w:tc>
          <w:tcPr>
            <w:tcW w:w="1508"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503" w:right="487"/>
              <w:jc w:val="center"/>
              <w:rPr>
                <w:rFonts w:ascii="Arial" w:eastAsia="Calibri" w:hAnsi="Arial" w:cs="Arial"/>
                <w:sz w:val="20"/>
                <w:szCs w:val="20"/>
              </w:rPr>
            </w:pPr>
            <w:r w:rsidRPr="00331D2D">
              <w:rPr>
                <w:rFonts w:ascii="Arial" w:hAnsi="Arial" w:cs="Arial"/>
                <w:sz w:val="20"/>
                <w:szCs w:val="20"/>
              </w:rPr>
              <w:t>41.1</w:t>
            </w:r>
          </w:p>
        </w:tc>
        <w:tc>
          <w:tcPr>
            <w:tcW w:w="118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353"/>
              <w:rPr>
                <w:rFonts w:ascii="Arial" w:eastAsia="Calibri" w:hAnsi="Arial" w:cs="Arial"/>
                <w:sz w:val="20"/>
                <w:szCs w:val="20"/>
              </w:rPr>
            </w:pPr>
            <w:r w:rsidRPr="00331D2D">
              <w:rPr>
                <w:rFonts w:ascii="Arial" w:hAnsi="Arial" w:cs="Arial"/>
                <w:sz w:val="20"/>
                <w:szCs w:val="20"/>
              </w:rPr>
              <w:t>66.4</w:t>
            </w:r>
          </w:p>
        </w:tc>
      </w:tr>
      <w:tr w:rsidR="00090AF1" w:rsidRPr="00315033" w:rsidTr="00FA6045">
        <w:trPr>
          <w:trHeight w:hRule="exact" w:val="353"/>
        </w:trPr>
        <w:tc>
          <w:tcPr>
            <w:tcW w:w="2292"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4"/>
                <w:sz w:val="20"/>
                <w:szCs w:val="20"/>
              </w:rPr>
              <w:t>Gulf</w:t>
            </w:r>
            <w:r w:rsidRPr="00331D2D">
              <w:rPr>
                <w:rFonts w:ascii="Arial" w:hAnsi="Arial" w:cs="Arial"/>
                <w:spacing w:val="34"/>
                <w:sz w:val="20"/>
                <w:szCs w:val="20"/>
              </w:rPr>
              <w:t xml:space="preserve"> </w:t>
            </w:r>
            <w:r w:rsidRPr="00331D2D">
              <w:rPr>
                <w:rFonts w:ascii="Arial" w:hAnsi="Arial" w:cs="Arial"/>
                <w:spacing w:val="-3"/>
                <w:sz w:val="20"/>
                <w:szCs w:val="20"/>
              </w:rPr>
              <w:t>Sturgeon</w:t>
            </w:r>
          </w:p>
        </w:tc>
        <w:tc>
          <w:tcPr>
            <w:tcW w:w="257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3"/>
                <w:sz w:val="20"/>
                <w:szCs w:val="20"/>
              </w:rPr>
              <w:t>Suwannee</w:t>
            </w:r>
            <w:r w:rsidRPr="00331D2D">
              <w:rPr>
                <w:rFonts w:ascii="Arial" w:hAnsi="Arial" w:cs="Arial"/>
                <w:spacing w:val="32"/>
                <w:sz w:val="20"/>
                <w:szCs w:val="20"/>
              </w:rPr>
              <w:t xml:space="preserve"> </w:t>
            </w:r>
            <w:r w:rsidRPr="00331D2D">
              <w:rPr>
                <w:rFonts w:ascii="Arial" w:hAnsi="Arial" w:cs="Arial"/>
                <w:spacing w:val="-1"/>
                <w:sz w:val="20"/>
                <w:szCs w:val="20"/>
              </w:rPr>
              <w:t>River</w:t>
            </w:r>
          </w:p>
        </w:tc>
        <w:tc>
          <w:tcPr>
            <w:tcW w:w="1774"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176"/>
              <w:rPr>
                <w:rFonts w:ascii="Arial" w:eastAsia="Calibri" w:hAnsi="Arial" w:cs="Arial"/>
                <w:sz w:val="20"/>
                <w:szCs w:val="20"/>
              </w:rPr>
            </w:pPr>
            <w:r w:rsidRPr="00331D2D">
              <w:rPr>
                <w:rFonts w:ascii="Arial" w:hAnsi="Arial" w:cs="Arial"/>
                <w:sz w:val="20"/>
                <w:szCs w:val="20"/>
              </w:rPr>
              <w:t>261.6</w:t>
            </w:r>
            <w:r w:rsidRPr="00331D2D">
              <w:rPr>
                <w:rFonts w:ascii="Arial" w:hAnsi="Arial" w:cs="Arial"/>
                <w:spacing w:val="9"/>
                <w:sz w:val="20"/>
                <w:szCs w:val="20"/>
              </w:rPr>
              <w:t xml:space="preserve"> </w:t>
            </w:r>
            <w:r w:rsidRPr="00331D2D">
              <w:rPr>
                <w:rFonts w:ascii="Arial" w:hAnsi="Arial" w:cs="Arial"/>
                <w:sz w:val="20"/>
                <w:szCs w:val="20"/>
              </w:rPr>
              <w:t>-</w:t>
            </w:r>
            <w:r w:rsidRPr="00331D2D">
              <w:rPr>
                <w:rFonts w:ascii="Arial" w:hAnsi="Arial" w:cs="Arial"/>
                <w:spacing w:val="21"/>
                <w:sz w:val="20"/>
                <w:szCs w:val="20"/>
              </w:rPr>
              <w:t xml:space="preserve"> </w:t>
            </w:r>
            <w:r w:rsidRPr="00331D2D">
              <w:rPr>
                <w:rFonts w:ascii="Arial" w:hAnsi="Arial" w:cs="Arial"/>
                <w:sz w:val="20"/>
                <w:szCs w:val="20"/>
              </w:rPr>
              <w:t>288.1</w:t>
            </w:r>
          </w:p>
        </w:tc>
        <w:tc>
          <w:tcPr>
            <w:tcW w:w="1508"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503" w:right="487"/>
              <w:jc w:val="center"/>
              <w:rPr>
                <w:rFonts w:ascii="Arial" w:eastAsia="Calibri" w:hAnsi="Arial" w:cs="Arial"/>
                <w:sz w:val="20"/>
                <w:szCs w:val="20"/>
              </w:rPr>
            </w:pPr>
            <w:r w:rsidRPr="00331D2D">
              <w:rPr>
                <w:rFonts w:ascii="Arial" w:hAnsi="Arial" w:cs="Arial"/>
                <w:sz w:val="20"/>
                <w:szCs w:val="20"/>
              </w:rPr>
              <w:t>65.5</w:t>
            </w:r>
          </w:p>
        </w:tc>
        <w:tc>
          <w:tcPr>
            <w:tcW w:w="118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353"/>
              <w:rPr>
                <w:rFonts w:ascii="Arial" w:eastAsia="Calibri" w:hAnsi="Arial" w:cs="Arial"/>
                <w:sz w:val="20"/>
                <w:szCs w:val="20"/>
              </w:rPr>
            </w:pPr>
            <w:r w:rsidRPr="00331D2D">
              <w:rPr>
                <w:rFonts w:ascii="Arial" w:hAnsi="Arial" w:cs="Arial"/>
                <w:sz w:val="20"/>
                <w:szCs w:val="20"/>
              </w:rPr>
              <w:t>78.2</w:t>
            </w:r>
          </w:p>
        </w:tc>
      </w:tr>
      <w:tr w:rsidR="00090AF1" w:rsidRPr="00315033" w:rsidTr="00FA6045">
        <w:trPr>
          <w:trHeight w:hRule="exact" w:val="353"/>
        </w:trPr>
        <w:tc>
          <w:tcPr>
            <w:tcW w:w="2292"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pacing w:val="-4"/>
                <w:sz w:val="20"/>
                <w:szCs w:val="20"/>
              </w:rPr>
              <w:t>Gulf</w:t>
            </w:r>
            <w:r w:rsidRPr="00331D2D">
              <w:rPr>
                <w:rFonts w:ascii="Arial" w:hAnsi="Arial" w:cs="Arial"/>
                <w:spacing w:val="34"/>
                <w:sz w:val="20"/>
                <w:szCs w:val="20"/>
              </w:rPr>
              <w:t xml:space="preserve"> </w:t>
            </w:r>
            <w:r w:rsidRPr="00331D2D">
              <w:rPr>
                <w:rFonts w:ascii="Arial" w:hAnsi="Arial" w:cs="Arial"/>
                <w:spacing w:val="-3"/>
                <w:sz w:val="20"/>
                <w:szCs w:val="20"/>
              </w:rPr>
              <w:t>Sturgeon</w:t>
            </w:r>
          </w:p>
        </w:tc>
        <w:tc>
          <w:tcPr>
            <w:tcW w:w="257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3"/>
              <w:rPr>
                <w:rFonts w:ascii="Arial" w:eastAsia="Calibri" w:hAnsi="Arial" w:cs="Arial"/>
                <w:sz w:val="20"/>
                <w:szCs w:val="20"/>
              </w:rPr>
            </w:pPr>
            <w:r w:rsidRPr="00331D2D">
              <w:rPr>
                <w:rFonts w:ascii="Arial" w:hAnsi="Arial" w:cs="Arial"/>
                <w:sz w:val="20"/>
                <w:szCs w:val="20"/>
              </w:rPr>
              <w:t>Withlacoochee</w:t>
            </w:r>
            <w:r w:rsidRPr="00331D2D">
              <w:rPr>
                <w:rFonts w:ascii="Arial" w:hAnsi="Arial" w:cs="Arial"/>
                <w:spacing w:val="42"/>
                <w:sz w:val="20"/>
                <w:szCs w:val="20"/>
              </w:rPr>
              <w:t xml:space="preserve"> </w:t>
            </w:r>
            <w:r w:rsidRPr="00331D2D">
              <w:rPr>
                <w:rFonts w:ascii="Arial" w:hAnsi="Arial" w:cs="Arial"/>
                <w:spacing w:val="-1"/>
                <w:sz w:val="20"/>
                <w:szCs w:val="20"/>
              </w:rPr>
              <w:t>River</w:t>
            </w:r>
          </w:p>
        </w:tc>
        <w:tc>
          <w:tcPr>
            <w:tcW w:w="1774"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472"/>
              <w:rPr>
                <w:rFonts w:ascii="Arial" w:eastAsia="Calibri" w:hAnsi="Arial" w:cs="Arial"/>
                <w:sz w:val="20"/>
                <w:szCs w:val="20"/>
              </w:rPr>
            </w:pPr>
            <w:r w:rsidRPr="00331D2D">
              <w:rPr>
                <w:rFonts w:ascii="Arial" w:hAnsi="Arial" w:cs="Arial"/>
                <w:sz w:val="20"/>
                <w:szCs w:val="20"/>
              </w:rPr>
              <w:t>0</w:t>
            </w:r>
            <w:r w:rsidRPr="00331D2D">
              <w:rPr>
                <w:rFonts w:ascii="Arial" w:hAnsi="Arial" w:cs="Arial"/>
                <w:spacing w:val="4"/>
                <w:sz w:val="20"/>
                <w:szCs w:val="20"/>
              </w:rPr>
              <w:t xml:space="preserve"> </w:t>
            </w:r>
            <w:r w:rsidRPr="00331D2D">
              <w:rPr>
                <w:rFonts w:ascii="Arial" w:hAnsi="Arial" w:cs="Arial"/>
                <w:sz w:val="20"/>
                <w:szCs w:val="20"/>
              </w:rPr>
              <w:t>-</w:t>
            </w:r>
            <w:r w:rsidRPr="00331D2D">
              <w:rPr>
                <w:rFonts w:ascii="Arial" w:hAnsi="Arial" w:cs="Arial"/>
                <w:spacing w:val="14"/>
                <w:sz w:val="20"/>
                <w:szCs w:val="20"/>
              </w:rPr>
              <w:t xml:space="preserve"> </w:t>
            </w:r>
            <w:r w:rsidRPr="00331D2D">
              <w:rPr>
                <w:rFonts w:ascii="Arial" w:hAnsi="Arial" w:cs="Arial"/>
                <w:sz w:val="20"/>
                <w:szCs w:val="20"/>
              </w:rPr>
              <w:t>50.6</w:t>
            </w:r>
          </w:p>
        </w:tc>
        <w:tc>
          <w:tcPr>
            <w:tcW w:w="1508"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503" w:right="487"/>
              <w:jc w:val="center"/>
              <w:rPr>
                <w:rFonts w:ascii="Arial" w:eastAsia="Calibri" w:hAnsi="Arial" w:cs="Arial"/>
                <w:sz w:val="20"/>
                <w:szCs w:val="20"/>
              </w:rPr>
            </w:pPr>
            <w:r w:rsidRPr="00331D2D">
              <w:rPr>
                <w:rFonts w:ascii="Arial" w:hAnsi="Arial" w:cs="Arial"/>
                <w:sz w:val="20"/>
                <w:szCs w:val="20"/>
              </w:rPr>
              <w:t>54.9</w:t>
            </w:r>
          </w:p>
        </w:tc>
        <w:tc>
          <w:tcPr>
            <w:tcW w:w="1183" w:type="dxa"/>
            <w:tcBorders>
              <w:top w:val="single" w:sz="7" w:space="0" w:color="000000"/>
              <w:left w:val="single" w:sz="7" w:space="0" w:color="000000"/>
              <w:bottom w:val="single" w:sz="7" w:space="0" w:color="000000"/>
              <w:right w:val="single" w:sz="7" w:space="0" w:color="000000"/>
            </w:tcBorders>
          </w:tcPr>
          <w:p w:rsidR="00090AF1" w:rsidRPr="00315033" w:rsidRDefault="00090AF1" w:rsidP="00FA6045">
            <w:pPr>
              <w:pStyle w:val="TableParagraph"/>
              <w:spacing w:before="15"/>
              <w:ind w:left="353"/>
              <w:rPr>
                <w:rFonts w:ascii="Arial" w:eastAsia="Calibri" w:hAnsi="Arial" w:cs="Arial"/>
                <w:sz w:val="20"/>
                <w:szCs w:val="20"/>
              </w:rPr>
            </w:pPr>
            <w:r w:rsidRPr="00331D2D">
              <w:rPr>
                <w:rFonts w:ascii="Arial" w:hAnsi="Arial" w:cs="Arial"/>
                <w:sz w:val="20"/>
                <w:szCs w:val="20"/>
              </w:rPr>
              <w:t>68.2</w:t>
            </w:r>
          </w:p>
        </w:tc>
      </w:tr>
    </w:tbl>
    <w:p w:rsidR="00076F1F" w:rsidRDefault="00076F1F" w:rsidP="00B02FC6">
      <w:pPr>
        <w:pStyle w:val="BodyText3"/>
        <w:spacing w:before="100" w:beforeAutospacing="1" w:after="100" w:afterAutospacing="1"/>
        <w:rPr>
          <w:rFonts w:cs="Arial"/>
          <w:u w:val="single"/>
        </w:rPr>
      </w:pPr>
      <w:r>
        <w:rPr>
          <w:rFonts w:cs="Arial"/>
          <w:u w:val="single"/>
        </w:rPr>
        <w:t xml:space="preserve">Permit Renewal With </w:t>
      </w:r>
      <w:r w:rsidR="006E21C8">
        <w:rPr>
          <w:rFonts w:cs="Arial"/>
          <w:u w:val="single"/>
        </w:rPr>
        <w:t>Exceptions for Ba</w:t>
      </w:r>
      <w:r>
        <w:rPr>
          <w:rFonts w:cs="Arial"/>
          <w:u w:val="single"/>
        </w:rPr>
        <w:t xml:space="preserve">ckground DO </w:t>
      </w:r>
    </w:p>
    <w:p w:rsidR="006E21C8" w:rsidRPr="006E21C8" w:rsidRDefault="009B106A" w:rsidP="00B02FC6">
      <w:pPr>
        <w:pStyle w:val="BodyText3"/>
        <w:spacing w:before="100" w:beforeAutospacing="1" w:after="100" w:afterAutospacing="1"/>
        <w:rPr>
          <w:rFonts w:cs="Arial"/>
        </w:rPr>
      </w:pPr>
      <w:r>
        <w:rPr>
          <w:rFonts w:cs="Arial"/>
        </w:rPr>
        <w:t xml:space="preserve">Permitting staff are </w:t>
      </w:r>
      <w:r w:rsidR="00397951">
        <w:rPr>
          <w:rFonts w:cs="Arial"/>
        </w:rPr>
        <w:t xml:space="preserve">strongly </w:t>
      </w:r>
      <w:r>
        <w:rPr>
          <w:rFonts w:cs="Arial"/>
        </w:rPr>
        <w:t xml:space="preserve">encouraged to contact staff in the </w:t>
      </w:r>
      <w:r w:rsidR="00397951">
        <w:rPr>
          <w:rFonts w:cs="Arial"/>
        </w:rPr>
        <w:t xml:space="preserve">DEAR </w:t>
      </w:r>
      <w:r>
        <w:rPr>
          <w:rFonts w:cs="Arial"/>
        </w:rPr>
        <w:t xml:space="preserve">Water Quality Standards Program regarding </w:t>
      </w:r>
      <w:r w:rsidR="00397951">
        <w:rPr>
          <w:rFonts w:cs="Arial"/>
        </w:rPr>
        <w:t>applications involving</w:t>
      </w:r>
      <w:r w:rsidR="006E21C8">
        <w:rPr>
          <w:rFonts w:cs="Arial"/>
        </w:rPr>
        <w:t xml:space="preserve"> Rules 62-302.533(3) and (4), F.A.C.</w:t>
      </w:r>
      <w:r w:rsidR="00827D14">
        <w:rPr>
          <w:rFonts w:cs="Arial"/>
        </w:rPr>
        <w:t xml:space="preserve"> </w:t>
      </w:r>
      <w:r>
        <w:rPr>
          <w:rFonts w:cs="Arial"/>
        </w:rPr>
        <w:t xml:space="preserve"> </w:t>
      </w:r>
      <w:r w:rsidR="00827D14" w:rsidRPr="00BF751D">
        <w:rPr>
          <w:rFonts w:cs="Arial"/>
        </w:rPr>
        <w:t xml:space="preserve">EPA did not act on, i.e. did not approve, Appendix H of the TSD in their September 9, 2013 approval letter. EPA indicated that they will require sufficient scientific rigor and documentation of any alternative DO criteria derived under these provisions for their review and approval as a change to the State’s water quality standards.  </w:t>
      </w:r>
      <w:r w:rsidR="00AB49D0">
        <w:rPr>
          <w:rFonts w:cs="Arial"/>
        </w:rPr>
        <w:t>A</w:t>
      </w:r>
      <w:r w:rsidR="00D41BEA">
        <w:rPr>
          <w:rFonts w:cs="Arial"/>
        </w:rPr>
        <w:t xml:space="preserve"> Department action implementing these provisions </w:t>
      </w:r>
      <w:r w:rsidR="006E21C8">
        <w:rPr>
          <w:rFonts w:cs="Arial"/>
        </w:rPr>
        <w:t xml:space="preserve">will </w:t>
      </w:r>
      <w:r w:rsidR="003F6931">
        <w:rPr>
          <w:rFonts w:cs="Arial"/>
        </w:rPr>
        <w:t xml:space="preserve">be contingent on EPA’s approval of the </w:t>
      </w:r>
      <w:r w:rsidR="00C672C4">
        <w:rPr>
          <w:rFonts w:cs="Arial"/>
        </w:rPr>
        <w:t xml:space="preserve">determination of natural background DO levels </w:t>
      </w:r>
      <w:r w:rsidR="003F6931">
        <w:rPr>
          <w:rFonts w:cs="Arial"/>
        </w:rPr>
        <w:t>and the acceptable</w:t>
      </w:r>
      <w:r w:rsidR="003F6931" w:rsidRPr="003F6931">
        <w:rPr>
          <w:rFonts w:cs="Arial"/>
        </w:rPr>
        <w:t xml:space="preserve"> </w:t>
      </w:r>
      <w:r w:rsidR="003F6931">
        <w:rPr>
          <w:rFonts w:cs="Arial"/>
        </w:rPr>
        <w:t xml:space="preserve">deviation from natural background conditions </w:t>
      </w:r>
      <w:r w:rsidR="00C672C4">
        <w:rPr>
          <w:rFonts w:cs="Arial"/>
        </w:rPr>
        <w:t>consistent with</w:t>
      </w:r>
      <w:r w:rsidR="00491753">
        <w:rPr>
          <w:rFonts w:cs="Arial"/>
        </w:rPr>
        <w:t xml:space="preserve"> the appropriate provisions of TSD Appendix H </w:t>
      </w:r>
      <w:r w:rsidR="00C672C4">
        <w:rPr>
          <w:rFonts w:cs="Arial"/>
        </w:rPr>
        <w:t>(“Determination of Acceptable Deviation from Natural Background Dissolved Oxygen Levels in Fresh and Marine Waters”)</w:t>
      </w:r>
      <w:r w:rsidR="00491753">
        <w:rPr>
          <w:rFonts w:cs="Arial"/>
        </w:rPr>
        <w:t xml:space="preserve">.  </w:t>
      </w:r>
      <w:r w:rsidR="00D41BEA">
        <w:rPr>
          <w:rFonts w:cs="Arial"/>
        </w:rPr>
        <w:t>A</w:t>
      </w:r>
      <w:r w:rsidR="00491753">
        <w:rPr>
          <w:rFonts w:cs="Arial"/>
        </w:rPr>
        <w:t xml:space="preserve"> permit </w:t>
      </w:r>
      <w:r w:rsidR="00D41BEA">
        <w:rPr>
          <w:rFonts w:cs="Arial"/>
        </w:rPr>
        <w:t xml:space="preserve">applying these provisions </w:t>
      </w:r>
      <w:r w:rsidR="00491753">
        <w:rPr>
          <w:rFonts w:cs="Arial"/>
        </w:rPr>
        <w:t>w</w:t>
      </w:r>
      <w:r w:rsidR="00D41BEA">
        <w:rPr>
          <w:rFonts w:cs="Arial"/>
        </w:rPr>
        <w:t>ould</w:t>
      </w:r>
      <w:r w:rsidR="00491753">
        <w:rPr>
          <w:rFonts w:cs="Arial"/>
        </w:rPr>
        <w:t xml:space="preserve"> need to include appropriate requirements</w:t>
      </w:r>
      <w:r w:rsidR="00D41BEA">
        <w:rPr>
          <w:rFonts w:cs="Arial"/>
        </w:rPr>
        <w:t xml:space="preserve"> based on the determination</w:t>
      </w:r>
      <w:r w:rsidR="00784FC1">
        <w:rPr>
          <w:rFonts w:cs="Arial"/>
        </w:rPr>
        <w:t>,</w:t>
      </w:r>
      <w:r w:rsidR="00491753">
        <w:rPr>
          <w:rFonts w:cs="Arial"/>
        </w:rPr>
        <w:t xml:space="preserve"> and the fact sheet or statement of basis will need to discuss and provide a rationale for applying </w:t>
      </w:r>
      <w:r w:rsidR="00C672C4">
        <w:rPr>
          <w:rFonts w:cs="Arial"/>
        </w:rPr>
        <w:t>natural background conditions</w:t>
      </w:r>
      <w:r w:rsidR="00491753">
        <w:rPr>
          <w:rFonts w:cs="Arial"/>
        </w:rPr>
        <w:t xml:space="preserve"> in the permit.</w:t>
      </w:r>
      <w:r w:rsidR="00C672C4">
        <w:rPr>
          <w:rFonts w:cs="Arial"/>
        </w:rPr>
        <w:t xml:space="preserve">  </w:t>
      </w:r>
    </w:p>
    <w:p w:rsidR="003E34F2" w:rsidRPr="00A61E66" w:rsidRDefault="003E34F2" w:rsidP="0011051D">
      <w:pPr>
        <w:pStyle w:val="BodyText3"/>
        <w:spacing w:before="100" w:beforeAutospacing="1" w:after="100" w:afterAutospacing="1"/>
        <w:rPr>
          <w:rFonts w:cs="Arial"/>
        </w:rPr>
      </w:pPr>
    </w:p>
    <w:sectPr w:rsidR="003E34F2" w:rsidRPr="00A61E66" w:rsidSect="00EE1A57">
      <w:pgSz w:w="12240" w:h="15840" w:code="1"/>
      <w:pgMar w:top="1267" w:right="1440" w:bottom="634" w:left="1440" w:header="547" w:footer="576"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A77" w:rsidRDefault="00C34A77">
      <w:r>
        <w:separator/>
      </w:r>
    </w:p>
  </w:endnote>
  <w:endnote w:type="continuationSeparator" w:id="0">
    <w:p w:rsidR="00C34A77" w:rsidRDefault="00C34A77">
      <w:r>
        <w:continuationSeparator/>
      </w:r>
    </w:p>
  </w:endnote>
  <w:endnote w:type="continuationNotice" w:id="1">
    <w:p w:rsidR="00C34A77" w:rsidRDefault="00C34A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15785"/>
      <w:docPartObj>
        <w:docPartGallery w:val="Page Numbers (Bottom of Page)"/>
        <w:docPartUnique/>
      </w:docPartObj>
    </w:sdtPr>
    <w:sdtEndPr/>
    <w:sdtContent>
      <w:p w:rsidR="001E7072" w:rsidRDefault="00166042">
        <w:pPr>
          <w:pStyle w:val="Footer"/>
          <w:jc w:val="center"/>
        </w:pPr>
        <w:r>
          <w:fldChar w:fldCharType="begin"/>
        </w:r>
        <w:r>
          <w:instrText xml:space="preserve"> PAGE   \* MERGEFORMAT </w:instrText>
        </w:r>
        <w:r>
          <w:fldChar w:fldCharType="separate"/>
        </w:r>
        <w:r w:rsidR="006D0DB5">
          <w:rPr>
            <w:noProof/>
          </w:rPr>
          <w:t>2</w:t>
        </w:r>
        <w:r>
          <w:rPr>
            <w:noProof/>
          </w:rPr>
          <w:fldChar w:fldCharType="end"/>
        </w:r>
      </w:p>
    </w:sdtContent>
  </w:sdt>
  <w:p w:rsidR="001E7072" w:rsidRDefault="009D666D" w:rsidP="009D666D">
    <w:pPr>
      <w:pStyle w:val="Footer"/>
      <w:jc w:val="right"/>
    </w:pPr>
    <w:r w:rsidRPr="009D666D">
      <w:rPr>
        <w:b/>
        <w:sz w:val="48"/>
        <w:szCs w:val="48"/>
      </w:rPr>
      <w:t>DRAFT</w:t>
    </w:r>
    <w:r w:rsidR="006D0DB5">
      <w:rPr>
        <w:b/>
        <w:sz w:val="48"/>
        <w:szCs w:val="48"/>
      </w:rPr>
      <w:t xml:space="preserve"> 11.10.2014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072" w:rsidRDefault="001E7072">
    <w:pPr>
      <w:pStyle w:val="Footer"/>
      <w:rPr>
        <w:caps/>
      </w:rPr>
    </w:pPr>
  </w:p>
  <w:p w:rsidR="001E7072" w:rsidRDefault="001E70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A77" w:rsidRDefault="00C34A77">
      <w:r>
        <w:separator/>
      </w:r>
    </w:p>
  </w:footnote>
  <w:footnote w:type="continuationSeparator" w:id="0">
    <w:p w:rsidR="00C34A77" w:rsidRDefault="00C34A77">
      <w:r>
        <w:continuationSeparator/>
      </w:r>
    </w:p>
  </w:footnote>
  <w:footnote w:type="continuationNotice" w:id="1">
    <w:p w:rsidR="00C34A77" w:rsidRDefault="00C34A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B7E" w:rsidRDefault="00C34A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449867" o:spid="_x0000_s2069" type="#_x0000_t136" style="position:absolute;margin-left:0;margin-top:0;width:549.9pt;height:109.95pt;rotation:315;z-index:-251655168;mso-position-horizontal:center;mso-position-horizontal-relative:margin;mso-position-vertical:center;mso-position-vertical-relative:margin" o:allowincell="f" fillcolor="#8db3e2 [1311]" stroked="f">
          <v:textpath style="font-family:&quot;Calibri&quot;;font-size:1pt" string="Draft 11.10.201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34D" w:rsidRPr="009D666D" w:rsidRDefault="00C34A77">
    <w:pPr>
      <w:pStyle w:val="Header"/>
      <w:rPr>
        <w:b/>
        <w:sz w:val="48"/>
        <w:szCs w:val="48"/>
      </w:rPr>
    </w:pPr>
    <w:r w:rsidRPr="009D666D">
      <w:rPr>
        <w:b/>
        <w:noProof/>
        <w:sz w:val="48"/>
        <w:szCs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449868" o:spid="_x0000_s2070" type="#_x0000_t136" style="position:absolute;margin-left:0;margin-top:0;width:549.9pt;height:109.95pt;rotation:315;z-index:-251653120;mso-position-horizontal:center;mso-position-horizontal-relative:margin;mso-position-vertical:center;mso-position-vertical-relative:margin" o:allowincell="f" fillcolor="#8db3e2 [1311]" stroked="f">
          <v:textpath style="font-family:&quot;Calibri&quot;;font-size:1pt" string="Draft 11.10.2014"/>
          <w10:wrap anchorx="margin" anchory="margin"/>
        </v:shape>
      </w:pict>
    </w:r>
    <w:r w:rsidR="009D666D" w:rsidRPr="009D666D">
      <w:rPr>
        <w:b/>
        <w:sz w:val="48"/>
        <w:szCs w:val="48"/>
      </w:rPr>
      <w:t>DRAFT</w:t>
    </w:r>
    <w:r w:rsidR="006D0DB5">
      <w:rPr>
        <w:b/>
        <w:sz w:val="48"/>
        <w:szCs w:val="48"/>
      </w:rPr>
      <w:t xml:space="preserve"> 11.10.2014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072" w:rsidRDefault="00C34A77">
    <w:pPr>
      <w:pStyle w:val="Footer"/>
      <w:tabs>
        <w:tab w:val="clear" w:pos="8640"/>
        <w:tab w:val="right" w:pos="9810"/>
      </w:tabs>
      <w:ind w:right="-45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449866" o:spid="_x0000_s2068" type="#_x0000_t136" style="position:absolute;margin-left:0;margin-top:0;width:549.9pt;height:109.95pt;rotation:315;z-index:-251657216;mso-position-horizontal:center;mso-position-horizontal-relative:margin;mso-position-vertical:center;mso-position-vertical-relative:margin" o:allowincell="f" fillcolor="#8db3e2 [1311]" stroked="f">
          <v:textpath style="font-family:&quot;Calibri&quot;;font-size:1pt" string="Draft 11.10.2014"/>
          <w10:wrap anchorx="margin" anchory="margin"/>
        </v:shape>
      </w:pict>
    </w:r>
    <w:r w:rsidR="001E7072">
      <w:t xml:space="preserve">Wastewater Permit Writer’s Manual </w:t>
    </w:r>
    <w:r w:rsidR="001E7072">
      <w:sym w:font="Wingdings" w:char="F07A"/>
    </w:r>
    <w:r w:rsidR="001E7072">
      <w:t xml:space="preserve"> Special Considerations for Permitting Discharges to Surface </w:t>
    </w:r>
  </w:p>
  <w:p w:rsidR="001E7072" w:rsidRDefault="00831D4E">
    <w:pPr>
      <w:pStyle w:val="Footer"/>
      <w:tabs>
        <w:tab w:val="clear" w:pos="8640"/>
        <w:tab w:val="right" w:pos="9810"/>
      </w:tabs>
      <w:ind w:right="-450"/>
    </w:pPr>
    <w:r>
      <w:rPr>
        <w:noProof/>
      </w:rPr>
      <mc:AlternateContent>
        <mc:Choice Requires="wps">
          <w:drawing>
            <wp:anchor distT="0" distB="0" distL="114300" distR="114300" simplePos="0" relativeHeight="251654144" behindDoc="0" locked="0" layoutInCell="0" allowOverlap="1" wp14:anchorId="6A7540D2" wp14:editId="2F44A9E2">
              <wp:simplePos x="0" y="0"/>
              <wp:positionH relativeFrom="column">
                <wp:posOffset>5486400</wp:posOffset>
              </wp:positionH>
              <wp:positionV relativeFrom="paragraph">
                <wp:posOffset>36830</wp:posOffset>
              </wp:positionV>
              <wp:extent cx="457200" cy="246380"/>
              <wp:effectExtent l="0" t="0" r="0" b="12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6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072" w:rsidRDefault="00836C80">
                          <w:r>
                            <w:rPr>
                              <w:rStyle w:val="PageNumber"/>
                              <w:rFonts w:ascii="Arial" w:hAnsi="Arial"/>
                            </w:rPr>
                            <w:fldChar w:fldCharType="begin"/>
                          </w:r>
                          <w:r w:rsidR="001E7072">
                            <w:rPr>
                              <w:rStyle w:val="PageNumber"/>
                              <w:rFonts w:ascii="Arial" w:hAnsi="Arial"/>
                            </w:rPr>
                            <w:instrText xml:space="preserve"> PAGE </w:instrText>
                          </w:r>
                          <w:r>
                            <w:rPr>
                              <w:rStyle w:val="PageNumber"/>
                              <w:rFonts w:ascii="Arial" w:hAnsi="Arial"/>
                            </w:rPr>
                            <w:fldChar w:fldCharType="separate"/>
                          </w:r>
                          <w:r w:rsidR="00D55BD9">
                            <w:rPr>
                              <w:rStyle w:val="PageNumber"/>
                              <w:rFonts w:ascii="Arial" w:hAnsi="Arial"/>
                              <w:noProof/>
                            </w:rPr>
                            <w:t>6</w:t>
                          </w:r>
                          <w:r>
                            <w:rPr>
                              <w:rStyle w:val="PageNumber"/>
                              <w:rFonts w:ascii="Arial" w:hAnsi="Aria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540D2" id="_x0000_t202" coordsize="21600,21600" o:spt="202" path="m,l,21600r21600,l21600,xe">
              <v:stroke joinstyle="miter"/>
              <v:path gradientshapeok="t" o:connecttype="rect"/>
            </v:shapetype>
            <v:shape id="Text Box 2" o:spid="_x0000_s1026" type="#_x0000_t202" style="position:absolute;margin-left:6in;margin-top:2.9pt;width:36pt;height:19.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" o:allowincell="f" stroked="f">
              <v:textbox>
                <w:txbxContent>
                  <w:p w:rsidR="001E7072" w:rsidRDefault="00836C80">
                    <w:r>
                      <w:rPr>
                        <w:rStyle w:val="PageNumber"/>
                        <w:rFonts w:ascii="Arial" w:hAnsi="Arial"/>
                      </w:rPr>
                      <w:fldChar w:fldCharType="begin"/>
                    </w:r>
                    <w:r w:rsidR="001E7072">
                      <w:rPr>
                        <w:rStyle w:val="PageNumber"/>
                        <w:rFonts w:ascii="Arial" w:hAnsi="Arial"/>
                      </w:rPr>
                      <w:instrText xml:space="preserve"> PAGE </w:instrText>
                    </w:r>
                    <w:r>
                      <w:rPr>
                        <w:rStyle w:val="PageNumber"/>
                        <w:rFonts w:ascii="Arial" w:hAnsi="Arial"/>
                      </w:rPr>
                      <w:fldChar w:fldCharType="separate"/>
                    </w:r>
                    <w:r w:rsidR="00D55BD9">
                      <w:rPr>
                        <w:rStyle w:val="PageNumber"/>
                        <w:rFonts w:ascii="Arial" w:hAnsi="Arial"/>
                        <w:noProof/>
                      </w:rPr>
                      <w:t>6</w:t>
                    </w:r>
                    <w:r>
                      <w:rPr>
                        <w:rStyle w:val="PageNumber"/>
                        <w:rFonts w:ascii="Arial" w:hAnsi="Arial"/>
                      </w:rPr>
                      <w:fldChar w:fldCharType="end"/>
                    </w:r>
                  </w:p>
                </w:txbxContent>
              </v:textbox>
              <w10:wrap type="square"/>
            </v:shape>
          </w:pict>
        </mc:Fallback>
      </mc:AlternateContent>
    </w:r>
    <w:r w:rsidR="001E7072">
      <w:t>Waters – May 2000</w:t>
    </w:r>
  </w:p>
  <w:p w:rsidR="001E7072" w:rsidRDefault="00831D4E">
    <w:pPr>
      <w:pStyle w:val="Header"/>
      <w:rPr>
        <w:sz w:val="18"/>
      </w:rPr>
    </w:pPr>
    <w:r>
      <w:rPr>
        <w:noProof/>
        <w:sz w:val="18"/>
      </w:rPr>
      <mc:AlternateContent>
        <mc:Choice Requires="wps">
          <w:drawing>
            <wp:anchor distT="4294967293" distB="4294967293" distL="114300" distR="114300" simplePos="0" relativeHeight="251652096" behindDoc="0" locked="0" layoutInCell="0" allowOverlap="1" wp14:anchorId="783604A9" wp14:editId="4B5DC520">
              <wp:simplePos x="0" y="0"/>
              <wp:positionH relativeFrom="column">
                <wp:posOffset>0</wp:posOffset>
              </wp:positionH>
              <wp:positionV relativeFrom="paragraph">
                <wp:posOffset>73659</wp:posOffset>
              </wp:positionV>
              <wp:extent cx="5486400" cy="0"/>
              <wp:effectExtent l="0" t="19050" r="19050" b="19050"/>
              <wp:wrapTopAndBottom/>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28575">
                        <a:solidFill>
                          <a:srgbClr val="3366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0D17E" id="Line 1" o:spid="_x0000_s1026" style="position:absolute;z-index:2516520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8pt" to="6in,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" o:allowincell="f" strokecolor="#369" strokeweight="2.25pt">
              <w10:wrap type="topAndBottom"/>
            </v:line>
          </w:pict>
        </mc:Fallback>
      </mc:AlternateContent>
    </w:r>
  </w:p>
  <w:p w:rsidR="001E7072" w:rsidRDefault="001E70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57C2790"/>
    <w:multiLevelType w:val="multilevel"/>
    <w:tmpl w:val="11CE5436"/>
    <w:lvl w:ilvl="0">
      <w:start w:val="13"/>
      <w:numFmt w:val="decimal"/>
      <w:lvlText w:val="%1."/>
      <w:lvlJc w:val="left"/>
      <w:pPr>
        <w:tabs>
          <w:tab w:val="num" w:pos="360"/>
        </w:tabs>
        <w:ind w:left="0" w:firstLine="0"/>
      </w:pPr>
      <w:rPr>
        <w:rFonts w:ascii="Arial" w:hAnsi="Arial" w:hint="default"/>
        <w:b/>
        <w:i w:val="0"/>
        <w:sz w:val="28"/>
      </w:rPr>
    </w:lvl>
    <w:lvl w:ilvl="1">
      <w:start w:val="1"/>
      <w:numFmt w:val="decimal"/>
      <w:lvlText w:val="13.%2"/>
      <w:lvlJc w:val="left"/>
      <w:pPr>
        <w:tabs>
          <w:tab w:val="num" w:pos="720"/>
        </w:tabs>
        <w:ind w:left="0" w:firstLine="0"/>
      </w:pPr>
      <w:rPr>
        <w:rFonts w:ascii="Arial" w:hAnsi="Arial" w:hint="default"/>
        <w:b/>
        <w:i w:val="0"/>
        <w:sz w:val="24"/>
      </w:rPr>
    </w:lvl>
    <w:lvl w:ilvl="2">
      <w:start w:val="1"/>
      <w:numFmt w:val="decimal"/>
      <w:suff w:val="space"/>
      <w:lvlText w:val="13.7.%3"/>
      <w:lvlJc w:val="left"/>
      <w:pPr>
        <w:ind w:left="0" w:firstLine="0"/>
      </w:pPr>
      <w:rPr>
        <w:rFonts w:ascii="Arial" w:hAnsi="Arial" w:hint="default"/>
        <w:b w:val="0"/>
        <w:i/>
        <w:sz w:val="24"/>
        <w:u w:val="single"/>
      </w:rPr>
    </w:lvl>
    <w:lvl w:ilvl="3">
      <w:start w:val="13"/>
      <w:numFmt w:val="none"/>
      <w:lvlText w:val="13.7.2.2."/>
      <w:lvlJc w:val="left"/>
      <w:pPr>
        <w:tabs>
          <w:tab w:val="num" w:pos="1080"/>
        </w:tabs>
        <w:ind w:left="0" w:firstLine="0"/>
      </w:pPr>
      <w:rPr>
        <w:rFonts w:ascii="Arial" w:hAnsi="Arial" w:hint="default"/>
        <w:b w:val="0"/>
        <w:i/>
        <w:sz w:val="24"/>
      </w:rPr>
    </w:lvl>
    <w:lvl w:ilvl="4">
      <w:start w:val="1"/>
      <w:numFmt w:val="decimal"/>
      <w:lvlText w:val="%1.%2.%3.1.%5."/>
      <w:lvlJc w:val="left"/>
      <w:pPr>
        <w:tabs>
          <w:tab w:val="num" w:pos="1080"/>
        </w:tabs>
        <w:ind w:left="0" w:firstLine="0"/>
      </w:pPr>
      <w:rPr>
        <w:rFonts w:ascii="Arial" w:hAnsi="Arial" w:hint="default"/>
        <w:b w:val="0"/>
        <w:i w:val="0"/>
        <w:sz w:val="22"/>
      </w:r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nsid w:val="0B817B46"/>
    <w:multiLevelType w:val="hybridMultilevel"/>
    <w:tmpl w:val="40960D82"/>
    <w:lvl w:ilvl="0" w:tplc="04090011">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3">
    <w:nsid w:val="0C8A49DD"/>
    <w:multiLevelType w:val="hybridMultilevel"/>
    <w:tmpl w:val="ADF66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936DB0"/>
    <w:multiLevelType w:val="multilevel"/>
    <w:tmpl w:val="86829AC6"/>
    <w:lvl w:ilvl="0">
      <w:start w:val="13"/>
      <w:numFmt w:val="decimal"/>
      <w:lvlText w:val="%1"/>
      <w:lvlJc w:val="left"/>
      <w:pPr>
        <w:ind w:left="855" w:hanging="855"/>
      </w:pPr>
      <w:rPr>
        <w:rFonts w:hint="default"/>
      </w:rPr>
    </w:lvl>
    <w:lvl w:ilvl="1">
      <w:start w:val="4"/>
      <w:numFmt w:val="decimal"/>
      <w:lvlText w:val="%1.%2"/>
      <w:lvlJc w:val="left"/>
      <w:pPr>
        <w:ind w:left="855" w:hanging="855"/>
      </w:pPr>
      <w:rPr>
        <w:rFonts w:hint="default"/>
      </w:rPr>
    </w:lvl>
    <w:lvl w:ilvl="2">
      <w:start w:val="4"/>
      <w:numFmt w:val="decimal"/>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99B137C"/>
    <w:multiLevelType w:val="singleLevel"/>
    <w:tmpl w:val="3A125614"/>
    <w:lvl w:ilvl="0">
      <w:start w:val="1"/>
      <w:numFmt w:val="decimal"/>
      <w:lvlText w:val="%1)"/>
      <w:lvlJc w:val="left"/>
      <w:pPr>
        <w:tabs>
          <w:tab w:val="num" w:pos="1080"/>
        </w:tabs>
        <w:ind w:left="1080" w:hanging="360"/>
      </w:pPr>
      <w:rPr>
        <w:rFonts w:hint="default"/>
      </w:rPr>
    </w:lvl>
  </w:abstractNum>
  <w:abstractNum w:abstractNumId="6">
    <w:nsid w:val="1BC9295E"/>
    <w:multiLevelType w:val="hybridMultilevel"/>
    <w:tmpl w:val="A6A0CB44"/>
    <w:lvl w:ilvl="0" w:tplc="D0DC23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B279F8"/>
    <w:multiLevelType w:val="hybridMultilevel"/>
    <w:tmpl w:val="F4D09AB2"/>
    <w:lvl w:ilvl="0" w:tplc="50B6CF42">
      <w:start w:val="1"/>
      <w:numFmt w:val="decimal"/>
      <w:lvlText w:val="%1."/>
      <w:lvlJc w:val="left"/>
      <w:pPr>
        <w:ind w:left="1128" w:hanging="360"/>
      </w:pPr>
      <w:rPr>
        <w:rFonts w:hint="default"/>
        <w:sz w:val="22"/>
      </w:rPr>
    </w:lvl>
    <w:lvl w:ilvl="1" w:tplc="04090003">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8">
    <w:nsid w:val="1E351DE1"/>
    <w:multiLevelType w:val="hybridMultilevel"/>
    <w:tmpl w:val="A224BE7E"/>
    <w:lvl w:ilvl="0" w:tplc="D730ED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1E2ED7"/>
    <w:multiLevelType w:val="hybridMultilevel"/>
    <w:tmpl w:val="40960D82"/>
    <w:lvl w:ilvl="0" w:tplc="04090011">
      <w:start w:val="1"/>
      <w:numFmt w:val="decimal"/>
      <w:lvlText w:val="%1)"/>
      <w:lvlJc w:val="left"/>
      <w:pPr>
        <w:ind w:left="766" w:hanging="360"/>
      </w:pPr>
    </w:lvl>
    <w:lvl w:ilvl="1" w:tplc="04090019">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0">
    <w:nsid w:val="260E19CA"/>
    <w:multiLevelType w:val="hybridMultilevel"/>
    <w:tmpl w:val="5032D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D2124"/>
    <w:multiLevelType w:val="hybridMultilevel"/>
    <w:tmpl w:val="27368E2A"/>
    <w:lvl w:ilvl="0" w:tplc="03A6362A">
      <w:start w:val="1"/>
      <w:numFmt w:val="decimal"/>
      <w:lvlText w:val="%1)"/>
      <w:lvlJc w:val="left"/>
      <w:pPr>
        <w:ind w:left="7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CD1D32"/>
    <w:multiLevelType w:val="singleLevel"/>
    <w:tmpl w:val="CBACFF78"/>
    <w:lvl w:ilvl="0">
      <w:start w:val="4"/>
      <w:numFmt w:val="lowerLetter"/>
      <w:lvlText w:val="%1)"/>
      <w:lvlJc w:val="left"/>
      <w:pPr>
        <w:tabs>
          <w:tab w:val="num" w:pos="360"/>
        </w:tabs>
        <w:ind w:left="360" w:hanging="360"/>
      </w:pPr>
    </w:lvl>
  </w:abstractNum>
  <w:abstractNum w:abstractNumId="13">
    <w:nsid w:val="281A26CA"/>
    <w:multiLevelType w:val="hybridMultilevel"/>
    <w:tmpl w:val="AE3E08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91539C"/>
    <w:multiLevelType w:val="hybridMultilevel"/>
    <w:tmpl w:val="AB7E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395DAB"/>
    <w:multiLevelType w:val="hybridMultilevel"/>
    <w:tmpl w:val="5D5284A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nsid w:val="40F52F9E"/>
    <w:multiLevelType w:val="multilevel"/>
    <w:tmpl w:val="0C5A3C94"/>
    <w:lvl w:ilvl="0">
      <w:start w:val="13"/>
      <w:numFmt w:val="decimal"/>
      <w:lvlText w:val="%1"/>
      <w:lvlJc w:val="left"/>
      <w:pPr>
        <w:tabs>
          <w:tab w:val="num" w:pos="816"/>
        </w:tabs>
        <w:ind w:left="816" w:hanging="816"/>
      </w:pPr>
      <w:rPr>
        <w:rFonts w:hint="default"/>
      </w:rPr>
    </w:lvl>
    <w:lvl w:ilvl="1">
      <w:start w:val="2"/>
      <w:numFmt w:val="decimal"/>
      <w:lvlText w:val="%1.%2"/>
      <w:lvlJc w:val="left"/>
      <w:pPr>
        <w:tabs>
          <w:tab w:val="num" w:pos="816"/>
        </w:tabs>
        <w:ind w:left="816" w:hanging="816"/>
      </w:pPr>
      <w:rPr>
        <w:rFonts w:hint="default"/>
      </w:rPr>
    </w:lvl>
    <w:lvl w:ilvl="2">
      <w:start w:val="1"/>
      <w:numFmt w:val="decimal"/>
      <w:lvlText w:val="%1.%2.%3"/>
      <w:lvlJc w:val="left"/>
      <w:pPr>
        <w:tabs>
          <w:tab w:val="num" w:pos="816"/>
        </w:tabs>
        <w:ind w:left="816" w:hanging="816"/>
      </w:pPr>
      <w:rPr>
        <w:rFonts w:ascii="Arial" w:hAnsi="Arial" w:hint="default"/>
        <w:b w:val="0"/>
        <w:i/>
        <w:sz w:val="22"/>
        <w:u w:val="none"/>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3670914"/>
    <w:multiLevelType w:val="multilevel"/>
    <w:tmpl w:val="FBB0386E"/>
    <w:lvl w:ilvl="0">
      <w:start w:val="13"/>
      <w:numFmt w:val="decimal"/>
      <w:lvlText w:val="%1."/>
      <w:lvlJc w:val="left"/>
      <w:pPr>
        <w:tabs>
          <w:tab w:val="num" w:pos="360"/>
        </w:tabs>
        <w:ind w:left="0" w:firstLine="0"/>
      </w:pPr>
      <w:rPr>
        <w:rFonts w:ascii="Arial" w:hAnsi="Arial" w:hint="default"/>
        <w:b/>
        <w:i w:val="0"/>
        <w:sz w:val="28"/>
      </w:rPr>
    </w:lvl>
    <w:lvl w:ilvl="1">
      <w:start w:val="1"/>
      <w:numFmt w:val="decimal"/>
      <w:lvlText w:val="13.%2"/>
      <w:lvlJc w:val="left"/>
      <w:pPr>
        <w:tabs>
          <w:tab w:val="num" w:pos="720"/>
        </w:tabs>
        <w:ind w:left="0" w:firstLine="0"/>
      </w:pPr>
      <w:rPr>
        <w:rFonts w:ascii="Arial" w:hAnsi="Arial" w:hint="default"/>
        <w:b/>
        <w:i w:val="0"/>
        <w:sz w:val="24"/>
      </w:rPr>
    </w:lvl>
    <w:lvl w:ilvl="2">
      <w:start w:val="1"/>
      <w:numFmt w:val="none"/>
      <w:suff w:val="space"/>
      <w:lvlText w:val="13.2.2"/>
      <w:lvlJc w:val="left"/>
      <w:pPr>
        <w:ind w:left="0" w:firstLine="0"/>
      </w:pPr>
      <w:rPr>
        <w:rFonts w:ascii="Arial" w:hAnsi="Arial" w:hint="default"/>
        <w:b w:val="0"/>
        <w:i/>
        <w:sz w:val="22"/>
        <w:szCs w:val="22"/>
        <w:u w:val="none"/>
      </w:rPr>
    </w:lvl>
    <w:lvl w:ilvl="3">
      <w:start w:val="13"/>
      <w:numFmt w:val="decimal"/>
      <w:lvlText w:val="%4.4.%3.1."/>
      <w:lvlJc w:val="left"/>
      <w:pPr>
        <w:tabs>
          <w:tab w:val="num" w:pos="1080"/>
        </w:tabs>
        <w:ind w:left="0" w:firstLine="0"/>
      </w:pPr>
      <w:rPr>
        <w:rFonts w:ascii="Arial" w:hAnsi="Arial" w:hint="default"/>
        <w:b w:val="0"/>
        <w:i/>
        <w:sz w:val="22"/>
      </w:rPr>
    </w:lvl>
    <w:lvl w:ilvl="4">
      <w:start w:val="1"/>
      <w:numFmt w:val="decimal"/>
      <w:lvlText w:val="%1.%2.%3.1.%5."/>
      <w:lvlJc w:val="left"/>
      <w:pPr>
        <w:tabs>
          <w:tab w:val="num" w:pos="1080"/>
        </w:tabs>
        <w:ind w:left="0" w:firstLine="0"/>
      </w:pPr>
      <w:rPr>
        <w:rFonts w:ascii="Arial" w:hAnsi="Arial" w:hint="default"/>
        <w:b w:val="0"/>
        <w:i w:val="0"/>
        <w:sz w:val="22"/>
      </w:r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nsid w:val="4775059C"/>
    <w:multiLevelType w:val="hybridMultilevel"/>
    <w:tmpl w:val="D99A99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1E35C3"/>
    <w:multiLevelType w:val="hybridMultilevel"/>
    <w:tmpl w:val="4712E410"/>
    <w:lvl w:ilvl="0" w:tplc="087C0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1E51FD"/>
    <w:multiLevelType w:val="singleLevel"/>
    <w:tmpl w:val="181C4F36"/>
    <w:lvl w:ilvl="0">
      <w:start w:val="1"/>
      <w:numFmt w:val="decimal"/>
      <w:lvlText w:val="%1)"/>
      <w:lvlJc w:val="left"/>
      <w:pPr>
        <w:tabs>
          <w:tab w:val="num" w:pos="1080"/>
        </w:tabs>
        <w:ind w:left="1080" w:hanging="360"/>
      </w:pPr>
      <w:rPr>
        <w:rFonts w:hint="default"/>
      </w:rPr>
    </w:lvl>
  </w:abstractNum>
  <w:abstractNum w:abstractNumId="21">
    <w:nsid w:val="51D17F33"/>
    <w:multiLevelType w:val="hybridMultilevel"/>
    <w:tmpl w:val="5032D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DA4A2E"/>
    <w:multiLevelType w:val="multilevel"/>
    <w:tmpl w:val="F4C26116"/>
    <w:lvl w:ilvl="0">
      <w:start w:val="13"/>
      <w:numFmt w:val="decimal"/>
      <w:lvlText w:val="%1"/>
      <w:lvlJc w:val="left"/>
      <w:pPr>
        <w:ind w:left="465" w:hanging="465"/>
      </w:pPr>
      <w:rPr>
        <w:rFonts w:hint="default"/>
      </w:rPr>
    </w:lvl>
    <w:lvl w:ilvl="1">
      <w:start w:val="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3C865F2"/>
    <w:multiLevelType w:val="hybridMultilevel"/>
    <w:tmpl w:val="BD888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D4705D"/>
    <w:multiLevelType w:val="singleLevel"/>
    <w:tmpl w:val="04090011"/>
    <w:lvl w:ilvl="0">
      <w:start w:val="1"/>
      <w:numFmt w:val="decimal"/>
      <w:lvlText w:val="%1)"/>
      <w:lvlJc w:val="left"/>
      <w:pPr>
        <w:tabs>
          <w:tab w:val="num" w:pos="360"/>
        </w:tabs>
        <w:ind w:left="360" w:hanging="360"/>
      </w:pPr>
      <w:rPr>
        <w:rFonts w:hint="default"/>
      </w:rPr>
    </w:lvl>
  </w:abstractNum>
  <w:abstractNum w:abstractNumId="25">
    <w:nsid w:val="58B31E5F"/>
    <w:multiLevelType w:val="singleLevel"/>
    <w:tmpl w:val="9800A926"/>
    <w:lvl w:ilvl="0">
      <w:start w:val="1"/>
      <w:numFmt w:val="lowerLetter"/>
      <w:lvlText w:val="%1)"/>
      <w:lvlJc w:val="left"/>
      <w:pPr>
        <w:tabs>
          <w:tab w:val="num" w:pos="1800"/>
        </w:tabs>
        <w:ind w:left="1800" w:hanging="360"/>
      </w:pPr>
      <w:rPr>
        <w:rFonts w:hint="default"/>
      </w:rPr>
    </w:lvl>
  </w:abstractNum>
  <w:abstractNum w:abstractNumId="26">
    <w:nsid w:val="596F4912"/>
    <w:multiLevelType w:val="hybridMultilevel"/>
    <w:tmpl w:val="B4442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4F1B66"/>
    <w:multiLevelType w:val="singleLevel"/>
    <w:tmpl w:val="0409000F"/>
    <w:lvl w:ilvl="0">
      <w:start w:val="1"/>
      <w:numFmt w:val="decimal"/>
      <w:lvlText w:val="%1."/>
      <w:lvlJc w:val="left"/>
      <w:pPr>
        <w:tabs>
          <w:tab w:val="num" w:pos="360"/>
        </w:tabs>
        <w:ind w:left="360" w:hanging="360"/>
      </w:pPr>
    </w:lvl>
  </w:abstractNum>
  <w:abstractNum w:abstractNumId="28">
    <w:nsid w:val="605206E0"/>
    <w:multiLevelType w:val="multilevel"/>
    <w:tmpl w:val="D0865A78"/>
    <w:lvl w:ilvl="0">
      <w:start w:val="13"/>
      <w:numFmt w:val="decimal"/>
      <w:lvlText w:val="%1"/>
      <w:lvlJc w:val="left"/>
      <w:pPr>
        <w:tabs>
          <w:tab w:val="num" w:pos="900"/>
        </w:tabs>
        <w:ind w:left="900" w:hanging="900"/>
      </w:pPr>
      <w:rPr>
        <w:rFonts w:hint="default"/>
      </w:rPr>
    </w:lvl>
    <w:lvl w:ilvl="1">
      <w:start w:val="6"/>
      <w:numFmt w:val="decimal"/>
      <w:lvlText w:val="%1.%2"/>
      <w:lvlJc w:val="left"/>
      <w:pPr>
        <w:tabs>
          <w:tab w:val="num" w:pos="900"/>
        </w:tabs>
        <w:ind w:left="900" w:hanging="900"/>
      </w:pPr>
      <w:rPr>
        <w:rFonts w:hint="default"/>
      </w:rPr>
    </w:lvl>
    <w:lvl w:ilvl="2">
      <w:start w:val="3"/>
      <w:numFmt w:val="decimal"/>
      <w:lvlText w:val="%1.%2.%3"/>
      <w:lvlJc w:val="left"/>
      <w:pPr>
        <w:tabs>
          <w:tab w:val="num" w:pos="900"/>
        </w:tabs>
        <w:ind w:left="900" w:hanging="900"/>
      </w:pPr>
      <w:rPr>
        <w:rFonts w:hint="default"/>
      </w:rPr>
    </w:lvl>
    <w:lvl w:ilvl="3">
      <w:start w:val="2"/>
      <w:numFmt w:val="decimal"/>
      <w:lvlText w:val="%1.%2.%3.%4"/>
      <w:lvlJc w:val="left"/>
      <w:pPr>
        <w:tabs>
          <w:tab w:val="num" w:pos="900"/>
        </w:tabs>
        <w:ind w:left="900" w:hanging="900"/>
      </w:pPr>
      <w:rPr>
        <w:rFonts w:hint="default"/>
      </w:rPr>
    </w:lvl>
    <w:lvl w:ilvl="4">
      <w:start w:val="1"/>
      <w:numFmt w:val="decimal"/>
      <w:lvlText w:val="%1.%2.%3.%4.%5"/>
      <w:lvlJc w:val="left"/>
      <w:pPr>
        <w:tabs>
          <w:tab w:val="num" w:pos="900"/>
        </w:tabs>
        <w:ind w:left="900" w:hanging="90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60EC1895"/>
    <w:multiLevelType w:val="singleLevel"/>
    <w:tmpl w:val="04090017"/>
    <w:lvl w:ilvl="0">
      <w:start w:val="1"/>
      <w:numFmt w:val="lowerLetter"/>
      <w:lvlText w:val="%1)"/>
      <w:lvlJc w:val="left"/>
      <w:pPr>
        <w:tabs>
          <w:tab w:val="num" w:pos="360"/>
        </w:tabs>
        <w:ind w:left="360" w:hanging="360"/>
      </w:pPr>
    </w:lvl>
  </w:abstractNum>
  <w:abstractNum w:abstractNumId="30">
    <w:nsid w:val="69DC7A3D"/>
    <w:multiLevelType w:val="hybridMultilevel"/>
    <w:tmpl w:val="76EEF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474C27"/>
    <w:multiLevelType w:val="singleLevel"/>
    <w:tmpl w:val="819CDA08"/>
    <w:lvl w:ilvl="0">
      <w:start w:val="1"/>
      <w:numFmt w:val="decimal"/>
      <w:lvlText w:val="%1)"/>
      <w:lvlJc w:val="left"/>
      <w:pPr>
        <w:tabs>
          <w:tab w:val="num" w:pos="720"/>
        </w:tabs>
        <w:ind w:left="720" w:hanging="360"/>
      </w:pPr>
      <w:rPr>
        <w:rFonts w:hint="default"/>
      </w:rPr>
    </w:lvl>
  </w:abstractNum>
  <w:abstractNum w:abstractNumId="32">
    <w:nsid w:val="74872C79"/>
    <w:multiLevelType w:val="multilevel"/>
    <w:tmpl w:val="98127E4A"/>
    <w:lvl w:ilvl="0">
      <w:start w:val="13"/>
      <w:numFmt w:val="decimal"/>
      <w:lvlText w:val="%1"/>
      <w:lvlJc w:val="left"/>
      <w:pPr>
        <w:tabs>
          <w:tab w:val="num" w:pos="795"/>
        </w:tabs>
        <w:ind w:left="795" w:hanging="795"/>
      </w:pPr>
      <w:rPr>
        <w:rFonts w:hint="default"/>
      </w:rPr>
    </w:lvl>
    <w:lvl w:ilvl="1">
      <w:start w:val="5"/>
      <w:numFmt w:val="decimal"/>
      <w:lvlText w:val="%1.%2"/>
      <w:lvlJc w:val="left"/>
      <w:pPr>
        <w:tabs>
          <w:tab w:val="num" w:pos="795"/>
        </w:tabs>
        <w:ind w:left="795" w:hanging="795"/>
      </w:pPr>
      <w:rPr>
        <w:rFonts w:hint="default"/>
      </w:rPr>
    </w:lvl>
    <w:lvl w:ilvl="2">
      <w:start w:val="4"/>
      <w:numFmt w:val="decimal"/>
      <w:lvlText w:val="%1.%2.%3"/>
      <w:lvlJc w:val="left"/>
      <w:pPr>
        <w:tabs>
          <w:tab w:val="num" w:pos="795"/>
        </w:tabs>
        <w:ind w:left="795" w:hanging="79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5BF023A"/>
    <w:multiLevelType w:val="singleLevel"/>
    <w:tmpl w:val="48382464"/>
    <w:lvl w:ilvl="0">
      <w:start w:val="1"/>
      <w:numFmt w:val="upperLetter"/>
      <w:lvlText w:val="%1."/>
      <w:lvlJc w:val="left"/>
      <w:pPr>
        <w:tabs>
          <w:tab w:val="num" w:pos="720"/>
        </w:tabs>
        <w:ind w:left="720" w:hanging="360"/>
      </w:pPr>
      <w:rPr>
        <w:rFonts w:hint="default"/>
      </w:rPr>
    </w:lvl>
  </w:abstractNum>
  <w:abstractNum w:abstractNumId="34">
    <w:nsid w:val="791561F1"/>
    <w:multiLevelType w:val="multilevel"/>
    <w:tmpl w:val="454E4256"/>
    <w:lvl w:ilvl="0">
      <w:start w:val="13"/>
      <w:numFmt w:val="decimal"/>
      <w:pStyle w:val="Heading1"/>
      <w:lvlText w:val="%1."/>
      <w:lvlJc w:val="left"/>
      <w:pPr>
        <w:tabs>
          <w:tab w:val="num" w:pos="360"/>
        </w:tabs>
        <w:ind w:left="0" w:firstLine="0"/>
      </w:pPr>
      <w:rPr>
        <w:rFonts w:ascii="Arial" w:hAnsi="Arial" w:hint="default"/>
        <w:b/>
        <w:i w:val="0"/>
        <w:sz w:val="28"/>
      </w:rPr>
    </w:lvl>
    <w:lvl w:ilvl="1">
      <w:start w:val="1"/>
      <w:numFmt w:val="decimal"/>
      <w:pStyle w:val="Heading2"/>
      <w:lvlText w:val="13.%2"/>
      <w:lvlJc w:val="left"/>
      <w:pPr>
        <w:tabs>
          <w:tab w:val="num" w:pos="720"/>
        </w:tabs>
        <w:ind w:left="0" w:firstLine="0"/>
      </w:pPr>
      <w:rPr>
        <w:rFonts w:ascii="Arial" w:hAnsi="Arial" w:hint="default"/>
        <w:b/>
        <w:i w:val="0"/>
        <w:sz w:val="24"/>
      </w:rPr>
    </w:lvl>
    <w:lvl w:ilvl="2">
      <w:start w:val="1"/>
      <w:numFmt w:val="none"/>
      <w:pStyle w:val="Heading3"/>
      <w:suff w:val="space"/>
      <w:lvlText w:val="13.2.3"/>
      <w:lvlJc w:val="left"/>
      <w:pPr>
        <w:ind w:left="0" w:firstLine="0"/>
      </w:pPr>
      <w:rPr>
        <w:rFonts w:ascii="Arial" w:hAnsi="Arial" w:hint="default"/>
        <w:b w:val="0"/>
        <w:i/>
        <w:sz w:val="22"/>
        <w:szCs w:val="22"/>
        <w:u w:val="none"/>
      </w:rPr>
    </w:lvl>
    <w:lvl w:ilvl="3">
      <w:start w:val="13"/>
      <w:numFmt w:val="decimal"/>
      <w:lvlText w:val="%4.4.%3.1."/>
      <w:lvlJc w:val="left"/>
      <w:pPr>
        <w:tabs>
          <w:tab w:val="num" w:pos="1080"/>
        </w:tabs>
        <w:ind w:left="0" w:firstLine="0"/>
      </w:pPr>
      <w:rPr>
        <w:rFonts w:ascii="Arial" w:hAnsi="Arial" w:hint="default"/>
        <w:b w:val="0"/>
        <w:i/>
        <w:sz w:val="22"/>
      </w:rPr>
    </w:lvl>
    <w:lvl w:ilvl="4">
      <w:start w:val="1"/>
      <w:numFmt w:val="decimal"/>
      <w:pStyle w:val="Heading5"/>
      <w:lvlText w:val="%1.%2.%3.1.%5."/>
      <w:lvlJc w:val="left"/>
      <w:pPr>
        <w:tabs>
          <w:tab w:val="num" w:pos="1080"/>
        </w:tabs>
        <w:ind w:left="0" w:firstLine="0"/>
      </w:pPr>
      <w:rPr>
        <w:rFonts w:ascii="Arial" w:hAnsi="Arial" w:hint="default"/>
        <w:b w:val="0"/>
        <w:i w:val="0"/>
        <w:sz w:val="22"/>
      </w:rPr>
    </w:lvl>
    <w:lvl w:ilvl="5">
      <w:start w:val="1"/>
      <w:numFmt w:val="decimal"/>
      <w:pStyle w:val="Heading6"/>
      <w:lvlText w:val="%1.%2.%3.%4.%5.%6"/>
      <w:lvlJc w:val="left"/>
      <w:pPr>
        <w:tabs>
          <w:tab w:val="num" w:pos="1440"/>
        </w:tabs>
        <w:ind w:left="0" w:firstLine="0"/>
      </w:pPr>
    </w:lvl>
    <w:lvl w:ilvl="6">
      <w:start w:val="1"/>
      <w:numFmt w:val="decimal"/>
      <w:pStyle w:val="Heading7"/>
      <w:lvlText w:val="%1.%2.%3.%4.%5.%6.%7"/>
      <w:lvlJc w:val="left"/>
      <w:pPr>
        <w:tabs>
          <w:tab w:val="num" w:pos="144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35">
    <w:nsid w:val="7A5A183E"/>
    <w:multiLevelType w:val="singleLevel"/>
    <w:tmpl w:val="8A06A346"/>
    <w:lvl w:ilvl="0">
      <w:start w:val="1"/>
      <w:numFmt w:val="upperLetter"/>
      <w:lvlText w:val="%1."/>
      <w:lvlJc w:val="left"/>
      <w:pPr>
        <w:tabs>
          <w:tab w:val="num" w:pos="720"/>
        </w:tabs>
        <w:ind w:left="720" w:hanging="360"/>
      </w:pPr>
      <w:rPr>
        <w:rFonts w:hint="default"/>
      </w:rPr>
    </w:lvl>
  </w:abstractNum>
  <w:abstractNum w:abstractNumId="36">
    <w:nsid w:val="7A5F5B58"/>
    <w:multiLevelType w:val="multilevel"/>
    <w:tmpl w:val="033C8DD6"/>
    <w:lvl w:ilvl="0">
      <w:start w:val="13"/>
      <w:numFmt w:val="decimal"/>
      <w:lvlText w:val="%1"/>
      <w:lvlJc w:val="left"/>
      <w:pPr>
        <w:tabs>
          <w:tab w:val="num" w:pos="780"/>
        </w:tabs>
        <w:ind w:left="780" w:hanging="780"/>
      </w:pPr>
      <w:rPr>
        <w:rFonts w:hint="default"/>
        <w:sz w:val="22"/>
        <w:u w:val="single"/>
      </w:rPr>
    </w:lvl>
    <w:lvl w:ilvl="1">
      <w:start w:val="4"/>
      <w:numFmt w:val="decimal"/>
      <w:lvlText w:val="%1.%2"/>
      <w:lvlJc w:val="left"/>
      <w:pPr>
        <w:tabs>
          <w:tab w:val="num" w:pos="780"/>
        </w:tabs>
        <w:ind w:left="780" w:hanging="780"/>
      </w:pPr>
      <w:rPr>
        <w:rFonts w:hint="default"/>
        <w:sz w:val="22"/>
        <w:u w:val="single"/>
      </w:rPr>
    </w:lvl>
    <w:lvl w:ilvl="2">
      <w:start w:val="3"/>
      <w:numFmt w:val="decimal"/>
      <w:lvlText w:val="%1.%2.%3"/>
      <w:lvlJc w:val="left"/>
      <w:pPr>
        <w:tabs>
          <w:tab w:val="num" w:pos="780"/>
        </w:tabs>
        <w:ind w:left="780" w:hanging="780"/>
      </w:pPr>
      <w:rPr>
        <w:rFonts w:hint="default"/>
        <w:sz w:val="22"/>
        <w:u w:val="single"/>
      </w:rPr>
    </w:lvl>
    <w:lvl w:ilvl="3">
      <w:start w:val="1"/>
      <w:numFmt w:val="decimal"/>
      <w:lvlText w:val="%1.%2.%3.%4"/>
      <w:lvlJc w:val="left"/>
      <w:pPr>
        <w:tabs>
          <w:tab w:val="num" w:pos="1080"/>
        </w:tabs>
        <w:ind w:left="1080" w:hanging="1080"/>
      </w:pPr>
      <w:rPr>
        <w:rFonts w:hint="default"/>
        <w:sz w:val="22"/>
        <w:u w:val="single"/>
      </w:rPr>
    </w:lvl>
    <w:lvl w:ilvl="4">
      <w:start w:val="1"/>
      <w:numFmt w:val="decimal"/>
      <w:lvlText w:val="%1.%2.%3.%4.%5"/>
      <w:lvlJc w:val="left"/>
      <w:pPr>
        <w:tabs>
          <w:tab w:val="num" w:pos="1080"/>
        </w:tabs>
        <w:ind w:left="1080" w:hanging="1080"/>
      </w:pPr>
      <w:rPr>
        <w:rFonts w:hint="default"/>
        <w:sz w:val="22"/>
        <w:u w:val="single"/>
      </w:rPr>
    </w:lvl>
    <w:lvl w:ilvl="5">
      <w:start w:val="1"/>
      <w:numFmt w:val="decimal"/>
      <w:lvlText w:val="%1.%2.%3.%4.%5.%6"/>
      <w:lvlJc w:val="left"/>
      <w:pPr>
        <w:tabs>
          <w:tab w:val="num" w:pos="1440"/>
        </w:tabs>
        <w:ind w:left="1440" w:hanging="1440"/>
      </w:pPr>
      <w:rPr>
        <w:rFonts w:hint="default"/>
        <w:sz w:val="22"/>
        <w:u w:val="single"/>
      </w:rPr>
    </w:lvl>
    <w:lvl w:ilvl="6">
      <w:start w:val="1"/>
      <w:numFmt w:val="decimal"/>
      <w:lvlText w:val="%1.%2.%3.%4.%5.%6.%7"/>
      <w:lvlJc w:val="left"/>
      <w:pPr>
        <w:tabs>
          <w:tab w:val="num" w:pos="1440"/>
        </w:tabs>
        <w:ind w:left="1440" w:hanging="1440"/>
      </w:pPr>
      <w:rPr>
        <w:rFonts w:hint="default"/>
        <w:sz w:val="22"/>
        <w:u w:val="single"/>
      </w:rPr>
    </w:lvl>
    <w:lvl w:ilvl="7">
      <w:start w:val="1"/>
      <w:numFmt w:val="decimal"/>
      <w:lvlText w:val="%1.%2.%3.%4.%5.%6.%7.%8"/>
      <w:lvlJc w:val="left"/>
      <w:pPr>
        <w:tabs>
          <w:tab w:val="num" w:pos="1800"/>
        </w:tabs>
        <w:ind w:left="1800" w:hanging="1800"/>
      </w:pPr>
      <w:rPr>
        <w:rFonts w:hint="default"/>
        <w:sz w:val="22"/>
        <w:u w:val="single"/>
      </w:rPr>
    </w:lvl>
    <w:lvl w:ilvl="8">
      <w:start w:val="1"/>
      <w:numFmt w:val="decimal"/>
      <w:lvlText w:val="%1.%2.%3.%4.%5.%6.%7.%8.%9"/>
      <w:lvlJc w:val="left"/>
      <w:pPr>
        <w:tabs>
          <w:tab w:val="num" w:pos="1800"/>
        </w:tabs>
        <w:ind w:left="1800" w:hanging="1800"/>
      </w:pPr>
      <w:rPr>
        <w:rFonts w:hint="default"/>
        <w:sz w:val="22"/>
        <w:u w:val="single"/>
      </w:rPr>
    </w:lvl>
  </w:abstractNum>
  <w:abstractNum w:abstractNumId="37">
    <w:nsid w:val="7DA15DF1"/>
    <w:multiLevelType w:val="hybridMultilevel"/>
    <w:tmpl w:val="52D2A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24"/>
  </w:num>
  <w:num w:numId="4">
    <w:abstractNumId w:val="33"/>
  </w:num>
  <w:num w:numId="5">
    <w:abstractNumId w:val="35"/>
  </w:num>
  <w:num w:numId="6">
    <w:abstractNumId w:val="20"/>
  </w:num>
  <w:num w:numId="7">
    <w:abstractNumId w:val="5"/>
  </w:num>
  <w:num w:numId="8">
    <w:abstractNumId w:val="31"/>
  </w:num>
  <w:num w:numId="9">
    <w:abstractNumId w:val="32"/>
  </w:num>
  <w:num w:numId="1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abstractNumId w:val="1"/>
    <w:lvlOverride w:ilvl="0">
      <w:startOverride w:val="13"/>
    </w:lvlOverride>
    <w:lvlOverride w:ilvl="1">
      <w:startOverride w:val="6"/>
    </w:lvlOverride>
    <w:lvlOverride w:ilvl="2">
      <w:startOverride w:val="1"/>
    </w:lvlOverride>
    <w:lvlOverride w:ilvl="3">
      <w:startOverride w:val="1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 w:ilvl="0">
        <w:start w:val="13"/>
        <w:numFmt w:val="decimal"/>
        <w:lvlText w:val="%1."/>
        <w:lvlJc w:val="left"/>
        <w:pPr>
          <w:tabs>
            <w:tab w:val="num" w:pos="360"/>
          </w:tabs>
          <w:ind w:left="0" w:firstLine="0"/>
        </w:pPr>
        <w:rPr>
          <w:rFonts w:ascii="Arial" w:hAnsi="Arial" w:hint="default"/>
          <w:b/>
          <w:i w:val="0"/>
          <w:sz w:val="28"/>
        </w:rPr>
      </w:lvl>
    </w:lvlOverride>
    <w:lvlOverride w:ilvl="1">
      <w:lvl w:ilvl="1">
        <w:start w:val="1"/>
        <w:numFmt w:val="decimal"/>
        <w:lvlText w:val="13.%2"/>
        <w:lvlJc w:val="left"/>
        <w:pPr>
          <w:tabs>
            <w:tab w:val="num" w:pos="720"/>
          </w:tabs>
          <w:ind w:left="0" w:firstLine="0"/>
        </w:pPr>
        <w:rPr>
          <w:rFonts w:ascii="Arial" w:hAnsi="Arial" w:hint="default"/>
          <w:b/>
          <w:i w:val="0"/>
          <w:sz w:val="24"/>
        </w:rPr>
      </w:lvl>
    </w:lvlOverride>
    <w:lvlOverride w:ilvl="2">
      <w:lvl w:ilvl="2">
        <w:start w:val="1"/>
        <w:numFmt w:val="decimal"/>
        <w:suff w:val="space"/>
        <w:lvlText w:val="13.6.%3."/>
        <w:lvlJc w:val="left"/>
        <w:pPr>
          <w:ind w:left="0" w:firstLine="0"/>
        </w:pPr>
        <w:rPr>
          <w:rFonts w:ascii="Arial" w:hAnsi="Arial" w:hint="default"/>
          <w:b w:val="0"/>
          <w:i/>
          <w:sz w:val="22"/>
          <w:szCs w:val="22"/>
          <w:u w:val="none"/>
        </w:rPr>
      </w:lvl>
    </w:lvlOverride>
    <w:lvlOverride w:ilvl="3">
      <w:lvl w:ilvl="3">
        <w:start w:val="13"/>
        <w:numFmt w:val="decimal"/>
        <w:lvlText w:val="%4.4.%3.1."/>
        <w:lvlJc w:val="left"/>
        <w:pPr>
          <w:tabs>
            <w:tab w:val="num" w:pos="1080"/>
          </w:tabs>
          <w:ind w:left="0" w:firstLine="0"/>
        </w:pPr>
        <w:rPr>
          <w:rFonts w:ascii="Arial" w:hAnsi="Arial" w:hint="default"/>
          <w:b w:val="0"/>
          <w:i/>
          <w:sz w:val="22"/>
        </w:rPr>
      </w:lvl>
    </w:lvlOverride>
    <w:lvlOverride w:ilvl="4">
      <w:lvl w:ilvl="4">
        <w:start w:val="1"/>
        <w:numFmt w:val="decimal"/>
        <w:lvlText w:val="%1.%2.%3.1.%5."/>
        <w:lvlJc w:val="left"/>
        <w:pPr>
          <w:tabs>
            <w:tab w:val="num" w:pos="1080"/>
          </w:tabs>
          <w:ind w:left="0" w:firstLine="0"/>
        </w:pPr>
        <w:rPr>
          <w:rFonts w:ascii="Arial" w:hAnsi="Arial" w:hint="default"/>
          <w:b w:val="0"/>
          <w:i w:val="0"/>
          <w:sz w:val="22"/>
        </w:rPr>
      </w:lvl>
    </w:lvlOverride>
    <w:lvlOverride w:ilvl="5">
      <w:lvl w:ilvl="5">
        <w:start w:val="1"/>
        <w:numFmt w:val="decimal"/>
        <w:lvlText w:val="%1.%2.%3.%4.%5.%6"/>
        <w:lvlJc w:val="left"/>
        <w:pPr>
          <w:tabs>
            <w:tab w:val="num" w:pos="1440"/>
          </w:tabs>
          <w:ind w:left="0" w:firstLine="0"/>
        </w:pPr>
      </w:lvl>
    </w:lvlOverride>
    <w:lvlOverride w:ilvl="6">
      <w:lvl w:ilvl="6">
        <w:start w:val="1"/>
        <w:numFmt w:val="decimal"/>
        <w:lvlText w:val="%1.%2.%3.%4.%5.%6.%7"/>
        <w:lvlJc w:val="left"/>
        <w:pPr>
          <w:tabs>
            <w:tab w:val="num" w:pos="1440"/>
          </w:tabs>
          <w:ind w:left="0" w:firstLine="0"/>
        </w:pPr>
      </w:lvl>
    </w:lvlOverride>
    <w:lvlOverride w:ilvl="7">
      <w:lvl w:ilvl="7">
        <w:start w:val="1"/>
        <w:numFmt w:val="decimal"/>
        <w:lvlText w:val="%1.%2.%3.%4.%5.%6.%7.%8"/>
        <w:lvlJc w:val="left"/>
        <w:pPr>
          <w:tabs>
            <w:tab w:val="num" w:pos="0"/>
          </w:tabs>
          <w:ind w:left="0" w:firstLine="0"/>
        </w:pPr>
      </w:lvl>
    </w:lvlOverride>
    <w:lvlOverride w:ilvl="8">
      <w:lvl w:ilvl="8">
        <w:start w:val="1"/>
        <w:numFmt w:val="decimal"/>
        <w:lvlText w:val="%1.%2.%3.%4.%5.%6.%7.%8.%9"/>
        <w:lvlJc w:val="left"/>
        <w:pPr>
          <w:tabs>
            <w:tab w:val="num" w:pos="0"/>
          </w:tabs>
          <w:ind w:left="0" w:firstLine="0"/>
        </w:pPr>
      </w:lvl>
    </w:lvlOverride>
  </w:num>
  <w:num w:numId="13">
    <w:abstractNumId w:val="34"/>
    <w:lvlOverride w:ilvl="0">
      <w:lvl w:ilvl="0">
        <w:start w:val="13"/>
        <w:numFmt w:val="decimal"/>
        <w:pStyle w:val="Heading1"/>
        <w:lvlText w:val="%1."/>
        <w:lvlJc w:val="left"/>
        <w:pPr>
          <w:tabs>
            <w:tab w:val="num" w:pos="360"/>
          </w:tabs>
          <w:ind w:left="0" w:firstLine="0"/>
        </w:pPr>
        <w:rPr>
          <w:rFonts w:ascii="Arial" w:hAnsi="Arial" w:hint="default"/>
          <w:b/>
          <w:i w:val="0"/>
          <w:sz w:val="28"/>
        </w:rPr>
      </w:lvl>
    </w:lvlOverride>
    <w:lvlOverride w:ilvl="1">
      <w:lvl w:ilvl="1">
        <w:start w:val="1"/>
        <w:numFmt w:val="decimal"/>
        <w:pStyle w:val="Heading2"/>
        <w:lvlText w:val="13.%2"/>
        <w:lvlJc w:val="left"/>
        <w:pPr>
          <w:tabs>
            <w:tab w:val="num" w:pos="720"/>
          </w:tabs>
          <w:ind w:left="0" w:firstLine="0"/>
        </w:pPr>
        <w:rPr>
          <w:rFonts w:ascii="Arial" w:hAnsi="Arial" w:hint="default"/>
          <w:b/>
          <w:i w:val="0"/>
          <w:sz w:val="24"/>
        </w:rPr>
      </w:lvl>
    </w:lvlOverride>
    <w:lvlOverride w:ilvl="2">
      <w:lvl w:ilvl="2">
        <w:start w:val="1"/>
        <w:numFmt w:val="decimal"/>
        <w:pStyle w:val="Heading3"/>
        <w:suff w:val="space"/>
        <w:lvlText w:val="13.4.%3"/>
        <w:lvlJc w:val="left"/>
        <w:pPr>
          <w:ind w:left="0" w:firstLine="0"/>
        </w:pPr>
        <w:rPr>
          <w:rFonts w:ascii="Arial" w:hAnsi="Arial" w:hint="default"/>
          <w:b w:val="0"/>
          <w:i/>
          <w:sz w:val="22"/>
          <w:u w:val="none"/>
        </w:rPr>
      </w:lvl>
    </w:lvlOverride>
    <w:lvlOverride w:ilvl="3">
      <w:lvl w:ilvl="3">
        <w:start w:val="13"/>
        <w:numFmt w:val="decimal"/>
        <w:lvlText w:val="%4.4.%3.1."/>
        <w:lvlJc w:val="left"/>
        <w:pPr>
          <w:tabs>
            <w:tab w:val="num" w:pos="1080"/>
          </w:tabs>
          <w:ind w:left="0" w:firstLine="0"/>
        </w:pPr>
        <w:rPr>
          <w:rFonts w:ascii="Arial" w:hAnsi="Arial" w:hint="default"/>
          <w:b w:val="0"/>
          <w:i/>
          <w:sz w:val="22"/>
        </w:rPr>
      </w:lvl>
    </w:lvlOverride>
    <w:lvlOverride w:ilvl="4">
      <w:lvl w:ilvl="4">
        <w:start w:val="1"/>
        <w:numFmt w:val="decimal"/>
        <w:pStyle w:val="Heading5"/>
        <w:lvlText w:val="%1.%2.%3.1.%5."/>
        <w:lvlJc w:val="left"/>
        <w:pPr>
          <w:tabs>
            <w:tab w:val="num" w:pos="1080"/>
          </w:tabs>
          <w:ind w:left="0" w:firstLine="0"/>
        </w:pPr>
        <w:rPr>
          <w:rFonts w:ascii="Arial" w:hAnsi="Arial" w:hint="default"/>
          <w:b w:val="0"/>
          <w:i w:val="0"/>
          <w:sz w:val="22"/>
        </w:rPr>
      </w:lvl>
    </w:lvlOverride>
    <w:lvlOverride w:ilvl="5">
      <w:lvl w:ilvl="5">
        <w:start w:val="1"/>
        <w:numFmt w:val="decimal"/>
        <w:pStyle w:val="Heading6"/>
        <w:lvlText w:val="%1.%2.%3.%4.%5.%6"/>
        <w:lvlJc w:val="left"/>
        <w:pPr>
          <w:tabs>
            <w:tab w:val="num" w:pos="1440"/>
          </w:tabs>
          <w:ind w:left="0" w:firstLine="0"/>
        </w:pPr>
      </w:lvl>
    </w:lvlOverride>
    <w:lvlOverride w:ilvl="6">
      <w:lvl w:ilvl="6">
        <w:start w:val="1"/>
        <w:numFmt w:val="decimal"/>
        <w:pStyle w:val="Heading7"/>
        <w:lvlText w:val="%1.%2.%3.%4.%5.%6.%7"/>
        <w:lvlJc w:val="left"/>
        <w:pPr>
          <w:tabs>
            <w:tab w:val="num" w:pos="1440"/>
          </w:tabs>
          <w:ind w:left="0" w:firstLine="0"/>
        </w:pPr>
      </w:lvl>
    </w:lvlOverride>
    <w:lvlOverride w:ilvl="7">
      <w:lvl w:ilvl="7">
        <w:start w:val="1"/>
        <w:numFmt w:val="decimal"/>
        <w:pStyle w:val="Heading8"/>
        <w:lvlText w:val="%1.%2.%3.%4.%5.%6.%7.%8"/>
        <w:lvlJc w:val="left"/>
        <w:pPr>
          <w:tabs>
            <w:tab w:val="num" w:pos="0"/>
          </w:tabs>
          <w:ind w:left="0" w:firstLine="0"/>
        </w:pPr>
      </w:lvl>
    </w:lvlOverride>
    <w:lvlOverride w:ilvl="8">
      <w:lvl w:ilvl="8">
        <w:start w:val="1"/>
        <w:numFmt w:val="decimal"/>
        <w:pStyle w:val="Heading9"/>
        <w:lvlText w:val="%1.%2.%3.%4.%5.%6.%7.%8.%9"/>
        <w:lvlJc w:val="left"/>
        <w:pPr>
          <w:tabs>
            <w:tab w:val="num" w:pos="0"/>
          </w:tabs>
          <w:ind w:left="0" w:firstLine="0"/>
        </w:pPr>
      </w:lvl>
    </w:lvlOverride>
  </w:num>
  <w:num w:numId="14">
    <w:abstractNumId w:val="34"/>
    <w:lvlOverride w:ilvl="0">
      <w:lvl w:ilvl="0">
        <w:start w:val="13"/>
        <w:numFmt w:val="decimal"/>
        <w:pStyle w:val="Heading1"/>
        <w:lvlText w:val="%1."/>
        <w:lvlJc w:val="left"/>
        <w:pPr>
          <w:tabs>
            <w:tab w:val="num" w:pos="360"/>
          </w:tabs>
          <w:ind w:left="0" w:firstLine="0"/>
        </w:pPr>
        <w:rPr>
          <w:rFonts w:ascii="Arial" w:hAnsi="Arial" w:hint="default"/>
          <w:b/>
          <w:i w:val="0"/>
          <w:sz w:val="28"/>
        </w:rPr>
      </w:lvl>
    </w:lvlOverride>
    <w:lvlOverride w:ilvl="1">
      <w:lvl w:ilvl="1">
        <w:start w:val="1"/>
        <w:numFmt w:val="none"/>
        <w:pStyle w:val="Heading2"/>
        <w:lvlText w:val="13.7"/>
        <w:lvlJc w:val="left"/>
        <w:pPr>
          <w:tabs>
            <w:tab w:val="num" w:pos="720"/>
          </w:tabs>
          <w:ind w:left="0" w:firstLine="0"/>
        </w:pPr>
        <w:rPr>
          <w:rFonts w:ascii="Arial" w:hAnsi="Arial" w:hint="default"/>
          <w:b/>
          <w:i w:val="0"/>
          <w:sz w:val="24"/>
        </w:rPr>
      </w:lvl>
    </w:lvlOverride>
    <w:lvlOverride w:ilvl="2">
      <w:lvl w:ilvl="2">
        <w:start w:val="1"/>
        <w:numFmt w:val="none"/>
        <w:pStyle w:val="Heading3"/>
        <w:suff w:val="space"/>
        <w:lvlText w:val="13.6.8."/>
        <w:lvlJc w:val="left"/>
        <w:pPr>
          <w:ind w:left="0" w:firstLine="0"/>
        </w:pPr>
        <w:rPr>
          <w:rFonts w:ascii="Arial" w:hAnsi="Arial" w:hint="default"/>
          <w:b w:val="0"/>
          <w:i/>
          <w:sz w:val="24"/>
          <w:u w:val="single"/>
        </w:rPr>
      </w:lvl>
    </w:lvlOverride>
    <w:lvlOverride w:ilvl="3">
      <w:lvl w:ilvl="3">
        <w:start w:val="13"/>
        <w:numFmt w:val="decimal"/>
        <w:lvlText w:val="%4.4.%3.1."/>
        <w:lvlJc w:val="left"/>
        <w:pPr>
          <w:tabs>
            <w:tab w:val="num" w:pos="1080"/>
          </w:tabs>
          <w:ind w:left="0" w:firstLine="0"/>
        </w:pPr>
        <w:rPr>
          <w:rFonts w:ascii="Arial" w:hAnsi="Arial" w:hint="default"/>
          <w:b w:val="0"/>
          <w:i/>
          <w:sz w:val="22"/>
        </w:rPr>
      </w:lvl>
    </w:lvlOverride>
    <w:lvlOverride w:ilvl="4">
      <w:lvl w:ilvl="4">
        <w:start w:val="1"/>
        <w:numFmt w:val="decimal"/>
        <w:pStyle w:val="Heading5"/>
        <w:lvlText w:val="%1.%2.%3.1.%5."/>
        <w:lvlJc w:val="left"/>
        <w:pPr>
          <w:tabs>
            <w:tab w:val="num" w:pos="1080"/>
          </w:tabs>
          <w:ind w:left="0" w:firstLine="0"/>
        </w:pPr>
        <w:rPr>
          <w:rFonts w:ascii="Arial" w:hAnsi="Arial" w:hint="default"/>
          <w:b w:val="0"/>
          <w:i w:val="0"/>
          <w:sz w:val="22"/>
        </w:rPr>
      </w:lvl>
    </w:lvlOverride>
    <w:lvlOverride w:ilvl="5">
      <w:lvl w:ilvl="5">
        <w:start w:val="1"/>
        <w:numFmt w:val="decimal"/>
        <w:pStyle w:val="Heading6"/>
        <w:lvlText w:val="%1.%2.%3.%4.%5.%6"/>
        <w:lvlJc w:val="left"/>
        <w:pPr>
          <w:tabs>
            <w:tab w:val="num" w:pos="1440"/>
          </w:tabs>
          <w:ind w:left="0" w:firstLine="0"/>
        </w:pPr>
      </w:lvl>
    </w:lvlOverride>
    <w:lvlOverride w:ilvl="6">
      <w:lvl w:ilvl="6">
        <w:start w:val="1"/>
        <w:numFmt w:val="decimal"/>
        <w:pStyle w:val="Heading7"/>
        <w:lvlText w:val="%1.%2.%3.%4.%5.%6.%7"/>
        <w:lvlJc w:val="left"/>
        <w:pPr>
          <w:tabs>
            <w:tab w:val="num" w:pos="1440"/>
          </w:tabs>
          <w:ind w:left="0" w:firstLine="0"/>
        </w:pPr>
      </w:lvl>
    </w:lvlOverride>
    <w:lvlOverride w:ilvl="7">
      <w:lvl w:ilvl="7">
        <w:start w:val="1"/>
        <w:numFmt w:val="decimal"/>
        <w:pStyle w:val="Heading8"/>
        <w:lvlText w:val="%1.%2.%3.%4.%5.%6.%7.%8"/>
        <w:lvlJc w:val="left"/>
        <w:pPr>
          <w:tabs>
            <w:tab w:val="num" w:pos="0"/>
          </w:tabs>
          <w:ind w:left="0" w:firstLine="0"/>
        </w:pPr>
      </w:lvl>
    </w:lvlOverride>
    <w:lvlOverride w:ilvl="8">
      <w:lvl w:ilvl="8">
        <w:start w:val="1"/>
        <w:numFmt w:val="decimal"/>
        <w:pStyle w:val="Heading9"/>
        <w:lvlText w:val="%1.%2.%3.%4.%5.%6.%7.%8.%9"/>
        <w:lvlJc w:val="left"/>
        <w:pPr>
          <w:tabs>
            <w:tab w:val="num" w:pos="0"/>
          </w:tabs>
          <w:ind w:left="0" w:firstLine="0"/>
        </w:pPr>
      </w:lvl>
    </w:lvlOverride>
  </w:num>
  <w:num w:numId="15">
    <w:abstractNumId w:val="36"/>
  </w:num>
  <w:num w:numId="16">
    <w:abstractNumId w:val="34"/>
  </w:num>
  <w:num w:numId="17">
    <w:abstractNumId w:val="17"/>
  </w:num>
  <w:num w:numId="18">
    <w:abstractNumId w:val="34"/>
    <w:lvlOverride w:ilvl="0">
      <w:startOverride w:val="13"/>
    </w:lvlOverride>
    <w:lvlOverride w:ilvl="1">
      <w:startOverride w:val="1"/>
    </w:lvlOverride>
    <w:lvlOverride w:ilvl="2">
      <w:startOverride w:val="1"/>
    </w:lvlOverride>
    <w:lvlOverride w:ilvl="3">
      <w:startOverride w:val="1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25"/>
  </w:num>
  <w:num w:numId="21">
    <w:abstractNumId w:val="28"/>
  </w:num>
  <w:num w:numId="22">
    <w:abstractNumId w:val="12"/>
  </w:num>
  <w:num w:numId="23">
    <w:abstractNumId w:val="22"/>
  </w:num>
  <w:num w:numId="24">
    <w:abstractNumId w:val="6"/>
  </w:num>
  <w:num w:numId="25">
    <w:abstractNumId w:val="14"/>
  </w:num>
  <w:num w:numId="26">
    <w:abstractNumId w:val="15"/>
  </w:num>
  <w:num w:numId="27">
    <w:abstractNumId w:val="4"/>
  </w:num>
  <w:num w:numId="28">
    <w:abstractNumId w:val="3"/>
  </w:num>
  <w:num w:numId="29">
    <w:abstractNumId w:val="23"/>
  </w:num>
  <w:num w:numId="30">
    <w:abstractNumId w:val="34"/>
  </w:num>
  <w:num w:numId="31">
    <w:abstractNumId w:val="34"/>
  </w:num>
  <w:num w:numId="32">
    <w:abstractNumId w:val="34"/>
  </w:num>
  <w:num w:numId="33">
    <w:abstractNumId w:val="34"/>
  </w:num>
  <w:num w:numId="34">
    <w:abstractNumId w:val="34"/>
  </w:num>
  <w:num w:numId="35">
    <w:abstractNumId w:val="9"/>
  </w:num>
  <w:num w:numId="36">
    <w:abstractNumId w:val="18"/>
  </w:num>
  <w:num w:numId="37">
    <w:abstractNumId w:val="8"/>
  </w:num>
  <w:num w:numId="38">
    <w:abstractNumId w:val="13"/>
  </w:num>
  <w:num w:numId="39">
    <w:abstractNumId w:val="19"/>
  </w:num>
  <w:num w:numId="40">
    <w:abstractNumId w:val="10"/>
  </w:num>
  <w:num w:numId="41">
    <w:abstractNumId w:val="21"/>
  </w:num>
  <w:num w:numId="42">
    <w:abstractNumId w:val="26"/>
  </w:num>
  <w:num w:numId="43">
    <w:abstractNumId w:val="2"/>
  </w:num>
  <w:num w:numId="44">
    <w:abstractNumId w:val="11"/>
  </w:num>
  <w:num w:numId="45">
    <w:abstractNumId w:val="37"/>
  </w:num>
  <w:num w:numId="46">
    <w:abstractNumId w:val="7"/>
  </w:num>
  <w:num w:numId="47">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71">
      <o:colormru v:ext="edit" colors="#369"/>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183"/>
    <w:rsid w:val="00000333"/>
    <w:rsid w:val="00001B84"/>
    <w:rsid w:val="00012D23"/>
    <w:rsid w:val="00014E00"/>
    <w:rsid w:val="00015F27"/>
    <w:rsid w:val="00017012"/>
    <w:rsid w:val="00020E5A"/>
    <w:rsid w:val="000210AF"/>
    <w:rsid w:val="00022388"/>
    <w:rsid w:val="0002346F"/>
    <w:rsid w:val="00032DA8"/>
    <w:rsid w:val="0003381B"/>
    <w:rsid w:val="00036BC8"/>
    <w:rsid w:val="00043E1C"/>
    <w:rsid w:val="00047E62"/>
    <w:rsid w:val="00051C81"/>
    <w:rsid w:val="00064BAA"/>
    <w:rsid w:val="00064CA8"/>
    <w:rsid w:val="000722EC"/>
    <w:rsid w:val="00075E5A"/>
    <w:rsid w:val="00076F1F"/>
    <w:rsid w:val="00083363"/>
    <w:rsid w:val="0008378F"/>
    <w:rsid w:val="000859A1"/>
    <w:rsid w:val="000861EE"/>
    <w:rsid w:val="000902F5"/>
    <w:rsid w:val="00090AF1"/>
    <w:rsid w:val="00093007"/>
    <w:rsid w:val="00093CCA"/>
    <w:rsid w:val="0009476A"/>
    <w:rsid w:val="00094A2F"/>
    <w:rsid w:val="000965A8"/>
    <w:rsid w:val="000C2FCF"/>
    <w:rsid w:val="000C5BAD"/>
    <w:rsid w:val="000C703A"/>
    <w:rsid w:val="000D71C4"/>
    <w:rsid w:val="000E14E9"/>
    <w:rsid w:val="000E1F5B"/>
    <w:rsid w:val="000E2D6E"/>
    <w:rsid w:val="000E6002"/>
    <w:rsid w:val="000F51FA"/>
    <w:rsid w:val="000F666F"/>
    <w:rsid w:val="000F6768"/>
    <w:rsid w:val="00102051"/>
    <w:rsid w:val="00102B52"/>
    <w:rsid w:val="00104B3F"/>
    <w:rsid w:val="00105120"/>
    <w:rsid w:val="0011051D"/>
    <w:rsid w:val="00113298"/>
    <w:rsid w:val="001170F6"/>
    <w:rsid w:val="00121620"/>
    <w:rsid w:val="00123334"/>
    <w:rsid w:val="00125D45"/>
    <w:rsid w:val="001317FA"/>
    <w:rsid w:val="001350FA"/>
    <w:rsid w:val="0013534D"/>
    <w:rsid w:val="00135EEC"/>
    <w:rsid w:val="00136A53"/>
    <w:rsid w:val="0014134A"/>
    <w:rsid w:val="00142666"/>
    <w:rsid w:val="001439DB"/>
    <w:rsid w:val="00147286"/>
    <w:rsid w:val="00150278"/>
    <w:rsid w:val="00151A80"/>
    <w:rsid w:val="00152944"/>
    <w:rsid w:val="001531C0"/>
    <w:rsid w:val="00153C6F"/>
    <w:rsid w:val="0015512E"/>
    <w:rsid w:val="0015591E"/>
    <w:rsid w:val="0015637D"/>
    <w:rsid w:val="00156E35"/>
    <w:rsid w:val="001613EA"/>
    <w:rsid w:val="0016229A"/>
    <w:rsid w:val="00162A0F"/>
    <w:rsid w:val="0016338D"/>
    <w:rsid w:val="0016456F"/>
    <w:rsid w:val="00166042"/>
    <w:rsid w:val="0016727E"/>
    <w:rsid w:val="0017371C"/>
    <w:rsid w:val="001778F5"/>
    <w:rsid w:val="00180DBC"/>
    <w:rsid w:val="00180E28"/>
    <w:rsid w:val="00181533"/>
    <w:rsid w:val="001874CF"/>
    <w:rsid w:val="00191344"/>
    <w:rsid w:val="0019567E"/>
    <w:rsid w:val="00197632"/>
    <w:rsid w:val="001A033C"/>
    <w:rsid w:val="001A0B8A"/>
    <w:rsid w:val="001B01CB"/>
    <w:rsid w:val="001B15CD"/>
    <w:rsid w:val="001B1637"/>
    <w:rsid w:val="001C0434"/>
    <w:rsid w:val="001C1F82"/>
    <w:rsid w:val="001C4494"/>
    <w:rsid w:val="001D79DF"/>
    <w:rsid w:val="001E0C2B"/>
    <w:rsid w:val="001E124D"/>
    <w:rsid w:val="001E35BD"/>
    <w:rsid w:val="001E5878"/>
    <w:rsid w:val="001E5B13"/>
    <w:rsid w:val="001E5F80"/>
    <w:rsid w:val="001E7072"/>
    <w:rsid w:val="001F6122"/>
    <w:rsid w:val="00203025"/>
    <w:rsid w:val="002079D5"/>
    <w:rsid w:val="002130FA"/>
    <w:rsid w:val="00215BD7"/>
    <w:rsid w:val="00216638"/>
    <w:rsid w:val="00220B90"/>
    <w:rsid w:val="00220E9D"/>
    <w:rsid w:val="00221941"/>
    <w:rsid w:val="002225F9"/>
    <w:rsid w:val="00230CC3"/>
    <w:rsid w:val="00251E53"/>
    <w:rsid w:val="002530BA"/>
    <w:rsid w:val="002532F8"/>
    <w:rsid w:val="00253CF6"/>
    <w:rsid w:val="002607C2"/>
    <w:rsid w:val="00262170"/>
    <w:rsid w:val="00263075"/>
    <w:rsid w:val="00264839"/>
    <w:rsid w:val="00264C2B"/>
    <w:rsid w:val="002673B6"/>
    <w:rsid w:val="00270E79"/>
    <w:rsid w:val="00271462"/>
    <w:rsid w:val="00272EEB"/>
    <w:rsid w:val="0027742B"/>
    <w:rsid w:val="002800FE"/>
    <w:rsid w:val="0028519D"/>
    <w:rsid w:val="002901B0"/>
    <w:rsid w:val="00292A67"/>
    <w:rsid w:val="0029672D"/>
    <w:rsid w:val="00297450"/>
    <w:rsid w:val="002A4055"/>
    <w:rsid w:val="002A782D"/>
    <w:rsid w:val="002B1417"/>
    <w:rsid w:val="002C4F61"/>
    <w:rsid w:val="002C78FC"/>
    <w:rsid w:val="002D249D"/>
    <w:rsid w:val="002E0545"/>
    <w:rsid w:val="002E0E96"/>
    <w:rsid w:val="002E36A8"/>
    <w:rsid w:val="002E38C5"/>
    <w:rsid w:val="002F02E0"/>
    <w:rsid w:val="002F15D4"/>
    <w:rsid w:val="002F16CE"/>
    <w:rsid w:val="002F309E"/>
    <w:rsid w:val="002F6D21"/>
    <w:rsid w:val="0030075F"/>
    <w:rsid w:val="0030148F"/>
    <w:rsid w:val="00302FE8"/>
    <w:rsid w:val="00311569"/>
    <w:rsid w:val="00311664"/>
    <w:rsid w:val="00315033"/>
    <w:rsid w:val="003151BD"/>
    <w:rsid w:val="00321B4E"/>
    <w:rsid w:val="00324F30"/>
    <w:rsid w:val="00326B63"/>
    <w:rsid w:val="00327A19"/>
    <w:rsid w:val="00331D2D"/>
    <w:rsid w:val="00332723"/>
    <w:rsid w:val="003330F2"/>
    <w:rsid w:val="00337794"/>
    <w:rsid w:val="00340C21"/>
    <w:rsid w:val="00344143"/>
    <w:rsid w:val="00344343"/>
    <w:rsid w:val="00346EB1"/>
    <w:rsid w:val="00350B82"/>
    <w:rsid w:val="00351F86"/>
    <w:rsid w:val="00354818"/>
    <w:rsid w:val="00362FAC"/>
    <w:rsid w:val="003630CB"/>
    <w:rsid w:val="003673B0"/>
    <w:rsid w:val="00367E4E"/>
    <w:rsid w:val="00370EEE"/>
    <w:rsid w:val="003755CA"/>
    <w:rsid w:val="00380455"/>
    <w:rsid w:val="00384E8C"/>
    <w:rsid w:val="00386C98"/>
    <w:rsid w:val="003912BC"/>
    <w:rsid w:val="00397951"/>
    <w:rsid w:val="00397F6E"/>
    <w:rsid w:val="003A26BD"/>
    <w:rsid w:val="003A280A"/>
    <w:rsid w:val="003B010D"/>
    <w:rsid w:val="003B261C"/>
    <w:rsid w:val="003B4233"/>
    <w:rsid w:val="003C1DA5"/>
    <w:rsid w:val="003C23DB"/>
    <w:rsid w:val="003C56D9"/>
    <w:rsid w:val="003D19E1"/>
    <w:rsid w:val="003D2893"/>
    <w:rsid w:val="003D2FA2"/>
    <w:rsid w:val="003D512B"/>
    <w:rsid w:val="003D5E61"/>
    <w:rsid w:val="003D65CA"/>
    <w:rsid w:val="003E0796"/>
    <w:rsid w:val="003E1D37"/>
    <w:rsid w:val="003E34F2"/>
    <w:rsid w:val="003E5908"/>
    <w:rsid w:val="003E5DE3"/>
    <w:rsid w:val="003F6931"/>
    <w:rsid w:val="0040248B"/>
    <w:rsid w:val="0040367F"/>
    <w:rsid w:val="0040478E"/>
    <w:rsid w:val="00420441"/>
    <w:rsid w:val="00420BE1"/>
    <w:rsid w:val="00421ECC"/>
    <w:rsid w:val="00422156"/>
    <w:rsid w:val="00422394"/>
    <w:rsid w:val="00427D3A"/>
    <w:rsid w:val="0043631A"/>
    <w:rsid w:val="00441E74"/>
    <w:rsid w:val="0044242C"/>
    <w:rsid w:val="004512AE"/>
    <w:rsid w:val="00451C88"/>
    <w:rsid w:val="00463973"/>
    <w:rsid w:val="00463D49"/>
    <w:rsid w:val="00466ADF"/>
    <w:rsid w:val="00466E99"/>
    <w:rsid w:val="00477A6D"/>
    <w:rsid w:val="00482257"/>
    <w:rsid w:val="004827A4"/>
    <w:rsid w:val="004830C5"/>
    <w:rsid w:val="004834E0"/>
    <w:rsid w:val="004846EB"/>
    <w:rsid w:val="00491753"/>
    <w:rsid w:val="00496C73"/>
    <w:rsid w:val="004A2451"/>
    <w:rsid w:val="004A5200"/>
    <w:rsid w:val="004A5AFD"/>
    <w:rsid w:val="004A5D49"/>
    <w:rsid w:val="004A6BE8"/>
    <w:rsid w:val="004A6EB9"/>
    <w:rsid w:val="004B01A4"/>
    <w:rsid w:val="004B5B37"/>
    <w:rsid w:val="004C2000"/>
    <w:rsid w:val="004C59C6"/>
    <w:rsid w:val="004C689A"/>
    <w:rsid w:val="004C7194"/>
    <w:rsid w:val="004C7B95"/>
    <w:rsid w:val="004D0D7E"/>
    <w:rsid w:val="004D47D3"/>
    <w:rsid w:val="004D6FE5"/>
    <w:rsid w:val="004D78C8"/>
    <w:rsid w:val="004D7AFE"/>
    <w:rsid w:val="004D7E0F"/>
    <w:rsid w:val="004E0446"/>
    <w:rsid w:val="004E1825"/>
    <w:rsid w:val="004E508D"/>
    <w:rsid w:val="004E5A71"/>
    <w:rsid w:val="004E657C"/>
    <w:rsid w:val="004F44D3"/>
    <w:rsid w:val="004F6320"/>
    <w:rsid w:val="004F655E"/>
    <w:rsid w:val="004F6B21"/>
    <w:rsid w:val="00510F0B"/>
    <w:rsid w:val="005126D6"/>
    <w:rsid w:val="00513DA9"/>
    <w:rsid w:val="005159C6"/>
    <w:rsid w:val="0052675A"/>
    <w:rsid w:val="005348C4"/>
    <w:rsid w:val="00536700"/>
    <w:rsid w:val="00537430"/>
    <w:rsid w:val="0054016A"/>
    <w:rsid w:val="00543BAE"/>
    <w:rsid w:val="0054524B"/>
    <w:rsid w:val="00550799"/>
    <w:rsid w:val="0055373A"/>
    <w:rsid w:val="0055426D"/>
    <w:rsid w:val="00554606"/>
    <w:rsid w:val="005547B9"/>
    <w:rsid w:val="00556D83"/>
    <w:rsid w:val="00557006"/>
    <w:rsid w:val="00565AA4"/>
    <w:rsid w:val="00566263"/>
    <w:rsid w:val="00566DE1"/>
    <w:rsid w:val="00575798"/>
    <w:rsid w:val="005904F7"/>
    <w:rsid w:val="005935F6"/>
    <w:rsid w:val="00593647"/>
    <w:rsid w:val="00593D41"/>
    <w:rsid w:val="00593E59"/>
    <w:rsid w:val="0059542D"/>
    <w:rsid w:val="005A2183"/>
    <w:rsid w:val="005A2DFF"/>
    <w:rsid w:val="005A4994"/>
    <w:rsid w:val="005A7703"/>
    <w:rsid w:val="005B43BA"/>
    <w:rsid w:val="005B450E"/>
    <w:rsid w:val="005B5C75"/>
    <w:rsid w:val="005B6A4E"/>
    <w:rsid w:val="005B6FD6"/>
    <w:rsid w:val="005C1485"/>
    <w:rsid w:val="005C4904"/>
    <w:rsid w:val="005C5EF5"/>
    <w:rsid w:val="005C61A9"/>
    <w:rsid w:val="005E1A07"/>
    <w:rsid w:val="005E24E8"/>
    <w:rsid w:val="005E30E8"/>
    <w:rsid w:val="005E4419"/>
    <w:rsid w:val="005E5B5D"/>
    <w:rsid w:val="005F0100"/>
    <w:rsid w:val="005F3226"/>
    <w:rsid w:val="005F57B9"/>
    <w:rsid w:val="0060306D"/>
    <w:rsid w:val="00604EEB"/>
    <w:rsid w:val="00615FFC"/>
    <w:rsid w:val="00623BB4"/>
    <w:rsid w:val="00624A7F"/>
    <w:rsid w:val="00625107"/>
    <w:rsid w:val="006260C9"/>
    <w:rsid w:val="0062770F"/>
    <w:rsid w:val="0063296D"/>
    <w:rsid w:val="00636201"/>
    <w:rsid w:val="0063688B"/>
    <w:rsid w:val="0064139A"/>
    <w:rsid w:val="00643267"/>
    <w:rsid w:val="006446CD"/>
    <w:rsid w:val="006449F3"/>
    <w:rsid w:val="00645ED4"/>
    <w:rsid w:val="00651491"/>
    <w:rsid w:val="00651A4F"/>
    <w:rsid w:val="00653A9E"/>
    <w:rsid w:val="00656E8A"/>
    <w:rsid w:val="00660489"/>
    <w:rsid w:val="0066095B"/>
    <w:rsid w:val="00661EC1"/>
    <w:rsid w:val="00662CB8"/>
    <w:rsid w:val="006651E2"/>
    <w:rsid w:val="00666B5D"/>
    <w:rsid w:val="00666E34"/>
    <w:rsid w:val="00667417"/>
    <w:rsid w:val="00672498"/>
    <w:rsid w:val="00674FF5"/>
    <w:rsid w:val="00677387"/>
    <w:rsid w:val="006800EA"/>
    <w:rsid w:val="00680CB0"/>
    <w:rsid w:val="0068293D"/>
    <w:rsid w:val="0068421B"/>
    <w:rsid w:val="0068461F"/>
    <w:rsid w:val="0068644B"/>
    <w:rsid w:val="0069514A"/>
    <w:rsid w:val="006A3F32"/>
    <w:rsid w:val="006B05B2"/>
    <w:rsid w:val="006B2431"/>
    <w:rsid w:val="006B494B"/>
    <w:rsid w:val="006B4BF6"/>
    <w:rsid w:val="006C11B2"/>
    <w:rsid w:val="006C318F"/>
    <w:rsid w:val="006C4DCA"/>
    <w:rsid w:val="006C6394"/>
    <w:rsid w:val="006D0DB5"/>
    <w:rsid w:val="006D1A71"/>
    <w:rsid w:val="006D3129"/>
    <w:rsid w:val="006D7AB4"/>
    <w:rsid w:val="006E0607"/>
    <w:rsid w:val="006E1CAC"/>
    <w:rsid w:val="006E21C8"/>
    <w:rsid w:val="006E2EA1"/>
    <w:rsid w:val="006E3CC7"/>
    <w:rsid w:val="006E458D"/>
    <w:rsid w:val="006F05EF"/>
    <w:rsid w:val="006F2B2E"/>
    <w:rsid w:val="006F68F0"/>
    <w:rsid w:val="007052FE"/>
    <w:rsid w:val="00705627"/>
    <w:rsid w:val="00710D26"/>
    <w:rsid w:val="00710E83"/>
    <w:rsid w:val="00711457"/>
    <w:rsid w:val="0071145B"/>
    <w:rsid w:val="007123A8"/>
    <w:rsid w:val="00714283"/>
    <w:rsid w:val="0071646F"/>
    <w:rsid w:val="00716A24"/>
    <w:rsid w:val="00721829"/>
    <w:rsid w:val="007230FD"/>
    <w:rsid w:val="007246B9"/>
    <w:rsid w:val="00725BCC"/>
    <w:rsid w:val="00725F03"/>
    <w:rsid w:val="007263A0"/>
    <w:rsid w:val="0072796B"/>
    <w:rsid w:val="00730787"/>
    <w:rsid w:val="0073636A"/>
    <w:rsid w:val="00737CA1"/>
    <w:rsid w:val="00740FB3"/>
    <w:rsid w:val="0074186E"/>
    <w:rsid w:val="00744CB1"/>
    <w:rsid w:val="00747D6F"/>
    <w:rsid w:val="00747FF9"/>
    <w:rsid w:val="00750DD9"/>
    <w:rsid w:val="00751A5A"/>
    <w:rsid w:val="007527EF"/>
    <w:rsid w:val="00753056"/>
    <w:rsid w:val="007541C5"/>
    <w:rsid w:val="00762770"/>
    <w:rsid w:val="00767EFE"/>
    <w:rsid w:val="00775F76"/>
    <w:rsid w:val="0077691D"/>
    <w:rsid w:val="00782443"/>
    <w:rsid w:val="00784FC1"/>
    <w:rsid w:val="00791561"/>
    <w:rsid w:val="0079195A"/>
    <w:rsid w:val="00793212"/>
    <w:rsid w:val="0079644B"/>
    <w:rsid w:val="007A0351"/>
    <w:rsid w:val="007A1C28"/>
    <w:rsid w:val="007A2BB4"/>
    <w:rsid w:val="007A2EDF"/>
    <w:rsid w:val="007A55E0"/>
    <w:rsid w:val="007A5DEB"/>
    <w:rsid w:val="007B4765"/>
    <w:rsid w:val="007B4A29"/>
    <w:rsid w:val="007C6EBC"/>
    <w:rsid w:val="007C7472"/>
    <w:rsid w:val="007D266B"/>
    <w:rsid w:val="007D780B"/>
    <w:rsid w:val="007E5D81"/>
    <w:rsid w:val="007F005C"/>
    <w:rsid w:val="007F0236"/>
    <w:rsid w:val="007F0F10"/>
    <w:rsid w:val="007F31E7"/>
    <w:rsid w:val="007F34CE"/>
    <w:rsid w:val="007F3E6B"/>
    <w:rsid w:val="007F4F4D"/>
    <w:rsid w:val="007F5C84"/>
    <w:rsid w:val="007F7968"/>
    <w:rsid w:val="00806F96"/>
    <w:rsid w:val="008149E3"/>
    <w:rsid w:val="00821A0B"/>
    <w:rsid w:val="0082379E"/>
    <w:rsid w:val="0082797A"/>
    <w:rsid w:val="00827D14"/>
    <w:rsid w:val="00830FA8"/>
    <w:rsid w:val="00831D4E"/>
    <w:rsid w:val="0083653D"/>
    <w:rsid w:val="008366E3"/>
    <w:rsid w:val="00836C80"/>
    <w:rsid w:val="00837714"/>
    <w:rsid w:val="00840C20"/>
    <w:rsid w:val="00843FFE"/>
    <w:rsid w:val="0084429D"/>
    <w:rsid w:val="00852E7E"/>
    <w:rsid w:val="00852FB9"/>
    <w:rsid w:val="00860053"/>
    <w:rsid w:val="00860CA4"/>
    <w:rsid w:val="00863C72"/>
    <w:rsid w:val="0086538E"/>
    <w:rsid w:val="00865E5D"/>
    <w:rsid w:val="00870521"/>
    <w:rsid w:val="008745F0"/>
    <w:rsid w:val="00880FF9"/>
    <w:rsid w:val="00886093"/>
    <w:rsid w:val="00887A8B"/>
    <w:rsid w:val="008906EE"/>
    <w:rsid w:val="00892989"/>
    <w:rsid w:val="0089401A"/>
    <w:rsid w:val="00894E76"/>
    <w:rsid w:val="0089698F"/>
    <w:rsid w:val="008A2255"/>
    <w:rsid w:val="008A52C1"/>
    <w:rsid w:val="008A6A93"/>
    <w:rsid w:val="008B16DC"/>
    <w:rsid w:val="008C4174"/>
    <w:rsid w:val="008C42E0"/>
    <w:rsid w:val="008C4B2A"/>
    <w:rsid w:val="008C6EE2"/>
    <w:rsid w:val="008C794E"/>
    <w:rsid w:val="008D142E"/>
    <w:rsid w:val="008D7E72"/>
    <w:rsid w:val="008E26E0"/>
    <w:rsid w:val="008E52CF"/>
    <w:rsid w:val="008E6891"/>
    <w:rsid w:val="008F3206"/>
    <w:rsid w:val="008F407D"/>
    <w:rsid w:val="008F67C6"/>
    <w:rsid w:val="00901A1E"/>
    <w:rsid w:val="00903972"/>
    <w:rsid w:val="00903FF8"/>
    <w:rsid w:val="00905FFB"/>
    <w:rsid w:val="00912881"/>
    <w:rsid w:val="009137A8"/>
    <w:rsid w:val="009201DF"/>
    <w:rsid w:val="009220DB"/>
    <w:rsid w:val="00922DDB"/>
    <w:rsid w:val="00926862"/>
    <w:rsid w:val="00934BAD"/>
    <w:rsid w:val="009350D4"/>
    <w:rsid w:val="009356C1"/>
    <w:rsid w:val="009358C7"/>
    <w:rsid w:val="009464B6"/>
    <w:rsid w:val="00950041"/>
    <w:rsid w:val="00950A46"/>
    <w:rsid w:val="00960DFE"/>
    <w:rsid w:val="009645C7"/>
    <w:rsid w:val="0096595D"/>
    <w:rsid w:val="00966A64"/>
    <w:rsid w:val="00970E3B"/>
    <w:rsid w:val="009725EB"/>
    <w:rsid w:val="0097511B"/>
    <w:rsid w:val="0098096B"/>
    <w:rsid w:val="009810A1"/>
    <w:rsid w:val="009851F8"/>
    <w:rsid w:val="0098612A"/>
    <w:rsid w:val="009869A0"/>
    <w:rsid w:val="00994AA6"/>
    <w:rsid w:val="00994DF8"/>
    <w:rsid w:val="00995863"/>
    <w:rsid w:val="00996472"/>
    <w:rsid w:val="009A11C2"/>
    <w:rsid w:val="009A30A2"/>
    <w:rsid w:val="009A3AB2"/>
    <w:rsid w:val="009A60CC"/>
    <w:rsid w:val="009A72F5"/>
    <w:rsid w:val="009A7486"/>
    <w:rsid w:val="009A7FA6"/>
    <w:rsid w:val="009B106A"/>
    <w:rsid w:val="009B3E50"/>
    <w:rsid w:val="009B6416"/>
    <w:rsid w:val="009C036B"/>
    <w:rsid w:val="009C34E5"/>
    <w:rsid w:val="009C3548"/>
    <w:rsid w:val="009C53F7"/>
    <w:rsid w:val="009C7F26"/>
    <w:rsid w:val="009D0224"/>
    <w:rsid w:val="009D3CE9"/>
    <w:rsid w:val="009D51F6"/>
    <w:rsid w:val="009D666D"/>
    <w:rsid w:val="009E0164"/>
    <w:rsid w:val="009E0465"/>
    <w:rsid w:val="009E06CD"/>
    <w:rsid w:val="009E6B1F"/>
    <w:rsid w:val="009E7CB8"/>
    <w:rsid w:val="009F00C7"/>
    <w:rsid w:val="009F2A58"/>
    <w:rsid w:val="009F433D"/>
    <w:rsid w:val="009F4857"/>
    <w:rsid w:val="00A05EAC"/>
    <w:rsid w:val="00A07FB4"/>
    <w:rsid w:val="00A11266"/>
    <w:rsid w:val="00A17FCD"/>
    <w:rsid w:val="00A24619"/>
    <w:rsid w:val="00A343A7"/>
    <w:rsid w:val="00A35FF5"/>
    <w:rsid w:val="00A4397D"/>
    <w:rsid w:val="00A443E5"/>
    <w:rsid w:val="00A47BCF"/>
    <w:rsid w:val="00A53979"/>
    <w:rsid w:val="00A610FC"/>
    <w:rsid w:val="00A61E66"/>
    <w:rsid w:val="00A61FD4"/>
    <w:rsid w:val="00A64575"/>
    <w:rsid w:val="00A66B16"/>
    <w:rsid w:val="00A71AF4"/>
    <w:rsid w:val="00A71EA1"/>
    <w:rsid w:val="00A81513"/>
    <w:rsid w:val="00A879BE"/>
    <w:rsid w:val="00A91327"/>
    <w:rsid w:val="00A965B6"/>
    <w:rsid w:val="00AA0120"/>
    <w:rsid w:val="00AA26A6"/>
    <w:rsid w:val="00AA3708"/>
    <w:rsid w:val="00AA5353"/>
    <w:rsid w:val="00AA5E20"/>
    <w:rsid w:val="00AA776F"/>
    <w:rsid w:val="00AB0CF5"/>
    <w:rsid w:val="00AB1C1D"/>
    <w:rsid w:val="00AB2D6B"/>
    <w:rsid w:val="00AB49D0"/>
    <w:rsid w:val="00AB6705"/>
    <w:rsid w:val="00AB7145"/>
    <w:rsid w:val="00AC1AD1"/>
    <w:rsid w:val="00AD3756"/>
    <w:rsid w:val="00AD375B"/>
    <w:rsid w:val="00AE06E4"/>
    <w:rsid w:val="00AE73AB"/>
    <w:rsid w:val="00AF0E15"/>
    <w:rsid w:val="00AF4AAB"/>
    <w:rsid w:val="00AF4B9E"/>
    <w:rsid w:val="00AF6244"/>
    <w:rsid w:val="00B008A3"/>
    <w:rsid w:val="00B0145C"/>
    <w:rsid w:val="00B02FC6"/>
    <w:rsid w:val="00B03F52"/>
    <w:rsid w:val="00B05BFE"/>
    <w:rsid w:val="00B077A4"/>
    <w:rsid w:val="00B1108D"/>
    <w:rsid w:val="00B126A9"/>
    <w:rsid w:val="00B13987"/>
    <w:rsid w:val="00B14058"/>
    <w:rsid w:val="00B22478"/>
    <w:rsid w:val="00B2289B"/>
    <w:rsid w:val="00B23846"/>
    <w:rsid w:val="00B241DB"/>
    <w:rsid w:val="00B2564A"/>
    <w:rsid w:val="00B25940"/>
    <w:rsid w:val="00B34F59"/>
    <w:rsid w:val="00B3688B"/>
    <w:rsid w:val="00B36E3A"/>
    <w:rsid w:val="00B40203"/>
    <w:rsid w:val="00B43ADB"/>
    <w:rsid w:val="00B465F7"/>
    <w:rsid w:val="00B46E11"/>
    <w:rsid w:val="00B603EE"/>
    <w:rsid w:val="00B610A3"/>
    <w:rsid w:val="00B61F45"/>
    <w:rsid w:val="00B64874"/>
    <w:rsid w:val="00B65B40"/>
    <w:rsid w:val="00B66705"/>
    <w:rsid w:val="00B669F8"/>
    <w:rsid w:val="00B67846"/>
    <w:rsid w:val="00B7020E"/>
    <w:rsid w:val="00B72525"/>
    <w:rsid w:val="00B75E13"/>
    <w:rsid w:val="00B75EF5"/>
    <w:rsid w:val="00B80CDA"/>
    <w:rsid w:val="00B828EB"/>
    <w:rsid w:val="00B83A50"/>
    <w:rsid w:val="00B84FE5"/>
    <w:rsid w:val="00B867E8"/>
    <w:rsid w:val="00B86FDC"/>
    <w:rsid w:val="00B9320E"/>
    <w:rsid w:val="00B972A0"/>
    <w:rsid w:val="00B973FA"/>
    <w:rsid w:val="00BA132F"/>
    <w:rsid w:val="00BA136C"/>
    <w:rsid w:val="00BA1E6D"/>
    <w:rsid w:val="00BA3A4B"/>
    <w:rsid w:val="00BA4491"/>
    <w:rsid w:val="00BA47AA"/>
    <w:rsid w:val="00BB2844"/>
    <w:rsid w:val="00BB715D"/>
    <w:rsid w:val="00BC1436"/>
    <w:rsid w:val="00BC1CA0"/>
    <w:rsid w:val="00BC5509"/>
    <w:rsid w:val="00BC6E2D"/>
    <w:rsid w:val="00BC7B80"/>
    <w:rsid w:val="00BD0697"/>
    <w:rsid w:val="00BD7861"/>
    <w:rsid w:val="00BD7CFB"/>
    <w:rsid w:val="00BE164B"/>
    <w:rsid w:val="00BE3A6A"/>
    <w:rsid w:val="00BE7C25"/>
    <w:rsid w:val="00BF5345"/>
    <w:rsid w:val="00BF751D"/>
    <w:rsid w:val="00BF7625"/>
    <w:rsid w:val="00C00658"/>
    <w:rsid w:val="00C03B00"/>
    <w:rsid w:val="00C10524"/>
    <w:rsid w:val="00C2178C"/>
    <w:rsid w:val="00C217E8"/>
    <w:rsid w:val="00C21862"/>
    <w:rsid w:val="00C23102"/>
    <w:rsid w:val="00C26DF8"/>
    <w:rsid w:val="00C30E68"/>
    <w:rsid w:val="00C30F91"/>
    <w:rsid w:val="00C31B66"/>
    <w:rsid w:val="00C34A77"/>
    <w:rsid w:val="00C40DCE"/>
    <w:rsid w:val="00C41401"/>
    <w:rsid w:val="00C41B01"/>
    <w:rsid w:val="00C431F5"/>
    <w:rsid w:val="00C45E81"/>
    <w:rsid w:val="00C53176"/>
    <w:rsid w:val="00C53CE3"/>
    <w:rsid w:val="00C54D55"/>
    <w:rsid w:val="00C57EFC"/>
    <w:rsid w:val="00C646F4"/>
    <w:rsid w:val="00C66ABA"/>
    <w:rsid w:val="00C672C4"/>
    <w:rsid w:val="00C733AC"/>
    <w:rsid w:val="00C7357A"/>
    <w:rsid w:val="00C75053"/>
    <w:rsid w:val="00C813F6"/>
    <w:rsid w:val="00C83AD4"/>
    <w:rsid w:val="00C86A01"/>
    <w:rsid w:val="00C86B04"/>
    <w:rsid w:val="00C9797C"/>
    <w:rsid w:val="00CA36B6"/>
    <w:rsid w:val="00CA44C0"/>
    <w:rsid w:val="00CA5350"/>
    <w:rsid w:val="00CA554B"/>
    <w:rsid w:val="00CA5763"/>
    <w:rsid w:val="00CB03FA"/>
    <w:rsid w:val="00CB1563"/>
    <w:rsid w:val="00CB1A1B"/>
    <w:rsid w:val="00CB5226"/>
    <w:rsid w:val="00CB5B1B"/>
    <w:rsid w:val="00CB5F28"/>
    <w:rsid w:val="00CC40C9"/>
    <w:rsid w:val="00CC72CA"/>
    <w:rsid w:val="00CD220A"/>
    <w:rsid w:val="00CD29B8"/>
    <w:rsid w:val="00CD3ECE"/>
    <w:rsid w:val="00CE1743"/>
    <w:rsid w:val="00CE2B79"/>
    <w:rsid w:val="00CE31E5"/>
    <w:rsid w:val="00CE3300"/>
    <w:rsid w:val="00CE517A"/>
    <w:rsid w:val="00CE5AD6"/>
    <w:rsid w:val="00CE6D7B"/>
    <w:rsid w:val="00CE772D"/>
    <w:rsid w:val="00CF363E"/>
    <w:rsid w:val="00CF46EF"/>
    <w:rsid w:val="00CF7AB2"/>
    <w:rsid w:val="00D002FB"/>
    <w:rsid w:val="00D031E6"/>
    <w:rsid w:val="00D03499"/>
    <w:rsid w:val="00D0570B"/>
    <w:rsid w:val="00D06423"/>
    <w:rsid w:val="00D070E8"/>
    <w:rsid w:val="00D0729B"/>
    <w:rsid w:val="00D07DF3"/>
    <w:rsid w:val="00D10587"/>
    <w:rsid w:val="00D10DD7"/>
    <w:rsid w:val="00D14EF8"/>
    <w:rsid w:val="00D150AC"/>
    <w:rsid w:val="00D15DCB"/>
    <w:rsid w:val="00D24E6C"/>
    <w:rsid w:val="00D373C0"/>
    <w:rsid w:val="00D41246"/>
    <w:rsid w:val="00D412F7"/>
    <w:rsid w:val="00D41BEA"/>
    <w:rsid w:val="00D43670"/>
    <w:rsid w:val="00D44EC6"/>
    <w:rsid w:val="00D51623"/>
    <w:rsid w:val="00D54078"/>
    <w:rsid w:val="00D554B8"/>
    <w:rsid w:val="00D55BD9"/>
    <w:rsid w:val="00D56CA1"/>
    <w:rsid w:val="00D607BC"/>
    <w:rsid w:val="00D631DE"/>
    <w:rsid w:val="00D63470"/>
    <w:rsid w:val="00D65287"/>
    <w:rsid w:val="00D74B33"/>
    <w:rsid w:val="00D807DF"/>
    <w:rsid w:val="00D80B4C"/>
    <w:rsid w:val="00D843A8"/>
    <w:rsid w:val="00D84C2C"/>
    <w:rsid w:val="00D87587"/>
    <w:rsid w:val="00D9173C"/>
    <w:rsid w:val="00D9371D"/>
    <w:rsid w:val="00D93B7E"/>
    <w:rsid w:val="00D94A3F"/>
    <w:rsid w:val="00DA3E9C"/>
    <w:rsid w:val="00DA4774"/>
    <w:rsid w:val="00DA6117"/>
    <w:rsid w:val="00DA65B5"/>
    <w:rsid w:val="00DA7C94"/>
    <w:rsid w:val="00DB31D8"/>
    <w:rsid w:val="00DB3BD0"/>
    <w:rsid w:val="00DB5FA9"/>
    <w:rsid w:val="00DB6061"/>
    <w:rsid w:val="00DC00F4"/>
    <w:rsid w:val="00DC0D6C"/>
    <w:rsid w:val="00DC47D6"/>
    <w:rsid w:val="00DC51C0"/>
    <w:rsid w:val="00DC6F48"/>
    <w:rsid w:val="00DC7009"/>
    <w:rsid w:val="00DD0922"/>
    <w:rsid w:val="00DD2EAD"/>
    <w:rsid w:val="00DD489E"/>
    <w:rsid w:val="00DD5F44"/>
    <w:rsid w:val="00DD6BF0"/>
    <w:rsid w:val="00DD77CD"/>
    <w:rsid w:val="00DE0EC7"/>
    <w:rsid w:val="00DE0FA5"/>
    <w:rsid w:val="00DE12FB"/>
    <w:rsid w:val="00DF3261"/>
    <w:rsid w:val="00DF3CEF"/>
    <w:rsid w:val="00DF4716"/>
    <w:rsid w:val="00DF4FA5"/>
    <w:rsid w:val="00E02F20"/>
    <w:rsid w:val="00E05298"/>
    <w:rsid w:val="00E054C3"/>
    <w:rsid w:val="00E069C9"/>
    <w:rsid w:val="00E10033"/>
    <w:rsid w:val="00E12F5F"/>
    <w:rsid w:val="00E139F6"/>
    <w:rsid w:val="00E15529"/>
    <w:rsid w:val="00E15623"/>
    <w:rsid w:val="00E22EE7"/>
    <w:rsid w:val="00E2349E"/>
    <w:rsid w:val="00E25AC8"/>
    <w:rsid w:val="00E30BF7"/>
    <w:rsid w:val="00E32827"/>
    <w:rsid w:val="00E33533"/>
    <w:rsid w:val="00E43F84"/>
    <w:rsid w:val="00E45952"/>
    <w:rsid w:val="00E55108"/>
    <w:rsid w:val="00E61110"/>
    <w:rsid w:val="00E645EA"/>
    <w:rsid w:val="00E6657B"/>
    <w:rsid w:val="00E7159F"/>
    <w:rsid w:val="00E72D1C"/>
    <w:rsid w:val="00E760EF"/>
    <w:rsid w:val="00E834AD"/>
    <w:rsid w:val="00E8450B"/>
    <w:rsid w:val="00E907A0"/>
    <w:rsid w:val="00E9096F"/>
    <w:rsid w:val="00E922E2"/>
    <w:rsid w:val="00E92B9C"/>
    <w:rsid w:val="00E97E7E"/>
    <w:rsid w:val="00EA0A66"/>
    <w:rsid w:val="00EA1AB5"/>
    <w:rsid w:val="00EA2C9A"/>
    <w:rsid w:val="00EB2E8C"/>
    <w:rsid w:val="00EB3536"/>
    <w:rsid w:val="00EB3761"/>
    <w:rsid w:val="00EB4008"/>
    <w:rsid w:val="00EB4F9B"/>
    <w:rsid w:val="00EB76A7"/>
    <w:rsid w:val="00EC1C12"/>
    <w:rsid w:val="00EC3030"/>
    <w:rsid w:val="00EC3FEC"/>
    <w:rsid w:val="00EC6111"/>
    <w:rsid w:val="00EC71B7"/>
    <w:rsid w:val="00EC7A1A"/>
    <w:rsid w:val="00ED0CAF"/>
    <w:rsid w:val="00ED132E"/>
    <w:rsid w:val="00ED47F3"/>
    <w:rsid w:val="00ED68AF"/>
    <w:rsid w:val="00ED78B1"/>
    <w:rsid w:val="00EE0834"/>
    <w:rsid w:val="00EE0C5A"/>
    <w:rsid w:val="00EE1A57"/>
    <w:rsid w:val="00EE2161"/>
    <w:rsid w:val="00EE55F4"/>
    <w:rsid w:val="00EF414E"/>
    <w:rsid w:val="00EF45EF"/>
    <w:rsid w:val="00EF61DB"/>
    <w:rsid w:val="00F00163"/>
    <w:rsid w:val="00F02769"/>
    <w:rsid w:val="00F12D5F"/>
    <w:rsid w:val="00F14DE4"/>
    <w:rsid w:val="00F17CB8"/>
    <w:rsid w:val="00F21390"/>
    <w:rsid w:val="00F32E3A"/>
    <w:rsid w:val="00F3416A"/>
    <w:rsid w:val="00F34EFA"/>
    <w:rsid w:val="00F360D0"/>
    <w:rsid w:val="00F3665C"/>
    <w:rsid w:val="00F44C17"/>
    <w:rsid w:val="00F45102"/>
    <w:rsid w:val="00F4541D"/>
    <w:rsid w:val="00F4564B"/>
    <w:rsid w:val="00F4756C"/>
    <w:rsid w:val="00F511DB"/>
    <w:rsid w:val="00F51B92"/>
    <w:rsid w:val="00F53A27"/>
    <w:rsid w:val="00F54469"/>
    <w:rsid w:val="00F55973"/>
    <w:rsid w:val="00F5772C"/>
    <w:rsid w:val="00F635A5"/>
    <w:rsid w:val="00F65396"/>
    <w:rsid w:val="00F70F60"/>
    <w:rsid w:val="00F717A7"/>
    <w:rsid w:val="00F744BC"/>
    <w:rsid w:val="00F77FAE"/>
    <w:rsid w:val="00F802E6"/>
    <w:rsid w:val="00F802E7"/>
    <w:rsid w:val="00F81CFB"/>
    <w:rsid w:val="00F83C20"/>
    <w:rsid w:val="00F8503F"/>
    <w:rsid w:val="00F9053B"/>
    <w:rsid w:val="00F94D55"/>
    <w:rsid w:val="00FA0D48"/>
    <w:rsid w:val="00FA33C7"/>
    <w:rsid w:val="00FA4058"/>
    <w:rsid w:val="00FA6045"/>
    <w:rsid w:val="00FA741B"/>
    <w:rsid w:val="00FB06EE"/>
    <w:rsid w:val="00FB1F3D"/>
    <w:rsid w:val="00FB4255"/>
    <w:rsid w:val="00FC1121"/>
    <w:rsid w:val="00FC3B0B"/>
    <w:rsid w:val="00FC6F14"/>
    <w:rsid w:val="00FC7AFA"/>
    <w:rsid w:val="00FD5DC5"/>
    <w:rsid w:val="00FE7A0D"/>
    <w:rsid w:val="00FF419A"/>
    <w:rsid w:val="00FF43A5"/>
    <w:rsid w:val="00FF6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1">
      <o:colormru v:ext="edit" colors="#369"/>
    </o:shapedefaults>
    <o:shapelayout v:ext="edit">
      <o:idmap v:ext="edit" data="1"/>
    </o:shapelayout>
  </w:shapeDefaults>
  <w:decimalSymbol w:val="."/>
  <w:listSeparator w:val=","/>
  <w15:docId w15:val="{1D8DBF92-44BC-4385-8D92-8C75E649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05C"/>
  </w:style>
  <w:style w:type="paragraph" w:styleId="Heading1">
    <w:name w:val="heading 1"/>
    <w:basedOn w:val="Normal"/>
    <w:next w:val="Normal"/>
    <w:qFormat/>
    <w:rsid w:val="007F005C"/>
    <w:pPr>
      <w:keepNext/>
      <w:numPr>
        <w:numId w:val="16"/>
      </w:numPr>
      <w:spacing w:line="360" w:lineRule="auto"/>
      <w:outlineLvl w:val="0"/>
    </w:pPr>
    <w:rPr>
      <w:rFonts w:ascii="Arial" w:hAnsi="Arial"/>
      <w:b/>
      <w:sz w:val="24"/>
    </w:rPr>
  </w:style>
  <w:style w:type="paragraph" w:styleId="Heading2">
    <w:name w:val="heading 2"/>
    <w:basedOn w:val="Normal"/>
    <w:next w:val="Normal"/>
    <w:qFormat/>
    <w:rsid w:val="007F005C"/>
    <w:pPr>
      <w:keepNext/>
      <w:numPr>
        <w:ilvl w:val="1"/>
        <w:numId w:val="16"/>
      </w:numPr>
      <w:spacing w:line="360" w:lineRule="auto"/>
      <w:outlineLvl w:val="1"/>
    </w:pPr>
    <w:rPr>
      <w:rFonts w:ascii="Arial" w:hAnsi="Arial"/>
      <w:sz w:val="24"/>
    </w:rPr>
  </w:style>
  <w:style w:type="paragraph" w:styleId="Heading3">
    <w:name w:val="heading 3"/>
    <w:basedOn w:val="Normal"/>
    <w:next w:val="Normal"/>
    <w:qFormat/>
    <w:rsid w:val="007F005C"/>
    <w:pPr>
      <w:keepNext/>
      <w:numPr>
        <w:ilvl w:val="2"/>
        <w:numId w:val="16"/>
      </w:numPr>
      <w:tabs>
        <w:tab w:val="left" w:pos="1440"/>
        <w:tab w:val="left" w:pos="4770"/>
      </w:tabs>
      <w:spacing w:line="480" w:lineRule="auto"/>
      <w:outlineLvl w:val="2"/>
    </w:pPr>
    <w:rPr>
      <w:rFonts w:ascii="Arial" w:hAnsi="Arial"/>
      <w:b/>
      <w:sz w:val="24"/>
    </w:rPr>
  </w:style>
  <w:style w:type="paragraph" w:styleId="Heading4">
    <w:name w:val="heading 4"/>
    <w:basedOn w:val="Normal"/>
    <w:next w:val="Normal"/>
    <w:qFormat/>
    <w:rsid w:val="007F005C"/>
    <w:pPr>
      <w:keepNext/>
      <w:outlineLvl w:val="3"/>
    </w:pPr>
    <w:rPr>
      <w:rFonts w:ascii="Arial" w:hAnsi="Arial"/>
      <w:i/>
      <w:sz w:val="22"/>
    </w:rPr>
  </w:style>
  <w:style w:type="paragraph" w:styleId="Heading5">
    <w:name w:val="heading 5"/>
    <w:basedOn w:val="Normal"/>
    <w:next w:val="Normal"/>
    <w:qFormat/>
    <w:rsid w:val="007F005C"/>
    <w:pPr>
      <w:keepNext/>
      <w:numPr>
        <w:ilvl w:val="4"/>
        <w:numId w:val="16"/>
      </w:numPr>
      <w:tabs>
        <w:tab w:val="left" w:pos="1440"/>
        <w:tab w:val="left" w:pos="4770"/>
      </w:tabs>
      <w:outlineLvl w:val="4"/>
    </w:pPr>
    <w:rPr>
      <w:rFonts w:ascii="Arial" w:hAnsi="Arial"/>
      <w:sz w:val="24"/>
    </w:rPr>
  </w:style>
  <w:style w:type="paragraph" w:styleId="Heading6">
    <w:name w:val="heading 6"/>
    <w:basedOn w:val="Normal"/>
    <w:next w:val="Normal"/>
    <w:qFormat/>
    <w:rsid w:val="007F005C"/>
    <w:pPr>
      <w:keepNext/>
      <w:numPr>
        <w:ilvl w:val="5"/>
        <w:numId w:val="16"/>
      </w:numPr>
      <w:outlineLvl w:val="5"/>
    </w:pPr>
    <w:rPr>
      <w:rFonts w:ascii="Arial" w:hAnsi="Arial"/>
      <w:sz w:val="24"/>
    </w:rPr>
  </w:style>
  <w:style w:type="paragraph" w:styleId="Heading7">
    <w:name w:val="heading 7"/>
    <w:basedOn w:val="Normal"/>
    <w:next w:val="Normal"/>
    <w:qFormat/>
    <w:rsid w:val="007F005C"/>
    <w:pPr>
      <w:numPr>
        <w:ilvl w:val="6"/>
        <w:numId w:val="16"/>
      </w:numPr>
      <w:spacing w:before="240" w:after="60"/>
      <w:outlineLvl w:val="6"/>
    </w:pPr>
    <w:rPr>
      <w:rFonts w:ascii="Arial" w:hAnsi="Arial"/>
    </w:rPr>
  </w:style>
  <w:style w:type="paragraph" w:styleId="Heading8">
    <w:name w:val="heading 8"/>
    <w:basedOn w:val="Normal"/>
    <w:next w:val="Normal"/>
    <w:qFormat/>
    <w:rsid w:val="007F005C"/>
    <w:pPr>
      <w:numPr>
        <w:ilvl w:val="7"/>
        <w:numId w:val="16"/>
      </w:numPr>
      <w:spacing w:before="240" w:after="60"/>
      <w:outlineLvl w:val="7"/>
    </w:pPr>
    <w:rPr>
      <w:rFonts w:ascii="Arial" w:hAnsi="Arial"/>
      <w:i/>
    </w:rPr>
  </w:style>
  <w:style w:type="paragraph" w:styleId="Heading9">
    <w:name w:val="heading 9"/>
    <w:basedOn w:val="Normal"/>
    <w:next w:val="Normal"/>
    <w:qFormat/>
    <w:rsid w:val="007F005C"/>
    <w:pPr>
      <w:numPr>
        <w:ilvl w:val="8"/>
        <w:numId w:val="1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7F005C"/>
    <w:pPr>
      <w:ind w:left="360" w:hanging="360"/>
    </w:pPr>
    <w:rPr>
      <w:rFonts w:ascii="Arial" w:hAnsi="Arial"/>
      <w:b/>
      <w:sz w:val="24"/>
    </w:rPr>
  </w:style>
  <w:style w:type="paragraph" w:styleId="BodyText">
    <w:name w:val="Body Text"/>
    <w:basedOn w:val="Normal"/>
    <w:rsid w:val="007F005C"/>
    <w:pPr>
      <w:tabs>
        <w:tab w:val="left" w:pos="1440"/>
        <w:tab w:val="left" w:pos="4770"/>
      </w:tabs>
    </w:pPr>
    <w:rPr>
      <w:rFonts w:ascii="Arial" w:hAnsi="Arial"/>
      <w:sz w:val="24"/>
    </w:rPr>
  </w:style>
  <w:style w:type="paragraph" w:styleId="BodyTextIndent2">
    <w:name w:val="Body Text Indent 2"/>
    <w:basedOn w:val="Normal"/>
    <w:rsid w:val="007F005C"/>
    <w:pPr>
      <w:ind w:left="360"/>
    </w:pPr>
    <w:rPr>
      <w:rFonts w:ascii="Arial" w:hAnsi="Arial"/>
      <w:sz w:val="24"/>
    </w:rPr>
  </w:style>
  <w:style w:type="paragraph" w:styleId="BodyTextIndent">
    <w:name w:val="Body Text Indent"/>
    <w:basedOn w:val="Normal"/>
    <w:rsid w:val="007F005C"/>
    <w:pPr>
      <w:ind w:left="1080"/>
    </w:pPr>
    <w:rPr>
      <w:rFonts w:ascii="Arial" w:hAnsi="Arial"/>
      <w:sz w:val="24"/>
    </w:rPr>
  </w:style>
  <w:style w:type="paragraph" w:styleId="BodyTextIndent3">
    <w:name w:val="Body Text Indent 3"/>
    <w:basedOn w:val="Normal"/>
    <w:rsid w:val="007F005C"/>
    <w:pPr>
      <w:ind w:left="1620"/>
    </w:pPr>
    <w:rPr>
      <w:rFonts w:ascii="Arial" w:hAnsi="Arial"/>
      <w:sz w:val="24"/>
    </w:rPr>
  </w:style>
  <w:style w:type="paragraph" w:styleId="Header">
    <w:name w:val="header"/>
    <w:basedOn w:val="Normal"/>
    <w:link w:val="HeaderChar"/>
    <w:uiPriority w:val="99"/>
    <w:rsid w:val="007F005C"/>
    <w:pPr>
      <w:tabs>
        <w:tab w:val="center" w:pos="4320"/>
        <w:tab w:val="right" w:pos="8640"/>
      </w:tabs>
    </w:pPr>
    <w:rPr>
      <w:rFonts w:ascii="Arial" w:hAnsi="Arial"/>
    </w:rPr>
  </w:style>
  <w:style w:type="character" w:styleId="PageNumber">
    <w:name w:val="page number"/>
    <w:basedOn w:val="DefaultParagraphFont"/>
    <w:rsid w:val="007F005C"/>
  </w:style>
  <w:style w:type="paragraph" w:styleId="Footer">
    <w:name w:val="footer"/>
    <w:basedOn w:val="Normal"/>
    <w:link w:val="FooterChar"/>
    <w:uiPriority w:val="99"/>
    <w:rsid w:val="007F005C"/>
    <w:pPr>
      <w:tabs>
        <w:tab w:val="center" w:pos="4320"/>
        <w:tab w:val="right" w:pos="8640"/>
      </w:tabs>
    </w:pPr>
    <w:rPr>
      <w:rFonts w:ascii="Arial" w:hAnsi="Arial"/>
    </w:rPr>
  </w:style>
  <w:style w:type="paragraph" w:styleId="FootnoteText">
    <w:name w:val="footnote text"/>
    <w:basedOn w:val="Normal"/>
    <w:semiHidden/>
    <w:rsid w:val="007F005C"/>
  </w:style>
  <w:style w:type="character" w:styleId="FootnoteReference">
    <w:name w:val="footnote reference"/>
    <w:basedOn w:val="DefaultParagraphFont"/>
    <w:semiHidden/>
    <w:rsid w:val="007F005C"/>
    <w:rPr>
      <w:vertAlign w:val="superscript"/>
    </w:rPr>
  </w:style>
  <w:style w:type="paragraph" w:styleId="BodyText3">
    <w:name w:val="Body Text 3"/>
    <w:basedOn w:val="Normal"/>
    <w:link w:val="BodyText3Char"/>
    <w:rsid w:val="007F005C"/>
    <w:pPr>
      <w:tabs>
        <w:tab w:val="left" w:pos="1440"/>
        <w:tab w:val="left" w:pos="4770"/>
      </w:tabs>
    </w:pPr>
    <w:rPr>
      <w:rFonts w:ascii="Arial" w:hAnsi="Arial"/>
      <w:sz w:val="22"/>
    </w:rPr>
  </w:style>
  <w:style w:type="paragraph" w:styleId="ListBullet2">
    <w:name w:val="List Bullet 2"/>
    <w:basedOn w:val="Normal"/>
    <w:autoRedefine/>
    <w:rsid w:val="007F005C"/>
    <w:pPr>
      <w:spacing w:line="360" w:lineRule="auto"/>
      <w:ind w:left="720" w:hanging="360"/>
    </w:pPr>
    <w:rPr>
      <w:rFonts w:ascii="Arial" w:hAnsi="Arial"/>
      <w:sz w:val="22"/>
    </w:rPr>
  </w:style>
  <w:style w:type="paragraph" w:styleId="ListBullet">
    <w:name w:val="List Bullet"/>
    <w:basedOn w:val="Normal"/>
    <w:autoRedefine/>
    <w:rsid w:val="007F005C"/>
    <w:pPr>
      <w:spacing w:before="120" w:after="120" w:line="360" w:lineRule="auto"/>
      <w:ind w:left="360" w:hanging="360"/>
    </w:pPr>
    <w:rPr>
      <w:rFonts w:ascii="Arial" w:hAnsi="Arial"/>
      <w:sz w:val="22"/>
    </w:rPr>
  </w:style>
  <w:style w:type="paragraph" w:styleId="List2">
    <w:name w:val="List 2"/>
    <w:basedOn w:val="Normal"/>
    <w:rsid w:val="007F005C"/>
    <w:pPr>
      <w:spacing w:line="360" w:lineRule="auto"/>
      <w:ind w:left="720" w:hanging="360"/>
    </w:pPr>
    <w:rPr>
      <w:rFonts w:ascii="Arial" w:hAnsi="Arial"/>
      <w:sz w:val="22"/>
    </w:rPr>
  </w:style>
  <w:style w:type="paragraph" w:styleId="ListContinue2">
    <w:name w:val="List Continue 2"/>
    <w:basedOn w:val="Normal"/>
    <w:rsid w:val="007F005C"/>
    <w:pPr>
      <w:spacing w:after="120" w:line="360" w:lineRule="auto"/>
      <w:ind w:left="720"/>
    </w:pPr>
    <w:rPr>
      <w:rFonts w:ascii="Arial" w:hAnsi="Arial"/>
      <w:sz w:val="22"/>
    </w:rPr>
  </w:style>
  <w:style w:type="character" w:styleId="Hyperlink">
    <w:name w:val="Hyperlink"/>
    <w:basedOn w:val="DefaultParagraphFont"/>
    <w:rsid w:val="007F005C"/>
    <w:rPr>
      <w:color w:val="0000FF"/>
      <w:u w:val="single"/>
    </w:rPr>
  </w:style>
  <w:style w:type="character" w:styleId="FollowedHyperlink">
    <w:name w:val="FollowedHyperlink"/>
    <w:basedOn w:val="DefaultParagraphFont"/>
    <w:rsid w:val="007F005C"/>
    <w:rPr>
      <w:color w:val="800080"/>
      <w:u w:val="single"/>
    </w:rPr>
  </w:style>
  <w:style w:type="paragraph" w:styleId="DocumentMap">
    <w:name w:val="Document Map"/>
    <w:basedOn w:val="Normal"/>
    <w:semiHidden/>
    <w:rsid w:val="007F005C"/>
    <w:pPr>
      <w:shd w:val="clear" w:color="auto" w:fill="000080"/>
    </w:pPr>
    <w:rPr>
      <w:rFonts w:ascii="Tahoma" w:hAnsi="Tahoma"/>
    </w:rPr>
  </w:style>
  <w:style w:type="paragraph" w:styleId="BalloonText">
    <w:name w:val="Balloon Text"/>
    <w:basedOn w:val="Normal"/>
    <w:semiHidden/>
    <w:rsid w:val="00E45952"/>
    <w:rPr>
      <w:rFonts w:ascii="Tahoma" w:hAnsi="Tahoma" w:cs="Tahoma"/>
      <w:sz w:val="16"/>
      <w:szCs w:val="16"/>
    </w:rPr>
  </w:style>
  <w:style w:type="character" w:styleId="CommentReference">
    <w:name w:val="annotation reference"/>
    <w:basedOn w:val="DefaultParagraphFont"/>
    <w:semiHidden/>
    <w:rsid w:val="00926862"/>
    <w:rPr>
      <w:sz w:val="16"/>
      <w:szCs w:val="16"/>
    </w:rPr>
  </w:style>
  <w:style w:type="paragraph" w:styleId="CommentText">
    <w:name w:val="annotation text"/>
    <w:basedOn w:val="Normal"/>
    <w:semiHidden/>
    <w:rsid w:val="00926862"/>
  </w:style>
  <w:style w:type="paragraph" w:styleId="CommentSubject">
    <w:name w:val="annotation subject"/>
    <w:basedOn w:val="CommentText"/>
    <w:next w:val="CommentText"/>
    <w:semiHidden/>
    <w:rsid w:val="00926862"/>
    <w:rPr>
      <w:b/>
      <w:bCs/>
    </w:rPr>
  </w:style>
  <w:style w:type="paragraph" w:styleId="ListParagraph">
    <w:name w:val="List Paragraph"/>
    <w:basedOn w:val="Normal"/>
    <w:uiPriority w:val="34"/>
    <w:qFormat/>
    <w:rsid w:val="003D512B"/>
    <w:pPr>
      <w:ind w:left="720"/>
      <w:contextualSpacing/>
    </w:pPr>
  </w:style>
  <w:style w:type="paragraph" w:customStyle="1" w:styleId="Default">
    <w:name w:val="Default"/>
    <w:rsid w:val="00AB2D6B"/>
    <w:pPr>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CD29B8"/>
    <w:rPr>
      <w:rFonts w:ascii="Arial" w:hAnsi="Arial"/>
    </w:rPr>
  </w:style>
  <w:style w:type="character" w:customStyle="1" w:styleId="FooterChar">
    <w:name w:val="Footer Char"/>
    <w:basedOn w:val="DefaultParagraphFont"/>
    <w:link w:val="Footer"/>
    <w:uiPriority w:val="99"/>
    <w:rsid w:val="00CD29B8"/>
    <w:rPr>
      <w:rFonts w:ascii="Arial" w:hAnsi="Arial"/>
    </w:rPr>
  </w:style>
  <w:style w:type="character" w:customStyle="1" w:styleId="BodyText3Char">
    <w:name w:val="Body Text 3 Char"/>
    <w:basedOn w:val="DefaultParagraphFont"/>
    <w:link w:val="BodyText3"/>
    <w:rsid w:val="00153C6F"/>
    <w:rPr>
      <w:rFonts w:ascii="Arial" w:hAnsi="Arial"/>
      <w:sz w:val="22"/>
    </w:rPr>
  </w:style>
  <w:style w:type="paragraph" w:customStyle="1" w:styleId="TableParagraph">
    <w:name w:val="Table Paragraph"/>
    <w:basedOn w:val="Normal"/>
    <w:uiPriority w:val="1"/>
    <w:qFormat/>
    <w:rsid w:val="00315033"/>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086122">
      <w:bodyDiv w:val="1"/>
      <w:marLeft w:val="0"/>
      <w:marRight w:val="0"/>
      <w:marTop w:val="0"/>
      <w:marBottom w:val="0"/>
      <w:divBdr>
        <w:top w:val="none" w:sz="0" w:space="0" w:color="auto"/>
        <w:left w:val="none" w:sz="0" w:space="0" w:color="auto"/>
        <w:bottom w:val="none" w:sz="0" w:space="0" w:color="auto"/>
        <w:right w:val="none" w:sz="0" w:space="0" w:color="auto"/>
      </w:divBdr>
    </w:div>
    <w:div w:id="1287354861">
      <w:bodyDiv w:val="1"/>
      <w:marLeft w:val="0"/>
      <w:marRight w:val="0"/>
      <w:marTop w:val="0"/>
      <w:marBottom w:val="0"/>
      <w:divBdr>
        <w:top w:val="none" w:sz="0" w:space="0" w:color="auto"/>
        <w:left w:val="none" w:sz="0" w:space="0" w:color="auto"/>
        <w:bottom w:val="none" w:sz="0" w:space="0" w:color="auto"/>
        <w:right w:val="none" w:sz="0" w:space="0" w:color="auto"/>
      </w:divBdr>
    </w:div>
    <w:div w:id="180881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rules.org/Gateway/reference.asp?No=Ref-02959"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p.state.fl.us/water/wqssp/docs/do/tsd-do-criteria-aquatic-life.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FF2B53-8853-4DDF-AD10-BBBD6DC99CB2}">
  <ds:schemaRefs>
    <ds:schemaRef ds:uri="http://schemas.openxmlformats.org/officeDocument/2006/bibliography"/>
  </ds:schemaRefs>
</ds:datastoreItem>
</file>

<file path=customXml/itemProps2.xml><?xml version="1.0" encoding="utf-8"?>
<ds:datastoreItem xmlns:ds="http://schemas.openxmlformats.org/officeDocument/2006/customXml" ds:itemID="{933857F3-E76D-437E-A6BC-1D688A3D7E14}">
  <ds:schemaRefs>
    <ds:schemaRef ds:uri="http://schemas.openxmlformats.org/officeDocument/2006/bibliography"/>
  </ds:schemaRefs>
</ds:datastoreItem>
</file>

<file path=customXml/itemProps3.xml><?xml version="1.0" encoding="utf-8"?>
<ds:datastoreItem xmlns:ds="http://schemas.openxmlformats.org/officeDocument/2006/customXml" ds:itemID="{3E2ADD6F-FF99-4E27-B04B-BB534B4CB45F}">
  <ds:schemaRefs>
    <ds:schemaRef ds:uri="http://schemas.openxmlformats.org/officeDocument/2006/bibliography"/>
  </ds:schemaRefs>
</ds:datastoreItem>
</file>

<file path=customXml/itemProps4.xml><?xml version="1.0" encoding="utf-8"?>
<ds:datastoreItem xmlns:ds="http://schemas.openxmlformats.org/officeDocument/2006/customXml" ds:itemID="{7D6F201B-B047-46A5-8A7E-6E20CBE8D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3370</Words>
  <Characters>19210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Outline</vt:lpstr>
    </vt:vector>
  </TitlesOfParts>
  <Company>Florida DEP</Company>
  <LinksUpToDate>false</LinksUpToDate>
  <CharactersWithSpaces>22535</CharactersWithSpaces>
  <SharedDoc>false</SharedDoc>
  <HLinks>
    <vt:vector size="558" baseType="variant">
      <vt:variant>
        <vt:i4>7733291</vt:i4>
      </vt:variant>
      <vt:variant>
        <vt:i4>276</vt:i4>
      </vt:variant>
      <vt:variant>
        <vt:i4>0</vt:i4>
      </vt:variant>
      <vt:variant>
        <vt:i4>5</vt:i4>
      </vt:variant>
      <vt:variant>
        <vt:lpwstr>http://www.dep.state.fl.us/legal/Rules/shared/62-4/62-4.pdf</vt:lpwstr>
      </vt:variant>
      <vt:variant>
        <vt:lpwstr/>
      </vt:variant>
      <vt:variant>
        <vt:i4>7536686</vt:i4>
      </vt:variant>
      <vt:variant>
        <vt:i4>273</vt:i4>
      </vt:variant>
      <vt:variant>
        <vt:i4>0</vt:i4>
      </vt:variant>
      <vt:variant>
        <vt:i4>5</vt:i4>
      </vt:variant>
      <vt:variant>
        <vt:lpwstr>http://www.dep.state.fl.us/legal/Rules/shared/62-302/62-302.pdf</vt:lpwstr>
      </vt:variant>
      <vt:variant>
        <vt:lpwstr/>
      </vt:variant>
      <vt:variant>
        <vt:i4>1114135</vt:i4>
      </vt:variant>
      <vt:variant>
        <vt:i4>270</vt:i4>
      </vt:variant>
      <vt:variant>
        <vt:i4>0</vt:i4>
      </vt:variant>
      <vt:variant>
        <vt:i4>5</vt:i4>
      </vt:variant>
      <vt:variant>
        <vt:lpwstr>http://www.dep.state.fl.us/legal/Rules/wastewater/62-650.pdf</vt:lpwstr>
      </vt:variant>
      <vt:variant>
        <vt:lpwstr/>
      </vt:variant>
      <vt:variant>
        <vt:i4>1114130</vt:i4>
      </vt:variant>
      <vt:variant>
        <vt:i4>267</vt:i4>
      </vt:variant>
      <vt:variant>
        <vt:i4>0</vt:i4>
      </vt:variant>
      <vt:variant>
        <vt:i4>5</vt:i4>
      </vt:variant>
      <vt:variant>
        <vt:lpwstr>http://www.dep.state.fl.us/legal/Rules/wastewater/62-600.pdf</vt:lpwstr>
      </vt:variant>
      <vt:variant>
        <vt:lpwstr/>
      </vt:variant>
      <vt:variant>
        <vt:i4>7733291</vt:i4>
      </vt:variant>
      <vt:variant>
        <vt:i4>264</vt:i4>
      </vt:variant>
      <vt:variant>
        <vt:i4>0</vt:i4>
      </vt:variant>
      <vt:variant>
        <vt:i4>5</vt:i4>
      </vt:variant>
      <vt:variant>
        <vt:lpwstr>http://www.dep.state.fl.us/legal/Rules/shared/62-4/62-4.pdf</vt:lpwstr>
      </vt:variant>
      <vt:variant>
        <vt:lpwstr/>
      </vt:variant>
      <vt:variant>
        <vt:i4>7536686</vt:i4>
      </vt:variant>
      <vt:variant>
        <vt:i4>261</vt:i4>
      </vt:variant>
      <vt:variant>
        <vt:i4>0</vt:i4>
      </vt:variant>
      <vt:variant>
        <vt:i4>5</vt:i4>
      </vt:variant>
      <vt:variant>
        <vt:lpwstr>http://www.dep.state.fl.us/legal/Rules/shared/62-302/62-302.pdf</vt:lpwstr>
      </vt:variant>
      <vt:variant>
        <vt:lpwstr/>
      </vt:variant>
      <vt:variant>
        <vt:i4>1114135</vt:i4>
      </vt:variant>
      <vt:variant>
        <vt:i4>258</vt:i4>
      </vt:variant>
      <vt:variant>
        <vt:i4>0</vt:i4>
      </vt:variant>
      <vt:variant>
        <vt:i4>5</vt:i4>
      </vt:variant>
      <vt:variant>
        <vt:lpwstr>http://www.dep.state.fl.us/legal/Rules/wastewater/62-650.pdf</vt:lpwstr>
      </vt:variant>
      <vt:variant>
        <vt:lpwstr/>
      </vt:variant>
      <vt:variant>
        <vt:i4>1245263</vt:i4>
      </vt:variant>
      <vt:variant>
        <vt:i4>255</vt:i4>
      </vt:variant>
      <vt:variant>
        <vt:i4>0</vt:i4>
      </vt:variant>
      <vt:variant>
        <vt:i4>5</vt:i4>
      </vt:variant>
      <vt:variant>
        <vt:lpwstr>http://www.leg.state.fl.us/Statutes/index.cfm?App_mode=Display_Statute&amp;URL=Ch0403/titl0403.htm&amp;StatuteYear=2008&amp;Title=%2D%3E2008%2D%3EChapter%20403</vt:lpwstr>
      </vt:variant>
      <vt:variant>
        <vt:lpwstr/>
      </vt:variant>
      <vt:variant>
        <vt:i4>1245263</vt:i4>
      </vt:variant>
      <vt:variant>
        <vt:i4>252</vt:i4>
      </vt:variant>
      <vt:variant>
        <vt:i4>0</vt:i4>
      </vt:variant>
      <vt:variant>
        <vt:i4>5</vt:i4>
      </vt:variant>
      <vt:variant>
        <vt:lpwstr>http://www.leg.state.fl.us/Statutes/index.cfm?App_mode=Display_Statute&amp;URL=Ch0403/titl0403.htm&amp;StatuteYear=2008&amp;Title=%2D%3E2008%2D%3EChapter%20403</vt:lpwstr>
      </vt:variant>
      <vt:variant>
        <vt:lpwstr/>
      </vt:variant>
      <vt:variant>
        <vt:i4>1114130</vt:i4>
      </vt:variant>
      <vt:variant>
        <vt:i4>249</vt:i4>
      </vt:variant>
      <vt:variant>
        <vt:i4>0</vt:i4>
      </vt:variant>
      <vt:variant>
        <vt:i4>5</vt:i4>
      </vt:variant>
      <vt:variant>
        <vt:lpwstr>http://www.dep.state.fl.us/legal/Rules/wastewater/62-600.pdf</vt:lpwstr>
      </vt:variant>
      <vt:variant>
        <vt:lpwstr/>
      </vt:variant>
      <vt:variant>
        <vt:i4>7733291</vt:i4>
      </vt:variant>
      <vt:variant>
        <vt:i4>246</vt:i4>
      </vt:variant>
      <vt:variant>
        <vt:i4>0</vt:i4>
      </vt:variant>
      <vt:variant>
        <vt:i4>5</vt:i4>
      </vt:variant>
      <vt:variant>
        <vt:lpwstr>http://www.dep.state.fl.us/legal/Rules/shared/62-620/62-620.pdf</vt:lpwstr>
      </vt:variant>
      <vt:variant>
        <vt:lpwstr/>
      </vt:variant>
      <vt:variant>
        <vt:i4>7733291</vt:i4>
      </vt:variant>
      <vt:variant>
        <vt:i4>243</vt:i4>
      </vt:variant>
      <vt:variant>
        <vt:i4>0</vt:i4>
      </vt:variant>
      <vt:variant>
        <vt:i4>5</vt:i4>
      </vt:variant>
      <vt:variant>
        <vt:lpwstr>http://www.dep.state.fl.us/legal/Rules/shared/62-4/62-4.pdf</vt:lpwstr>
      </vt:variant>
      <vt:variant>
        <vt:lpwstr/>
      </vt:variant>
      <vt:variant>
        <vt:i4>7733291</vt:i4>
      </vt:variant>
      <vt:variant>
        <vt:i4>240</vt:i4>
      </vt:variant>
      <vt:variant>
        <vt:i4>0</vt:i4>
      </vt:variant>
      <vt:variant>
        <vt:i4>5</vt:i4>
      </vt:variant>
      <vt:variant>
        <vt:lpwstr>http://www.dep.state.fl.us/legal/Rules/shared/62-4/62-4.pdf</vt:lpwstr>
      </vt:variant>
      <vt:variant>
        <vt:lpwstr/>
      </vt:variant>
      <vt:variant>
        <vt:i4>7733291</vt:i4>
      </vt:variant>
      <vt:variant>
        <vt:i4>237</vt:i4>
      </vt:variant>
      <vt:variant>
        <vt:i4>0</vt:i4>
      </vt:variant>
      <vt:variant>
        <vt:i4>5</vt:i4>
      </vt:variant>
      <vt:variant>
        <vt:lpwstr>http://www.dep.state.fl.us/legal/Rules/shared/62-4/62-4.pdf</vt:lpwstr>
      </vt:variant>
      <vt:variant>
        <vt:lpwstr/>
      </vt:variant>
      <vt:variant>
        <vt:i4>7733291</vt:i4>
      </vt:variant>
      <vt:variant>
        <vt:i4>234</vt:i4>
      </vt:variant>
      <vt:variant>
        <vt:i4>0</vt:i4>
      </vt:variant>
      <vt:variant>
        <vt:i4>5</vt:i4>
      </vt:variant>
      <vt:variant>
        <vt:lpwstr>http://www.dep.state.fl.us/legal/Rules/shared/62-4/62-4.pdf</vt:lpwstr>
      </vt:variant>
      <vt:variant>
        <vt:lpwstr/>
      </vt:variant>
      <vt:variant>
        <vt:i4>7929915</vt:i4>
      </vt:variant>
      <vt:variant>
        <vt:i4>231</vt:i4>
      </vt:variant>
      <vt:variant>
        <vt:i4>0</vt:i4>
      </vt:variant>
      <vt:variant>
        <vt:i4>5</vt:i4>
      </vt:variant>
      <vt:variant>
        <vt:lpwstr/>
      </vt:variant>
      <vt:variant>
        <vt:lpwstr>Facilities_Required_to_Conduct_13_5_2</vt:lpwstr>
      </vt:variant>
      <vt:variant>
        <vt:i4>2424854</vt:i4>
      </vt:variant>
      <vt:variant>
        <vt:i4>228</vt:i4>
      </vt:variant>
      <vt:variant>
        <vt:i4>0</vt:i4>
      </vt:variant>
      <vt:variant>
        <vt:i4>5</vt:i4>
      </vt:variant>
      <vt:variant>
        <vt:lpwstr>http://depnet/wrm/docs/manuals/OWM/OWM_02_02_ApplicabilityofBMP3Plan.DOC</vt:lpwstr>
      </vt:variant>
      <vt:variant>
        <vt:lpwstr/>
      </vt:variant>
      <vt:variant>
        <vt:i4>2228230</vt:i4>
      </vt:variant>
      <vt:variant>
        <vt:i4>225</vt:i4>
      </vt:variant>
      <vt:variant>
        <vt:i4>0</vt:i4>
      </vt:variant>
      <vt:variant>
        <vt:i4>5</vt:i4>
      </vt:variant>
      <vt:variant>
        <vt:lpwstr>http://edocket.access.gpo.gov/cfr_2002/julqtr/40cfr122.44.htm</vt:lpwstr>
      </vt:variant>
      <vt:variant>
        <vt:lpwstr/>
      </vt:variant>
      <vt:variant>
        <vt:i4>7733291</vt:i4>
      </vt:variant>
      <vt:variant>
        <vt:i4>222</vt:i4>
      </vt:variant>
      <vt:variant>
        <vt:i4>0</vt:i4>
      </vt:variant>
      <vt:variant>
        <vt:i4>5</vt:i4>
      </vt:variant>
      <vt:variant>
        <vt:lpwstr>http://www.dep.state.fl.us/legal/Rules/shared/62-620/62-620.pdf</vt:lpwstr>
      </vt:variant>
      <vt:variant>
        <vt:lpwstr/>
      </vt:variant>
      <vt:variant>
        <vt:i4>7733291</vt:i4>
      </vt:variant>
      <vt:variant>
        <vt:i4>219</vt:i4>
      </vt:variant>
      <vt:variant>
        <vt:i4>0</vt:i4>
      </vt:variant>
      <vt:variant>
        <vt:i4>5</vt:i4>
      </vt:variant>
      <vt:variant>
        <vt:lpwstr>http://www.dep.state.fl.us/legal/Rules/shared/62-4/62-4.pdf</vt:lpwstr>
      </vt:variant>
      <vt:variant>
        <vt:lpwstr/>
      </vt:variant>
      <vt:variant>
        <vt:i4>7536686</vt:i4>
      </vt:variant>
      <vt:variant>
        <vt:i4>216</vt:i4>
      </vt:variant>
      <vt:variant>
        <vt:i4>0</vt:i4>
      </vt:variant>
      <vt:variant>
        <vt:i4>5</vt:i4>
      </vt:variant>
      <vt:variant>
        <vt:lpwstr>http://www.dep.state.fl.us/legal/Rules/shared/62-302/62-302.pdf</vt:lpwstr>
      </vt:variant>
      <vt:variant>
        <vt:lpwstr/>
      </vt:variant>
      <vt:variant>
        <vt:i4>7536686</vt:i4>
      </vt:variant>
      <vt:variant>
        <vt:i4>213</vt:i4>
      </vt:variant>
      <vt:variant>
        <vt:i4>0</vt:i4>
      </vt:variant>
      <vt:variant>
        <vt:i4>5</vt:i4>
      </vt:variant>
      <vt:variant>
        <vt:lpwstr>http://www.dep.state.fl.us/legal/Rules/shared/62-302/62-302.pdf</vt:lpwstr>
      </vt:variant>
      <vt:variant>
        <vt:lpwstr/>
      </vt:variant>
      <vt:variant>
        <vt:i4>7536686</vt:i4>
      </vt:variant>
      <vt:variant>
        <vt:i4>210</vt:i4>
      </vt:variant>
      <vt:variant>
        <vt:i4>0</vt:i4>
      </vt:variant>
      <vt:variant>
        <vt:i4>5</vt:i4>
      </vt:variant>
      <vt:variant>
        <vt:lpwstr>http://www.dep.state.fl.us/legal/Rules/shared/62-302/62-302.pdf</vt:lpwstr>
      </vt:variant>
      <vt:variant>
        <vt:lpwstr/>
      </vt:variant>
      <vt:variant>
        <vt:i4>7536686</vt:i4>
      </vt:variant>
      <vt:variant>
        <vt:i4>207</vt:i4>
      </vt:variant>
      <vt:variant>
        <vt:i4>0</vt:i4>
      </vt:variant>
      <vt:variant>
        <vt:i4>5</vt:i4>
      </vt:variant>
      <vt:variant>
        <vt:lpwstr>http://www.dep.state.fl.us/legal/Rules/shared/62-302/62-302.pdf</vt:lpwstr>
      </vt:variant>
      <vt:variant>
        <vt:lpwstr/>
      </vt:variant>
      <vt:variant>
        <vt:i4>7536686</vt:i4>
      </vt:variant>
      <vt:variant>
        <vt:i4>204</vt:i4>
      </vt:variant>
      <vt:variant>
        <vt:i4>0</vt:i4>
      </vt:variant>
      <vt:variant>
        <vt:i4>5</vt:i4>
      </vt:variant>
      <vt:variant>
        <vt:lpwstr>http://www.dep.state.fl.us/legal/Rules/shared/62-302/62-302.pdf</vt:lpwstr>
      </vt:variant>
      <vt:variant>
        <vt:lpwstr/>
      </vt:variant>
      <vt:variant>
        <vt:i4>2424854</vt:i4>
      </vt:variant>
      <vt:variant>
        <vt:i4>201</vt:i4>
      </vt:variant>
      <vt:variant>
        <vt:i4>0</vt:i4>
      </vt:variant>
      <vt:variant>
        <vt:i4>5</vt:i4>
      </vt:variant>
      <vt:variant>
        <vt:lpwstr>http://depnet/wrm/docs/manuals/OWM/OWM_02_02_ApplicabilityofBMP3Plan.DOC</vt:lpwstr>
      </vt:variant>
      <vt:variant>
        <vt:lpwstr/>
      </vt:variant>
      <vt:variant>
        <vt:i4>2228230</vt:i4>
      </vt:variant>
      <vt:variant>
        <vt:i4>198</vt:i4>
      </vt:variant>
      <vt:variant>
        <vt:i4>0</vt:i4>
      </vt:variant>
      <vt:variant>
        <vt:i4>5</vt:i4>
      </vt:variant>
      <vt:variant>
        <vt:lpwstr>http://edocket.access.gpo.gov/cfr_2002/julqtr/40cfr122.44.htm</vt:lpwstr>
      </vt:variant>
      <vt:variant>
        <vt:lpwstr/>
      </vt:variant>
      <vt:variant>
        <vt:i4>7733291</vt:i4>
      </vt:variant>
      <vt:variant>
        <vt:i4>195</vt:i4>
      </vt:variant>
      <vt:variant>
        <vt:i4>0</vt:i4>
      </vt:variant>
      <vt:variant>
        <vt:i4>5</vt:i4>
      </vt:variant>
      <vt:variant>
        <vt:lpwstr>http://www.dep.state.fl.us/legal/Rules/shared/62-620/62-620.pdf</vt:lpwstr>
      </vt:variant>
      <vt:variant>
        <vt:lpwstr/>
      </vt:variant>
      <vt:variant>
        <vt:i4>7733291</vt:i4>
      </vt:variant>
      <vt:variant>
        <vt:i4>192</vt:i4>
      </vt:variant>
      <vt:variant>
        <vt:i4>0</vt:i4>
      </vt:variant>
      <vt:variant>
        <vt:i4>5</vt:i4>
      </vt:variant>
      <vt:variant>
        <vt:lpwstr>http://www.dep.state.fl.us/legal/Rules/shared/62-4/62-4.pdf</vt:lpwstr>
      </vt:variant>
      <vt:variant>
        <vt:lpwstr/>
      </vt:variant>
      <vt:variant>
        <vt:i4>1114131</vt:i4>
      </vt:variant>
      <vt:variant>
        <vt:i4>189</vt:i4>
      </vt:variant>
      <vt:variant>
        <vt:i4>0</vt:i4>
      </vt:variant>
      <vt:variant>
        <vt:i4>5</vt:i4>
      </vt:variant>
      <vt:variant>
        <vt:lpwstr>http://www.dep.state.fl.us/legal/Rules/wastewater/62-610.pdf</vt:lpwstr>
      </vt:variant>
      <vt:variant>
        <vt:lpwstr/>
      </vt:variant>
      <vt:variant>
        <vt:i4>7733291</vt:i4>
      </vt:variant>
      <vt:variant>
        <vt:i4>186</vt:i4>
      </vt:variant>
      <vt:variant>
        <vt:i4>0</vt:i4>
      </vt:variant>
      <vt:variant>
        <vt:i4>5</vt:i4>
      </vt:variant>
      <vt:variant>
        <vt:lpwstr>http://www.dep.state.fl.us/legal/Rules/shared/62-4/62-4.pdf</vt:lpwstr>
      </vt:variant>
      <vt:variant>
        <vt:lpwstr/>
      </vt:variant>
      <vt:variant>
        <vt:i4>1245263</vt:i4>
      </vt:variant>
      <vt:variant>
        <vt:i4>183</vt:i4>
      </vt:variant>
      <vt:variant>
        <vt:i4>0</vt:i4>
      </vt:variant>
      <vt:variant>
        <vt:i4>5</vt:i4>
      </vt:variant>
      <vt:variant>
        <vt:lpwstr>http://www.leg.state.fl.us/Statutes/index.cfm?App_mode=Display_Statute&amp;URL=Ch0403/titl0403.htm&amp;StatuteYear=2008&amp;Title=%2D%3E2008%2D%3EChapter%20403</vt:lpwstr>
      </vt:variant>
      <vt:variant>
        <vt:lpwstr/>
      </vt:variant>
      <vt:variant>
        <vt:i4>7733291</vt:i4>
      </vt:variant>
      <vt:variant>
        <vt:i4>180</vt:i4>
      </vt:variant>
      <vt:variant>
        <vt:i4>0</vt:i4>
      </vt:variant>
      <vt:variant>
        <vt:i4>5</vt:i4>
      </vt:variant>
      <vt:variant>
        <vt:lpwstr>http://www.dep.state.fl.us/legal/Rules/shared/62-4/62-4.pdf</vt:lpwstr>
      </vt:variant>
      <vt:variant>
        <vt:lpwstr/>
      </vt:variant>
      <vt:variant>
        <vt:i4>7733291</vt:i4>
      </vt:variant>
      <vt:variant>
        <vt:i4>177</vt:i4>
      </vt:variant>
      <vt:variant>
        <vt:i4>0</vt:i4>
      </vt:variant>
      <vt:variant>
        <vt:i4>5</vt:i4>
      </vt:variant>
      <vt:variant>
        <vt:lpwstr>http://www.dep.state.fl.us/legal/Rules/shared/62-4/62-4.pdf</vt:lpwstr>
      </vt:variant>
      <vt:variant>
        <vt:lpwstr/>
      </vt:variant>
      <vt:variant>
        <vt:i4>4128863</vt:i4>
      </vt:variant>
      <vt:variant>
        <vt:i4>174</vt:i4>
      </vt:variant>
      <vt:variant>
        <vt:i4>0</vt:i4>
      </vt:variant>
      <vt:variant>
        <vt:i4>5</vt:i4>
      </vt:variant>
      <vt:variant>
        <vt:lpwstr>http://www.leg.state.fl.us/Statutes/index.cfm?App_mode=Display_Statute&amp;Search_String=&amp;URL=0300-0399/0373/Sections/0373.250.html</vt:lpwstr>
      </vt:variant>
      <vt:variant>
        <vt:lpwstr/>
      </vt:variant>
      <vt:variant>
        <vt:i4>4063323</vt:i4>
      </vt:variant>
      <vt:variant>
        <vt:i4>171</vt:i4>
      </vt:variant>
      <vt:variant>
        <vt:i4>0</vt:i4>
      </vt:variant>
      <vt:variant>
        <vt:i4>5</vt:i4>
      </vt:variant>
      <vt:variant>
        <vt:lpwstr>http://www.leg.state.fl.us/Statutes/index.cfm?App_mode=Display_Statute&amp;Search_String=&amp;URL=0400-0499/0403/Sections/0403.064.html</vt:lpwstr>
      </vt:variant>
      <vt:variant>
        <vt:lpwstr/>
      </vt:variant>
      <vt:variant>
        <vt:i4>7536686</vt:i4>
      </vt:variant>
      <vt:variant>
        <vt:i4>168</vt:i4>
      </vt:variant>
      <vt:variant>
        <vt:i4>0</vt:i4>
      </vt:variant>
      <vt:variant>
        <vt:i4>5</vt:i4>
      </vt:variant>
      <vt:variant>
        <vt:lpwstr>http://www.dep.state.fl.us/legal/Rules/shared/62-302/62-302.pdf</vt:lpwstr>
      </vt:variant>
      <vt:variant>
        <vt:lpwstr/>
      </vt:variant>
      <vt:variant>
        <vt:i4>7536686</vt:i4>
      </vt:variant>
      <vt:variant>
        <vt:i4>165</vt:i4>
      </vt:variant>
      <vt:variant>
        <vt:i4>0</vt:i4>
      </vt:variant>
      <vt:variant>
        <vt:i4>5</vt:i4>
      </vt:variant>
      <vt:variant>
        <vt:lpwstr>http://www.dep.state.fl.us/legal/Rules/shared/62-302/62-302.pdf</vt:lpwstr>
      </vt:variant>
      <vt:variant>
        <vt:lpwstr/>
      </vt:variant>
      <vt:variant>
        <vt:i4>7536686</vt:i4>
      </vt:variant>
      <vt:variant>
        <vt:i4>162</vt:i4>
      </vt:variant>
      <vt:variant>
        <vt:i4>0</vt:i4>
      </vt:variant>
      <vt:variant>
        <vt:i4>5</vt:i4>
      </vt:variant>
      <vt:variant>
        <vt:lpwstr>http://www.dep.state.fl.us/legal/Rules/shared/62-302/62-302.pdf</vt:lpwstr>
      </vt:variant>
      <vt:variant>
        <vt:lpwstr/>
      </vt:variant>
      <vt:variant>
        <vt:i4>7733291</vt:i4>
      </vt:variant>
      <vt:variant>
        <vt:i4>159</vt:i4>
      </vt:variant>
      <vt:variant>
        <vt:i4>0</vt:i4>
      </vt:variant>
      <vt:variant>
        <vt:i4>5</vt:i4>
      </vt:variant>
      <vt:variant>
        <vt:lpwstr>http://www.dep.state.fl.us/legal/Rules/shared/62-4/62-4.pdf</vt:lpwstr>
      </vt:variant>
      <vt:variant>
        <vt:lpwstr/>
      </vt:variant>
      <vt:variant>
        <vt:i4>7733291</vt:i4>
      </vt:variant>
      <vt:variant>
        <vt:i4>156</vt:i4>
      </vt:variant>
      <vt:variant>
        <vt:i4>0</vt:i4>
      </vt:variant>
      <vt:variant>
        <vt:i4>5</vt:i4>
      </vt:variant>
      <vt:variant>
        <vt:lpwstr>http://www.dep.state.fl.us/legal/Rules/shared/62-4/62-4.pdf</vt:lpwstr>
      </vt:variant>
      <vt:variant>
        <vt:lpwstr/>
      </vt:variant>
      <vt:variant>
        <vt:i4>7536686</vt:i4>
      </vt:variant>
      <vt:variant>
        <vt:i4>153</vt:i4>
      </vt:variant>
      <vt:variant>
        <vt:i4>0</vt:i4>
      </vt:variant>
      <vt:variant>
        <vt:i4>5</vt:i4>
      </vt:variant>
      <vt:variant>
        <vt:lpwstr>http://www.dep.state.fl.us/legal/Rules/shared/62-302/62-302.pdf</vt:lpwstr>
      </vt:variant>
      <vt:variant>
        <vt:lpwstr/>
      </vt:variant>
      <vt:variant>
        <vt:i4>7536686</vt:i4>
      </vt:variant>
      <vt:variant>
        <vt:i4>150</vt:i4>
      </vt:variant>
      <vt:variant>
        <vt:i4>0</vt:i4>
      </vt:variant>
      <vt:variant>
        <vt:i4>5</vt:i4>
      </vt:variant>
      <vt:variant>
        <vt:lpwstr>http://www.dep.state.fl.us/legal/Rules/shared/62-302/62-302.pdf</vt:lpwstr>
      </vt:variant>
      <vt:variant>
        <vt:lpwstr/>
      </vt:variant>
      <vt:variant>
        <vt:i4>1114131</vt:i4>
      </vt:variant>
      <vt:variant>
        <vt:i4>147</vt:i4>
      </vt:variant>
      <vt:variant>
        <vt:i4>0</vt:i4>
      </vt:variant>
      <vt:variant>
        <vt:i4>5</vt:i4>
      </vt:variant>
      <vt:variant>
        <vt:lpwstr>http://www.dep.state.fl.us/legal/Rules/wastewater/62-610.pdf</vt:lpwstr>
      </vt:variant>
      <vt:variant>
        <vt:lpwstr/>
      </vt:variant>
      <vt:variant>
        <vt:i4>1114131</vt:i4>
      </vt:variant>
      <vt:variant>
        <vt:i4>144</vt:i4>
      </vt:variant>
      <vt:variant>
        <vt:i4>0</vt:i4>
      </vt:variant>
      <vt:variant>
        <vt:i4>5</vt:i4>
      </vt:variant>
      <vt:variant>
        <vt:lpwstr>http://www.dep.state.fl.us/legal/Rules/wastewater/62-610.pdf</vt:lpwstr>
      </vt:variant>
      <vt:variant>
        <vt:lpwstr/>
      </vt:variant>
      <vt:variant>
        <vt:i4>1114131</vt:i4>
      </vt:variant>
      <vt:variant>
        <vt:i4>141</vt:i4>
      </vt:variant>
      <vt:variant>
        <vt:i4>0</vt:i4>
      </vt:variant>
      <vt:variant>
        <vt:i4>5</vt:i4>
      </vt:variant>
      <vt:variant>
        <vt:lpwstr>http://www.dep.state.fl.us/legal/Rules/wastewater/62-610.pdf</vt:lpwstr>
      </vt:variant>
      <vt:variant>
        <vt:lpwstr/>
      </vt:variant>
      <vt:variant>
        <vt:i4>7536686</vt:i4>
      </vt:variant>
      <vt:variant>
        <vt:i4>138</vt:i4>
      </vt:variant>
      <vt:variant>
        <vt:i4>0</vt:i4>
      </vt:variant>
      <vt:variant>
        <vt:i4>5</vt:i4>
      </vt:variant>
      <vt:variant>
        <vt:lpwstr>http://www.dep.state.fl.us/legal/Rules/shared/62-302/62-302.pdf</vt:lpwstr>
      </vt:variant>
      <vt:variant>
        <vt:lpwstr/>
      </vt:variant>
      <vt:variant>
        <vt:i4>7536686</vt:i4>
      </vt:variant>
      <vt:variant>
        <vt:i4>135</vt:i4>
      </vt:variant>
      <vt:variant>
        <vt:i4>0</vt:i4>
      </vt:variant>
      <vt:variant>
        <vt:i4>5</vt:i4>
      </vt:variant>
      <vt:variant>
        <vt:lpwstr>http://www.dep.state.fl.us/legal/Rules/shared/62-302/62-302.pdf</vt:lpwstr>
      </vt:variant>
      <vt:variant>
        <vt:lpwstr/>
      </vt:variant>
      <vt:variant>
        <vt:i4>3735586</vt:i4>
      </vt:variant>
      <vt:variant>
        <vt:i4>132</vt:i4>
      </vt:variant>
      <vt:variant>
        <vt:i4>0</vt:i4>
      </vt:variant>
      <vt:variant>
        <vt:i4>5</vt:i4>
      </vt:variant>
      <vt:variant>
        <vt:lpwstr>Attachment 13.4.pdf</vt:lpwstr>
      </vt:variant>
      <vt:variant>
        <vt:lpwstr/>
      </vt:variant>
      <vt:variant>
        <vt:i4>4456486</vt:i4>
      </vt:variant>
      <vt:variant>
        <vt:i4>129</vt:i4>
      </vt:variant>
      <vt:variant>
        <vt:i4>0</vt:i4>
      </vt:variant>
      <vt:variant>
        <vt:i4>5</vt:i4>
      </vt:variant>
      <vt:variant>
        <vt:lpwstr/>
      </vt:variant>
      <vt:variant>
        <vt:lpwstr>Section_13_5_3_2_B</vt:lpwstr>
      </vt:variant>
      <vt:variant>
        <vt:i4>2424907</vt:i4>
      </vt:variant>
      <vt:variant>
        <vt:i4>126</vt:i4>
      </vt:variant>
      <vt:variant>
        <vt:i4>0</vt:i4>
      </vt:variant>
      <vt:variant>
        <vt:i4>5</vt:i4>
      </vt:variant>
      <vt:variant>
        <vt:lpwstr/>
      </vt:variant>
      <vt:variant>
        <vt:lpwstr>Antidegradation_Demonst_Analysis_13_5_3</vt:lpwstr>
      </vt:variant>
      <vt:variant>
        <vt:i4>3735588</vt:i4>
      </vt:variant>
      <vt:variant>
        <vt:i4>123</vt:i4>
      </vt:variant>
      <vt:variant>
        <vt:i4>0</vt:i4>
      </vt:variant>
      <vt:variant>
        <vt:i4>5</vt:i4>
      </vt:variant>
      <vt:variant>
        <vt:lpwstr>Attachment 13.2.pdf</vt:lpwstr>
      </vt:variant>
      <vt:variant>
        <vt:lpwstr/>
      </vt:variant>
      <vt:variant>
        <vt:i4>3735591</vt:i4>
      </vt:variant>
      <vt:variant>
        <vt:i4>120</vt:i4>
      </vt:variant>
      <vt:variant>
        <vt:i4>0</vt:i4>
      </vt:variant>
      <vt:variant>
        <vt:i4>5</vt:i4>
      </vt:variant>
      <vt:variant>
        <vt:lpwstr>Attachment 13.1.pdf</vt:lpwstr>
      </vt:variant>
      <vt:variant>
        <vt:lpwstr/>
      </vt:variant>
      <vt:variant>
        <vt:i4>7733291</vt:i4>
      </vt:variant>
      <vt:variant>
        <vt:i4>117</vt:i4>
      </vt:variant>
      <vt:variant>
        <vt:i4>0</vt:i4>
      </vt:variant>
      <vt:variant>
        <vt:i4>5</vt:i4>
      </vt:variant>
      <vt:variant>
        <vt:lpwstr>http://www.dep.state.fl.us/legal/Rules/shared/62-4/62-4.pdf</vt:lpwstr>
      </vt:variant>
      <vt:variant>
        <vt:lpwstr/>
      </vt:variant>
      <vt:variant>
        <vt:i4>7536686</vt:i4>
      </vt:variant>
      <vt:variant>
        <vt:i4>114</vt:i4>
      </vt:variant>
      <vt:variant>
        <vt:i4>0</vt:i4>
      </vt:variant>
      <vt:variant>
        <vt:i4>5</vt:i4>
      </vt:variant>
      <vt:variant>
        <vt:lpwstr>http://www.dep.state.fl.us/legal/Rules/shared/62-302/62-302.pdf</vt:lpwstr>
      </vt:variant>
      <vt:variant>
        <vt:lpwstr/>
      </vt:variant>
      <vt:variant>
        <vt:i4>7733291</vt:i4>
      </vt:variant>
      <vt:variant>
        <vt:i4>111</vt:i4>
      </vt:variant>
      <vt:variant>
        <vt:i4>0</vt:i4>
      </vt:variant>
      <vt:variant>
        <vt:i4>5</vt:i4>
      </vt:variant>
      <vt:variant>
        <vt:lpwstr>http://www.dep.state.fl.us/legal/Rules/shared/62-620/62-620.pdf</vt:lpwstr>
      </vt:variant>
      <vt:variant>
        <vt:lpwstr/>
      </vt:variant>
      <vt:variant>
        <vt:i4>7471151</vt:i4>
      </vt:variant>
      <vt:variant>
        <vt:i4>108</vt:i4>
      </vt:variant>
      <vt:variant>
        <vt:i4>0</vt:i4>
      </vt:variant>
      <vt:variant>
        <vt:i4>5</vt:i4>
      </vt:variant>
      <vt:variant>
        <vt:lpwstr>http://www.dep.state.fl.us/legal/Rules/shared/62-303/62-303.pdf</vt:lpwstr>
      </vt:variant>
      <vt:variant>
        <vt:lpwstr/>
      </vt:variant>
      <vt:variant>
        <vt:i4>852028</vt:i4>
      </vt:variant>
      <vt:variant>
        <vt:i4>105</vt:i4>
      </vt:variant>
      <vt:variant>
        <vt:i4>0</vt:i4>
      </vt:variant>
      <vt:variant>
        <vt:i4>5</vt:i4>
      </vt:variant>
      <vt:variant>
        <vt:lpwstr/>
      </vt:variant>
      <vt:variant>
        <vt:lpwstr>Example_Fact_Sheet_or_Statement_13_4_7</vt:lpwstr>
      </vt:variant>
      <vt:variant>
        <vt:i4>3014686</vt:i4>
      </vt:variant>
      <vt:variant>
        <vt:i4>102</vt:i4>
      </vt:variant>
      <vt:variant>
        <vt:i4>0</vt:i4>
      </vt:variant>
      <vt:variant>
        <vt:i4>5</vt:i4>
      </vt:variant>
      <vt:variant>
        <vt:lpwstr/>
      </vt:variant>
      <vt:variant>
        <vt:lpwstr>Example_8_of_13_4_7</vt:lpwstr>
      </vt:variant>
      <vt:variant>
        <vt:i4>7667752</vt:i4>
      </vt:variant>
      <vt:variant>
        <vt:i4>99</vt:i4>
      </vt:variant>
      <vt:variant>
        <vt:i4>0</vt:i4>
      </vt:variant>
      <vt:variant>
        <vt:i4>5</vt:i4>
      </vt:variant>
      <vt:variant>
        <vt:lpwstr>http://www.dep.state.fl.us/legal/Rules/shared/62-304/62-304.pdf</vt:lpwstr>
      </vt:variant>
      <vt:variant>
        <vt:lpwstr/>
      </vt:variant>
      <vt:variant>
        <vt:i4>852028</vt:i4>
      </vt:variant>
      <vt:variant>
        <vt:i4>96</vt:i4>
      </vt:variant>
      <vt:variant>
        <vt:i4>0</vt:i4>
      </vt:variant>
      <vt:variant>
        <vt:i4>5</vt:i4>
      </vt:variant>
      <vt:variant>
        <vt:lpwstr/>
      </vt:variant>
      <vt:variant>
        <vt:lpwstr>Example_Fact_Sheet_or_Statement_13_4_7</vt:lpwstr>
      </vt:variant>
      <vt:variant>
        <vt:i4>3014673</vt:i4>
      </vt:variant>
      <vt:variant>
        <vt:i4>93</vt:i4>
      </vt:variant>
      <vt:variant>
        <vt:i4>0</vt:i4>
      </vt:variant>
      <vt:variant>
        <vt:i4>5</vt:i4>
      </vt:variant>
      <vt:variant>
        <vt:lpwstr/>
      </vt:variant>
      <vt:variant>
        <vt:lpwstr>Example_7_of_13_4_7</vt:lpwstr>
      </vt:variant>
      <vt:variant>
        <vt:i4>3014672</vt:i4>
      </vt:variant>
      <vt:variant>
        <vt:i4>90</vt:i4>
      </vt:variant>
      <vt:variant>
        <vt:i4>0</vt:i4>
      </vt:variant>
      <vt:variant>
        <vt:i4>5</vt:i4>
      </vt:variant>
      <vt:variant>
        <vt:lpwstr/>
      </vt:variant>
      <vt:variant>
        <vt:lpwstr>Example_6_of_13_4_7</vt:lpwstr>
      </vt:variant>
      <vt:variant>
        <vt:i4>7602264</vt:i4>
      </vt:variant>
      <vt:variant>
        <vt:i4>87</vt:i4>
      </vt:variant>
      <vt:variant>
        <vt:i4>0</vt:i4>
      </vt:variant>
      <vt:variant>
        <vt:i4>5</vt:i4>
      </vt:variant>
      <vt:variant>
        <vt:lpwstr/>
      </vt:variant>
      <vt:variant>
        <vt:lpwstr>Example_Reopener_language_in_the_permit</vt:lpwstr>
      </vt:variant>
      <vt:variant>
        <vt:i4>3014676</vt:i4>
      </vt:variant>
      <vt:variant>
        <vt:i4>84</vt:i4>
      </vt:variant>
      <vt:variant>
        <vt:i4>0</vt:i4>
      </vt:variant>
      <vt:variant>
        <vt:i4>5</vt:i4>
      </vt:variant>
      <vt:variant>
        <vt:lpwstr/>
      </vt:variant>
      <vt:variant>
        <vt:lpwstr>Example_2_of_13_4_6</vt:lpwstr>
      </vt:variant>
      <vt:variant>
        <vt:i4>7602264</vt:i4>
      </vt:variant>
      <vt:variant>
        <vt:i4>81</vt:i4>
      </vt:variant>
      <vt:variant>
        <vt:i4>0</vt:i4>
      </vt:variant>
      <vt:variant>
        <vt:i4>5</vt:i4>
      </vt:variant>
      <vt:variant>
        <vt:lpwstr/>
      </vt:variant>
      <vt:variant>
        <vt:lpwstr>Example_Reopener_language_in_the_permit</vt:lpwstr>
      </vt:variant>
      <vt:variant>
        <vt:i4>3014677</vt:i4>
      </vt:variant>
      <vt:variant>
        <vt:i4>78</vt:i4>
      </vt:variant>
      <vt:variant>
        <vt:i4>0</vt:i4>
      </vt:variant>
      <vt:variant>
        <vt:i4>5</vt:i4>
      </vt:variant>
      <vt:variant>
        <vt:lpwstr/>
      </vt:variant>
      <vt:variant>
        <vt:lpwstr>Example_3_of_13_4_6</vt:lpwstr>
      </vt:variant>
      <vt:variant>
        <vt:i4>852028</vt:i4>
      </vt:variant>
      <vt:variant>
        <vt:i4>75</vt:i4>
      </vt:variant>
      <vt:variant>
        <vt:i4>0</vt:i4>
      </vt:variant>
      <vt:variant>
        <vt:i4>5</vt:i4>
      </vt:variant>
      <vt:variant>
        <vt:lpwstr/>
      </vt:variant>
      <vt:variant>
        <vt:lpwstr>Example_Fact_Sheet_or_Statement_13_4_7</vt:lpwstr>
      </vt:variant>
      <vt:variant>
        <vt:i4>3735589</vt:i4>
      </vt:variant>
      <vt:variant>
        <vt:i4>72</vt:i4>
      </vt:variant>
      <vt:variant>
        <vt:i4>0</vt:i4>
      </vt:variant>
      <vt:variant>
        <vt:i4>5</vt:i4>
      </vt:variant>
      <vt:variant>
        <vt:lpwstr>Attachment 13.3.pdf</vt:lpwstr>
      </vt:variant>
      <vt:variant>
        <vt:lpwstr/>
      </vt:variant>
      <vt:variant>
        <vt:i4>852062</vt:i4>
      </vt:variant>
      <vt:variant>
        <vt:i4>69</vt:i4>
      </vt:variant>
      <vt:variant>
        <vt:i4>0</vt:i4>
      </vt:variant>
      <vt:variant>
        <vt:i4>5</vt:i4>
      </vt:variant>
      <vt:variant>
        <vt:lpwstr>http://www.epa.gov/npdes/pubs/cwatxt.txt</vt:lpwstr>
      </vt:variant>
      <vt:variant>
        <vt:lpwstr/>
      </vt:variant>
      <vt:variant>
        <vt:i4>852028</vt:i4>
      </vt:variant>
      <vt:variant>
        <vt:i4>66</vt:i4>
      </vt:variant>
      <vt:variant>
        <vt:i4>0</vt:i4>
      </vt:variant>
      <vt:variant>
        <vt:i4>5</vt:i4>
      </vt:variant>
      <vt:variant>
        <vt:lpwstr/>
      </vt:variant>
      <vt:variant>
        <vt:lpwstr>Example_Fact_Sheet_or_Statement_13_4_7</vt:lpwstr>
      </vt:variant>
      <vt:variant>
        <vt:i4>3014679</vt:i4>
      </vt:variant>
      <vt:variant>
        <vt:i4>63</vt:i4>
      </vt:variant>
      <vt:variant>
        <vt:i4>0</vt:i4>
      </vt:variant>
      <vt:variant>
        <vt:i4>5</vt:i4>
      </vt:variant>
      <vt:variant>
        <vt:lpwstr/>
      </vt:variant>
      <vt:variant>
        <vt:lpwstr>Example_1_of_13_4_7</vt:lpwstr>
      </vt:variant>
      <vt:variant>
        <vt:i4>8323179</vt:i4>
      </vt:variant>
      <vt:variant>
        <vt:i4>60</vt:i4>
      </vt:variant>
      <vt:variant>
        <vt:i4>0</vt:i4>
      </vt:variant>
      <vt:variant>
        <vt:i4>5</vt:i4>
      </vt:variant>
      <vt:variant>
        <vt:lpwstr>http://webapps.dep.state.fl.us/DepMyportal/</vt:lpwstr>
      </vt:variant>
      <vt:variant>
        <vt:lpwstr/>
      </vt:variant>
      <vt:variant>
        <vt:i4>3866737</vt:i4>
      </vt:variant>
      <vt:variant>
        <vt:i4>57</vt:i4>
      </vt:variant>
      <vt:variant>
        <vt:i4>0</vt:i4>
      </vt:variant>
      <vt:variant>
        <vt:i4>5</vt:i4>
      </vt:variant>
      <vt:variant>
        <vt:lpwstr/>
      </vt:variant>
      <vt:variant>
        <vt:lpwstr>Offsets_13_4_3_1</vt:lpwstr>
      </vt:variant>
      <vt:variant>
        <vt:i4>7602284</vt:i4>
      </vt:variant>
      <vt:variant>
        <vt:i4>54</vt:i4>
      </vt:variant>
      <vt:variant>
        <vt:i4>0</vt:i4>
      </vt:variant>
      <vt:variant>
        <vt:i4>5</vt:i4>
      </vt:variant>
      <vt:variant>
        <vt:lpwstr/>
      </vt:variant>
      <vt:variant>
        <vt:lpwstr>Implementing_Fla_Antidegradation_13_5</vt:lpwstr>
      </vt:variant>
      <vt:variant>
        <vt:i4>7536686</vt:i4>
      </vt:variant>
      <vt:variant>
        <vt:i4>51</vt:i4>
      </vt:variant>
      <vt:variant>
        <vt:i4>0</vt:i4>
      </vt:variant>
      <vt:variant>
        <vt:i4>5</vt:i4>
      </vt:variant>
      <vt:variant>
        <vt:lpwstr>http://www.dep.state.fl.us/legal/Rules/shared/62-302/62-302.pdf</vt:lpwstr>
      </vt:variant>
      <vt:variant>
        <vt:lpwstr/>
      </vt:variant>
      <vt:variant>
        <vt:i4>852028</vt:i4>
      </vt:variant>
      <vt:variant>
        <vt:i4>48</vt:i4>
      </vt:variant>
      <vt:variant>
        <vt:i4>0</vt:i4>
      </vt:variant>
      <vt:variant>
        <vt:i4>5</vt:i4>
      </vt:variant>
      <vt:variant>
        <vt:lpwstr/>
      </vt:variant>
      <vt:variant>
        <vt:lpwstr>Example_Fact_Sheet_or_Statement_13_4_7</vt:lpwstr>
      </vt:variant>
      <vt:variant>
        <vt:i4>3014675</vt:i4>
      </vt:variant>
      <vt:variant>
        <vt:i4>45</vt:i4>
      </vt:variant>
      <vt:variant>
        <vt:i4>0</vt:i4>
      </vt:variant>
      <vt:variant>
        <vt:i4>5</vt:i4>
      </vt:variant>
      <vt:variant>
        <vt:lpwstr/>
      </vt:variant>
      <vt:variant>
        <vt:lpwstr>Example_5_of_13_4_7</vt:lpwstr>
      </vt:variant>
      <vt:variant>
        <vt:i4>3014677</vt:i4>
      </vt:variant>
      <vt:variant>
        <vt:i4>42</vt:i4>
      </vt:variant>
      <vt:variant>
        <vt:i4>0</vt:i4>
      </vt:variant>
      <vt:variant>
        <vt:i4>5</vt:i4>
      </vt:variant>
      <vt:variant>
        <vt:lpwstr/>
      </vt:variant>
      <vt:variant>
        <vt:lpwstr>Example_3_of_13_4_7</vt:lpwstr>
      </vt:variant>
      <vt:variant>
        <vt:i4>1114135</vt:i4>
      </vt:variant>
      <vt:variant>
        <vt:i4>39</vt:i4>
      </vt:variant>
      <vt:variant>
        <vt:i4>0</vt:i4>
      </vt:variant>
      <vt:variant>
        <vt:i4>5</vt:i4>
      </vt:variant>
      <vt:variant>
        <vt:lpwstr>http://www.dep.state.fl.us/legal/Rules/wastewater/62-650.pdf</vt:lpwstr>
      </vt:variant>
      <vt:variant>
        <vt:lpwstr/>
      </vt:variant>
      <vt:variant>
        <vt:i4>1114135</vt:i4>
      </vt:variant>
      <vt:variant>
        <vt:i4>36</vt:i4>
      </vt:variant>
      <vt:variant>
        <vt:i4>0</vt:i4>
      </vt:variant>
      <vt:variant>
        <vt:i4>5</vt:i4>
      </vt:variant>
      <vt:variant>
        <vt:lpwstr>http://www.dep.state.fl.us/legal/Rules/wastewater/62-650.pdf</vt:lpwstr>
      </vt:variant>
      <vt:variant>
        <vt:lpwstr/>
      </vt:variant>
      <vt:variant>
        <vt:i4>852028</vt:i4>
      </vt:variant>
      <vt:variant>
        <vt:i4>33</vt:i4>
      </vt:variant>
      <vt:variant>
        <vt:i4>0</vt:i4>
      </vt:variant>
      <vt:variant>
        <vt:i4>5</vt:i4>
      </vt:variant>
      <vt:variant>
        <vt:lpwstr/>
      </vt:variant>
      <vt:variant>
        <vt:lpwstr>Example_Fact_Sheet_or_Statement_13_4_7</vt:lpwstr>
      </vt:variant>
      <vt:variant>
        <vt:i4>3014674</vt:i4>
      </vt:variant>
      <vt:variant>
        <vt:i4>30</vt:i4>
      </vt:variant>
      <vt:variant>
        <vt:i4>0</vt:i4>
      </vt:variant>
      <vt:variant>
        <vt:i4>5</vt:i4>
      </vt:variant>
      <vt:variant>
        <vt:lpwstr/>
      </vt:variant>
      <vt:variant>
        <vt:lpwstr>Example_4_of_13_4_7</vt:lpwstr>
      </vt:variant>
      <vt:variant>
        <vt:i4>7602264</vt:i4>
      </vt:variant>
      <vt:variant>
        <vt:i4>27</vt:i4>
      </vt:variant>
      <vt:variant>
        <vt:i4>0</vt:i4>
      </vt:variant>
      <vt:variant>
        <vt:i4>5</vt:i4>
      </vt:variant>
      <vt:variant>
        <vt:lpwstr/>
      </vt:variant>
      <vt:variant>
        <vt:lpwstr>Example_Reopener_language_in_the_permit</vt:lpwstr>
      </vt:variant>
      <vt:variant>
        <vt:i4>3014679</vt:i4>
      </vt:variant>
      <vt:variant>
        <vt:i4>24</vt:i4>
      </vt:variant>
      <vt:variant>
        <vt:i4>0</vt:i4>
      </vt:variant>
      <vt:variant>
        <vt:i4>5</vt:i4>
      </vt:variant>
      <vt:variant>
        <vt:lpwstr/>
      </vt:variant>
      <vt:variant>
        <vt:lpwstr>Example_1_of_13_4_6</vt:lpwstr>
      </vt:variant>
      <vt:variant>
        <vt:i4>3407909</vt:i4>
      </vt:variant>
      <vt:variant>
        <vt:i4>21</vt:i4>
      </vt:variant>
      <vt:variant>
        <vt:i4>0</vt:i4>
      </vt:variant>
      <vt:variant>
        <vt:i4>5</vt:i4>
      </vt:variant>
      <vt:variant>
        <vt:lpwstr/>
      </vt:variant>
      <vt:variant>
        <vt:lpwstr>Water_Quality_Based_Effluent_Limitations</vt:lpwstr>
      </vt:variant>
      <vt:variant>
        <vt:i4>852028</vt:i4>
      </vt:variant>
      <vt:variant>
        <vt:i4>18</vt:i4>
      </vt:variant>
      <vt:variant>
        <vt:i4>0</vt:i4>
      </vt:variant>
      <vt:variant>
        <vt:i4>5</vt:i4>
      </vt:variant>
      <vt:variant>
        <vt:lpwstr/>
      </vt:variant>
      <vt:variant>
        <vt:lpwstr>Example_Fact_Sheet_or_Statement_13_4_7</vt:lpwstr>
      </vt:variant>
      <vt:variant>
        <vt:i4>3014677</vt:i4>
      </vt:variant>
      <vt:variant>
        <vt:i4>15</vt:i4>
      </vt:variant>
      <vt:variant>
        <vt:i4>0</vt:i4>
      </vt:variant>
      <vt:variant>
        <vt:i4>5</vt:i4>
      </vt:variant>
      <vt:variant>
        <vt:lpwstr/>
      </vt:variant>
      <vt:variant>
        <vt:lpwstr>Example_3_of_13_4_7</vt:lpwstr>
      </vt:variant>
      <vt:variant>
        <vt:i4>3014676</vt:i4>
      </vt:variant>
      <vt:variant>
        <vt:i4>12</vt:i4>
      </vt:variant>
      <vt:variant>
        <vt:i4>0</vt:i4>
      </vt:variant>
      <vt:variant>
        <vt:i4>5</vt:i4>
      </vt:variant>
      <vt:variant>
        <vt:lpwstr/>
      </vt:variant>
      <vt:variant>
        <vt:lpwstr>Example_2_of_13_4_7</vt:lpwstr>
      </vt:variant>
      <vt:variant>
        <vt:i4>5374020</vt:i4>
      </vt:variant>
      <vt:variant>
        <vt:i4>9</vt:i4>
      </vt:variant>
      <vt:variant>
        <vt:i4>0</vt:i4>
      </vt:variant>
      <vt:variant>
        <vt:i4>5</vt:i4>
      </vt:variant>
      <vt:variant>
        <vt:lpwstr>CHAP6.pdf</vt:lpwstr>
      </vt:variant>
      <vt:variant>
        <vt:lpwstr/>
      </vt:variant>
      <vt:variant>
        <vt:i4>3407909</vt:i4>
      </vt:variant>
      <vt:variant>
        <vt:i4>6</vt:i4>
      </vt:variant>
      <vt:variant>
        <vt:i4>0</vt:i4>
      </vt:variant>
      <vt:variant>
        <vt:i4>5</vt:i4>
      </vt:variant>
      <vt:variant>
        <vt:lpwstr/>
      </vt:variant>
      <vt:variant>
        <vt:lpwstr>Water_Quality_Based_Effluent_Limitations</vt:lpwstr>
      </vt:variant>
      <vt:variant>
        <vt:i4>3735588</vt:i4>
      </vt:variant>
      <vt:variant>
        <vt:i4>3</vt:i4>
      </vt:variant>
      <vt:variant>
        <vt:i4>0</vt:i4>
      </vt:variant>
      <vt:variant>
        <vt:i4>5</vt:i4>
      </vt:variant>
      <vt:variant>
        <vt:lpwstr>Attachment 13.2.pdf</vt:lpwstr>
      </vt:variant>
      <vt:variant>
        <vt:lpwstr/>
      </vt:variant>
      <vt:variant>
        <vt:i4>3735591</vt:i4>
      </vt:variant>
      <vt:variant>
        <vt:i4>0</vt:i4>
      </vt:variant>
      <vt:variant>
        <vt:i4>0</vt:i4>
      </vt:variant>
      <vt:variant>
        <vt:i4>5</vt:i4>
      </vt:variant>
      <vt:variant>
        <vt:lpwstr>Attachment 13.1.pdf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dc:title>
  <dc:subject/>
  <dc:creator>DEP Employee</dc:creator>
  <cp:keywords/>
  <dc:description/>
  <cp:lastModifiedBy>Hubbard, Allen</cp:lastModifiedBy>
  <cp:revision>3</cp:revision>
  <cp:lastPrinted>2014-10-30T13:33:00Z</cp:lastPrinted>
  <dcterms:created xsi:type="dcterms:W3CDTF">2014-11-14T18:40:00Z</dcterms:created>
  <dcterms:modified xsi:type="dcterms:W3CDTF">2014-11-14T18:40:00Z</dcterms:modified>
</cp:coreProperties>
</file>