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D3476" w14:textId="17220543" w:rsidR="002B16DC" w:rsidRPr="00DF0C86" w:rsidRDefault="002B16DC" w:rsidP="002B16DC">
      <w:pPr>
        <w:pStyle w:val="ListParagraph"/>
        <w:numPr>
          <w:ilvl w:val="0"/>
          <w:numId w:val="1"/>
        </w:numPr>
        <w:spacing w:line="300" w:lineRule="auto"/>
        <w:rPr>
          <w:rFonts w:ascii="Arial" w:hAnsi="Arial" w:cs="Arial"/>
        </w:rPr>
      </w:pPr>
      <w:r w:rsidRPr="00DF0C86">
        <w:rPr>
          <w:rFonts w:ascii="Arial" w:hAnsi="Arial" w:cs="Arial"/>
        </w:rPr>
        <w:t xml:space="preserve">Standardized Statewide Stormwater </w:t>
      </w:r>
      <w:r w:rsidR="0031398A" w:rsidRPr="00DF0C86">
        <w:rPr>
          <w:rFonts w:ascii="Arial" w:hAnsi="Arial" w:cs="Arial"/>
        </w:rPr>
        <w:t>Nutrient</w:t>
      </w:r>
      <w:r w:rsidRPr="00DF0C86">
        <w:rPr>
          <w:rFonts w:ascii="Arial" w:hAnsi="Arial" w:cs="Arial"/>
        </w:rPr>
        <w:t xml:space="preserve"> EMC </w:t>
      </w:r>
      <w:r w:rsidR="008B6969" w:rsidRPr="00DF0C86">
        <w:rPr>
          <w:rFonts w:ascii="Arial" w:hAnsi="Arial" w:cs="Arial"/>
        </w:rPr>
        <w:t>Values do not meet the quality assurance provisions outlined in chapter 62-160, F.A.C.</w:t>
      </w:r>
    </w:p>
    <w:p w14:paraId="652944CB" w14:textId="77777777" w:rsidR="008B6969" w:rsidRPr="00DF0C86" w:rsidRDefault="008B6969" w:rsidP="008B6969">
      <w:pPr>
        <w:pStyle w:val="ListParagraph"/>
        <w:spacing w:line="300" w:lineRule="auto"/>
        <w:rPr>
          <w:rFonts w:ascii="Arial" w:hAnsi="Arial" w:cs="Arial"/>
        </w:rPr>
      </w:pPr>
    </w:p>
    <w:p w14:paraId="521E6BD7" w14:textId="4B539AC4" w:rsidR="00613A74" w:rsidRPr="00030DBD" w:rsidRDefault="008B6969" w:rsidP="00030DBD">
      <w:pPr>
        <w:pStyle w:val="ListParagraph"/>
        <w:numPr>
          <w:ilvl w:val="0"/>
          <w:numId w:val="1"/>
        </w:numPr>
        <w:spacing w:line="300" w:lineRule="auto"/>
        <w:rPr>
          <w:rFonts w:ascii="Arial" w:hAnsi="Arial" w:cs="Arial"/>
        </w:rPr>
      </w:pPr>
      <w:r w:rsidRPr="00030DBD">
        <w:rPr>
          <w:rFonts w:ascii="Arial" w:hAnsi="Arial" w:cs="Arial"/>
        </w:rPr>
        <w:t>Water Management District Applicant Handbook Vol II’s</w:t>
      </w:r>
      <w:r w:rsidR="0081338E" w:rsidRPr="00030DBD">
        <w:rPr>
          <w:rFonts w:ascii="Arial" w:hAnsi="Arial" w:cs="Arial"/>
        </w:rPr>
        <w:t xml:space="preserve"> other than NWFWMD</w:t>
      </w:r>
      <w:r w:rsidRPr="00030DBD">
        <w:rPr>
          <w:rFonts w:ascii="Arial" w:hAnsi="Arial" w:cs="Arial"/>
        </w:rPr>
        <w:t xml:space="preserve"> not available for review.</w:t>
      </w:r>
      <w:r w:rsidR="00030DBD" w:rsidRPr="00030DBD">
        <w:rPr>
          <w:rFonts w:ascii="Arial" w:hAnsi="Arial" w:cs="Arial"/>
        </w:rPr>
        <w:t xml:space="preserve">  </w:t>
      </w:r>
      <w:r w:rsidRPr="00030DBD">
        <w:rPr>
          <w:rFonts w:ascii="Arial" w:hAnsi="Arial" w:cs="Arial"/>
        </w:rPr>
        <w:t xml:space="preserve">Section 9.2.2 requires </w:t>
      </w:r>
      <w:proofErr w:type="gramStart"/>
      <w:r w:rsidRPr="00030DBD">
        <w:rPr>
          <w:rFonts w:ascii="Arial" w:hAnsi="Arial" w:cs="Arial"/>
        </w:rPr>
        <w:t>applicant’s</w:t>
      </w:r>
      <w:proofErr w:type="gramEnd"/>
      <w:r w:rsidRPr="00030DBD">
        <w:rPr>
          <w:rFonts w:ascii="Arial" w:hAnsi="Arial" w:cs="Arial"/>
        </w:rPr>
        <w:t xml:space="preserve"> to comply with any EMC values specified in the applicable Applicant’s Handbook Vol. II.  </w:t>
      </w:r>
      <w:r w:rsidR="00030DBD">
        <w:rPr>
          <w:rFonts w:ascii="Arial" w:hAnsi="Arial" w:cs="Arial"/>
        </w:rPr>
        <w:t>We are unable to fully assess impacts until the other WMD Vol. II are available.</w:t>
      </w:r>
    </w:p>
    <w:p w14:paraId="4AA002ED" w14:textId="77777777" w:rsidR="00613A74" w:rsidRPr="00DF0C86" w:rsidRDefault="00613A74" w:rsidP="00613A74">
      <w:pPr>
        <w:pStyle w:val="ListParagraph"/>
        <w:spacing w:line="300" w:lineRule="auto"/>
        <w:rPr>
          <w:rFonts w:ascii="Arial" w:hAnsi="Arial" w:cs="Arial"/>
        </w:rPr>
      </w:pPr>
    </w:p>
    <w:p w14:paraId="2FC5634F" w14:textId="7B2908D2" w:rsidR="00613A74" w:rsidRPr="00DF0C86" w:rsidRDefault="00613A74" w:rsidP="00613A74">
      <w:pPr>
        <w:pStyle w:val="ListParagraph"/>
        <w:numPr>
          <w:ilvl w:val="0"/>
          <w:numId w:val="1"/>
        </w:numPr>
        <w:spacing w:line="300" w:lineRule="auto"/>
        <w:rPr>
          <w:rFonts w:ascii="Arial" w:hAnsi="Arial" w:cs="Arial"/>
        </w:rPr>
      </w:pPr>
      <w:r w:rsidRPr="00DF0C86">
        <w:rPr>
          <w:rFonts w:ascii="Arial" w:hAnsi="Arial" w:cs="Arial"/>
        </w:rPr>
        <w:t>Section 9.1 - Requiring the greater percent seems to be imposing a 'betterment' by requiring the applicant to go above mitigating impacts from their proposed development and addressing a pollutant load the applicant did not create.  It could be argued that this is an onerous requirement and inappropriate to be imposed by the rule making process instead of being imposed by the legislature. </w:t>
      </w:r>
    </w:p>
    <w:p w14:paraId="7044589F" w14:textId="77777777" w:rsidR="00FD5BAB" w:rsidRPr="00DF0C86" w:rsidRDefault="00FD5BAB" w:rsidP="00FD5BAB">
      <w:pPr>
        <w:pStyle w:val="ListParagraph"/>
        <w:spacing w:line="300" w:lineRule="auto"/>
        <w:rPr>
          <w:rFonts w:ascii="Arial" w:hAnsi="Arial" w:cs="Arial"/>
        </w:rPr>
      </w:pPr>
    </w:p>
    <w:p w14:paraId="1A5E2418" w14:textId="55CF3711" w:rsidR="0081338E" w:rsidRDefault="00FD5BAB" w:rsidP="00657DDD">
      <w:pPr>
        <w:pStyle w:val="ListParagraph"/>
        <w:numPr>
          <w:ilvl w:val="0"/>
          <w:numId w:val="1"/>
        </w:numPr>
        <w:spacing w:line="300" w:lineRule="auto"/>
        <w:rPr>
          <w:rFonts w:ascii="Arial" w:hAnsi="Arial" w:cs="Arial"/>
        </w:rPr>
      </w:pPr>
      <w:r w:rsidRPr="006E4869">
        <w:rPr>
          <w:rFonts w:ascii="Arial" w:hAnsi="Arial" w:cs="Arial"/>
        </w:rPr>
        <w:t xml:space="preserve">Section 9.4 – Would it be more effective to use NOAA Atlas 14 Rainfall Data? </w:t>
      </w:r>
      <w:r w:rsidR="006E4869" w:rsidRPr="006E4869">
        <w:rPr>
          <w:rFonts w:ascii="Arial" w:hAnsi="Arial" w:cs="Arial"/>
        </w:rPr>
        <w:t>Based on NOAA Atlas 14 documentation, the data sources are the same with exception of time constraints of this data.</w:t>
      </w:r>
    </w:p>
    <w:p w14:paraId="09806870" w14:textId="77777777" w:rsidR="006E4869" w:rsidRPr="006E4869" w:rsidRDefault="006E4869" w:rsidP="006E4869">
      <w:pPr>
        <w:spacing w:line="300" w:lineRule="auto"/>
        <w:rPr>
          <w:rFonts w:ascii="Arial" w:hAnsi="Arial" w:cs="Arial"/>
        </w:rPr>
      </w:pPr>
    </w:p>
    <w:p w14:paraId="1E32B533" w14:textId="4DB39A60" w:rsidR="0081338E" w:rsidRPr="00DF0C86" w:rsidRDefault="0081338E" w:rsidP="002B16DC">
      <w:pPr>
        <w:pStyle w:val="ListParagraph"/>
        <w:numPr>
          <w:ilvl w:val="0"/>
          <w:numId w:val="1"/>
        </w:numPr>
        <w:spacing w:line="300" w:lineRule="auto"/>
        <w:rPr>
          <w:rFonts w:ascii="Arial" w:hAnsi="Arial" w:cs="Arial"/>
        </w:rPr>
      </w:pPr>
      <w:r w:rsidRPr="00DF0C86">
        <w:rPr>
          <w:rFonts w:ascii="Arial" w:hAnsi="Arial" w:cs="Arial"/>
        </w:rPr>
        <w:t>Same comment as Section 8 regarding ‘upstream’ – does it only apply if within the same HUC12 as an OFW/ impaired water?</w:t>
      </w:r>
    </w:p>
    <w:p w14:paraId="7E800199" w14:textId="77777777" w:rsidR="0081338E" w:rsidRPr="00DF0C86" w:rsidRDefault="0081338E" w:rsidP="0081338E">
      <w:pPr>
        <w:pStyle w:val="ListParagraph"/>
        <w:rPr>
          <w:rFonts w:ascii="Arial" w:hAnsi="Arial" w:cs="Arial"/>
        </w:rPr>
      </w:pPr>
    </w:p>
    <w:p w14:paraId="4386B461" w14:textId="4FF80298" w:rsidR="00E1130A" w:rsidRPr="00DF0C86" w:rsidRDefault="00E1130A" w:rsidP="002B16DC">
      <w:pPr>
        <w:pStyle w:val="ListParagraph"/>
        <w:numPr>
          <w:ilvl w:val="0"/>
          <w:numId w:val="1"/>
        </w:numPr>
        <w:spacing w:line="300" w:lineRule="auto"/>
        <w:rPr>
          <w:rFonts w:ascii="Arial" w:hAnsi="Arial" w:cs="Arial"/>
        </w:rPr>
      </w:pPr>
      <w:r w:rsidRPr="00DF0C86">
        <w:rPr>
          <w:rFonts w:ascii="Arial" w:hAnsi="Arial" w:cs="Arial"/>
        </w:rPr>
        <w:t xml:space="preserve">9.2.1(b) – How is “undisturbed pervious area” defined? It would seem that roadside ditches should be included in this, but we have to ‘disturb’ the ground to create the </w:t>
      </w:r>
      <w:proofErr w:type="gramStart"/>
      <w:r w:rsidRPr="00DF0C86">
        <w:rPr>
          <w:rFonts w:ascii="Arial" w:hAnsi="Arial" w:cs="Arial"/>
        </w:rPr>
        <w:t>ditches..</w:t>
      </w:r>
      <w:proofErr w:type="gramEnd"/>
      <w:r w:rsidRPr="00DF0C86">
        <w:rPr>
          <w:rFonts w:ascii="Arial" w:hAnsi="Arial" w:cs="Arial"/>
        </w:rPr>
        <w:t xml:space="preserve"> If undisturbed means completely natural and never touched, entire roadways could be labeled as DCIA. </w:t>
      </w:r>
    </w:p>
    <w:p w14:paraId="21C2D52A" w14:textId="77777777" w:rsidR="00E1130A" w:rsidRPr="00DF0C86" w:rsidRDefault="00E1130A" w:rsidP="00E1130A">
      <w:pPr>
        <w:pStyle w:val="ListParagraph"/>
        <w:rPr>
          <w:rFonts w:ascii="Arial" w:hAnsi="Arial" w:cs="Arial"/>
        </w:rPr>
      </w:pPr>
    </w:p>
    <w:p w14:paraId="525677A6" w14:textId="77777777" w:rsidR="0081338E" w:rsidRPr="00DF0C86" w:rsidRDefault="0081338E" w:rsidP="0081338E">
      <w:pPr>
        <w:pStyle w:val="ListParagraph"/>
        <w:rPr>
          <w:rFonts w:ascii="Arial" w:hAnsi="Arial" w:cs="Arial"/>
        </w:rPr>
      </w:pPr>
    </w:p>
    <w:p w14:paraId="13FFAB2C" w14:textId="192491DC" w:rsidR="0081338E" w:rsidRPr="00DF0C86" w:rsidRDefault="00B51D86" w:rsidP="002B16DC">
      <w:pPr>
        <w:pStyle w:val="ListParagraph"/>
        <w:numPr>
          <w:ilvl w:val="0"/>
          <w:numId w:val="1"/>
        </w:numPr>
        <w:spacing w:line="300" w:lineRule="auto"/>
        <w:rPr>
          <w:rFonts w:ascii="Arial" w:hAnsi="Arial" w:cs="Arial"/>
        </w:rPr>
      </w:pPr>
      <w:r w:rsidRPr="00DF0C86">
        <w:rPr>
          <w:rFonts w:ascii="Arial" w:hAnsi="Arial" w:cs="Arial"/>
        </w:rPr>
        <w:t>9.5.2 – How can alternative designs be used if Florida specific monitoring data is required?</w:t>
      </w:r>
      <w:r w:rsidR="006E4869">
        <w:rPr>
          <w:rFonts w:ascii="Arial" w:hAnsi="Arial" w:cs="Arial"/>
        </w:rPr>
        <w:t xml:space="preserve"> The time and money required to obtain Florida specific monitoring data seems to discourage the use of alternatives.</w:t>
      </w:r>
    </w:p>
    <w:p w14:paraId="7E4A720E" w14:textId="77777777" w:rsidR="00B51D86" w:rsidRPr="00DF0C86" w:rsidRDefault="00B51D86" w:rsidP="00B51D86">
      <w:pPr>
        <w:pStyle w:val="ListParagraph"/>
        <w:rPr>
          <w:rFonts w:ascii="Arial" w:hAnsi="Arial" w:cs="Arial"/>
        </w:rPr>
      </w:pPr>
    </w:p>
    <w:p w14:paraId="7E2C2312" w14:textId="2AFC70FA" w:rsidR="00B51D86" w:rsidRPr="00DF0C86" w:rsidRDefault="00B51D86" w:rsidP="002B16DC">
      <w:pPr>
        <w:pStyle w:val="ListParagraph"/>
        <w:numPr>
          <w:ilvl w:val="0"/>
          <w:numId w:val="1"/>
        </w:numPr>
        <w:spacing w:line="300" w:lineRule="auto"/>
        <w:rPr>
          <w:rFonts w:ascii="Arial" w:hAnsi="Arial" w:cs="Arial"/>
        </w:rPr>
      </w:pPr>
      <w:bookmarkStart w:id="0" w:name="_Hlk122336046"/>
      <w:r w:rsidRPr="00DF0C86">
        <w:rPr>
          <w:rFonts w:ascii="Arial" w:hAnsi="Arial" w:cs="Arial"/>
        </w:rPr>
        <w:t>9.5.2 - Does the FDEP or WMDs have the necessary experience with the various testing methodologies and scientific methods to refute the efficiency claim?</w:t>
      </w:r>
    </w:p>
    <w:p w14:paraId="5A84E88F" w14:textId="77777777" w:rsidR="00B51D86" w:rsidRPr="00DF0C86" w:rsidRDefault="00B51D86" w:rsidP="00B51D86">
      <w:pPr>
        <w:pStyle w:val="ListParagraph"/>
        <w:rPr>
          <w:rFonts w:ascii="Arial" w:hAnsi="Arial" w:cs="Arial"/>
        </w:rPr>
      </w:pPr>
    </w:p>
    <w:p w14:paraId="5C4EEA71" w14:textId="67A5E3C8" w:rsidR="00B51D86" w:rsidRPr="00DF0C86" w:rsidRDefault="00B51D86" w:rsidP="002B16DC">
      <w:pPr>
        <w:pStyle w:val="ListParagraph"/>
        <w:numPr>
          <w:ilvl w:val="0"/>
          <w:numId w:val="1"/>
        </w:numPr>
        <w:spacing w:line="300" w:lineRule="auto"/>
        <w:rPr>
          <w:rFonts w:ascii="Arial" w:hAnsi="Arial" w:cs="Arial"/>
        </w:rPr>
      </w:pPr>
      <w:r w:rsidRPr="00DF0C86">
        <w:rPr>
          <w:rFonts w:ascii="Arial" w:hAnsi="Arial" w:cs="Arial"/>
        </w:rPr>
        <w:t>9.5.3- These are also BMPs, and part of the treatment train. Is the BMP Library being developed?</w:t>
      </w:r>
    </w:p>
    <w:bookmarkEnd w:id="0"/>
    <w:p w14:paraId="52B663F0" w14:textId="77777777" w:rsidR="00B51D86" w:rsidRPr="00DF0C86" w:rsidRDefault="00B51D86" w:rsidP="00B51D86">
      <w:pPr>
        <w:pStyle w:val="ListParagraph"/>
        <w:rPr>
          <w:rFonts w:ascii="Arial" w:hAnsi="Arial" w:cs="Arial"/>
        </w:rPr>
      </w:pPr>
    </w:p>
    <w:p w14:paraId="16624323" w14:textId="37ADD1E8" w:rsidR="00B51D86" w:rsidRPr="00DF0C86" w:rsidRDefault="00B51D86" w:rsidP="002B16DC">
      <w:pPr>
        <w:pStyle w:val="ListParagraph"/>
        <w:numPr>
          <w:ilvl w:val="0"/>
          <w:numId w:val="1"/>
        </w:numPr>
        <w:spacing w:line="300" w:lineRule="auto"/>
        <w:rPr>
          <w:rFonts w:ascii="Arial" w:hAnsi="Arial" w:cs="Arial"/>
        </w:rPr>
      </w:pPr>
      <w:bookmarkStart w:id="1" w:name="_Hlk122336136"/>
      <w:r w:rsidRPr="00DF0C86">
        <w:rPr>
          <w:rFonts w:ascii="Arial" w:hAnsi="Arial" w:cs="Arial"/>
        </w:rPr>
        <w:t xml:space="preserve">9.7.1 - This limitation is </w:t>
      </w:r>
      <w:proofErr w:type="gramStart"/>
      <w:r w:rsidRPr="00DF0C86">
        <w:rPr>
          <w:rFonts w:ascii="Arial" w:hAnsi="Arial" w:cs="Arial"/>
        </w:rPr>
        <w:t>due to the fact that</w:t>
      </w:r>
      <w:proofErr w:type="gramEnd"/>
      <w:r w:rsidRPr="00DF0C86">
        <w:rPr>
          <w:rFonts w:ascii="Arial" w:hAnsi="Arial" w:cs="Arial"/>
        </w:rPr>
        <w:t xml:space="preserve"> each individual BMP starts removing pollutants at a diminishing rate beyond the required treatment volume.  However, if the </w:t>
      </w:r>
      <w:r w:rsidRPr="00DF0C86">
        <w:rPr>
          <w:rFonts w:ascii="Arial" w:hAnsi="Arial" w:cs="Arial"/>
        </w:rPr>
        <w:lastRenderedPageBreak/>
        <w:t xml:space="preserve">nutrient calculations are going to be required, is this limitation necessary?  </w:t>
      </w:r>
      <w:proofErr w:type="gramStart"/>
      <w:r w:rsidRPr="00DF0C86">
        <w:rPr>
          <w:rFonts w:ascii="Arial" w:hAnsi="Arial" w:cs="Arial"/>
        </w:rPr>
        <w:t>It would seem that the</w:t>
      </w:r>
      <w:proofErr w:type="gramEnd"/>
      <w:r w:rsidRPr="00DF0C86">
        <w:rPr>
          <w:rFonts w:ascii="Arial" w:hAnsi="Arial" w:cs="Arial"/>
        </w:rPr>
        <w:t xml:space="preserve"> calculations would demonstrate what the original limitation intended to prevent.</w:t>
      </w:r>
    </w:p>
    <w:bookmarkEnd w:id="1"/>
    <w:p w14:paraId="03987878" w14:textId="77777777" w:rsidR="00B51D86" w:rsidRPr="00DF0C86" w:rsidRDefault="00B51D86" w:rsidP="00B51D86">
      <w:pPr>
        <w:pStyle w:val="ListParagraph"/>
        <w:rPr>
          <w:rFonts w:ascii="Arial" w:hAnsi="Arial" w:cs="Arial"/>
        </w:rPr>
      </w:pPr>
    </w:p>
    <w:p w14:paraId="225A771E" w14:textId="3B5BE444" w:rsidR="00B51D86" w:rsidRPr="00DF0C86" w:rsidRDefault="00B51D86" w:rsidP="002B16DC">
      <w:pPr>
        <w:pStyle w:val="ListParagraph"/>
        <w:numPr>
          <w:ilvl w:val="0"/>
          <w:numId w:val="1"/>
        </w:numPr>
        <w:spacing w:line="300" w:lineRule="auto"/>
        <w:rPr>
          <w:rFonts w:ascii="Arial" w:hAnsi="Arial" w:cs="Arial"/>
        </w:rPr>
      </w:pPr>
      <w:r w:rsidRPr="00DF0C86">
        <w:rPr>
          <w:rFonts w:ascii="Arial" w:hAnsi="Arial" w:cs="Arial"/>
        </w:rPr>
        <w:t>9.7.2(a)- This appears to prevent conversion of land use in lieu of treatment – i.e., where FDOT treats agricultural land with greater pollutant concentration- Is it only the pond site that needs to be owned, or the lands contributing to the treatment area as well?</w:t>
      </w:r>
    </w:p>
    <w:p w14:paraId="68BED6F9" w14:textId="77777777" w:rsidR="00B51D86" w:rsidRPr="00DF0C86" w:rsidRDefault="00B51D86" w:rsidP="00B51D86">
      <w:pPr>
        <w:pStyle w:val="ListParagraph"/>
        <w:rPr>
          <w:rFonts w:ascii="Arial" w:hAnsi="Arial" w:cs="Arial"/>
        </w:rPr>
      </w:pPr>
    </w:p>
    <w:p w14:paraId="4F50C5BE" w14:textId="333FC8CE" w:rsidR="00B51D86" w:rsidRPr="00DF0C86" w:rsidRDefault="00B51D86" w:rsidP="002B16DC">
      <w:pPr>
        <w:pStyle w:val="ListParagraph"/>
        <w:numPr>
          <w:ilvl w:val="0"/>
          <w:numId w:val="1"/>
        </w:numPr>
        <w:spacing w:line="300" w:lineRule="auto"/>
        <w:rPr>
          <w:rFonts w:ascii="Arial" w:hAnsi="Arial" w:cs="Arial"/>
        </w:rPr>
      </w:pPr>
      <w:bookmarkStart w:id="2" w:name="_Hlk122336107"/>
      <w:r w:rsidRPr="00DF0C86">
        <w:rPr>
          <w:rFonts w:ascii="Arial" w:hAnsi="Arial" w:cs="Arial"/>
        </w:rPr>
        <w:t>9.7.2(c) – how are adverse impacts measured?</w:t>
      </w:r>
    </w:p>
    <w:bookmarkEnd w:id="2"/>
    <w:p w14:paraId="7ED04FA9" w14:textId="77777777" w:rsidR="00B51D86" w:rsidRPr="00DF0C86" w:rsidRDefault="00B51D86" w:rsidP="00B51D86">
      <w:pPr>
        <w:pStyle w:val="ListParagraph"/>
        <w:rPr>
          <w:rFonts w:ascii="Arial" w:hAnsi="Arial" w:cs="Arial"/>
        </w:rPr>
      </w:pPr>
    </w:p>
    <w:p w14:paraId="31074434" w14:textId="5A2A285D" w:rsidR="00B51D86" w:rsidRPr="00DF0C86" w:rsidRDefault="00E1130A" w:rsidP="002B16DC">
      <w:pPr>
        <w:pStyle w:val="ListParagraph"/>
        <w:numPr>
          <w:ilvl w:val="0"/>
          <w:numId w:val="1"/>
        </w:numPr>
        <w:spacing w:line="300" w:lineRule="auto"/>
        <w:rPr>
          <w:rFonts w:ascii="Arial" w:hAnsi="Arial" w:cs="Arial"/>
        </w:rPr>
      </w:pPr>
      <w:r w:rsidRPr="00DF0C86">
        <w:rPr>
          <w:rFonts w:ascii="Arial" w:hAnsi="Arial" w:cs="Arial"/>
        </w:rPr>
        <w:t>9.7.3- “can be no larger than a HUC12” – If properly designed, why would this matter? Could it be changed to a HUC8?</w:t>
      </w:r>
    </w:p>
    <w:p w14:paraId="32F22642" w14:textId="77777777" w:rsidR="00E1130A" w:rsidRPr="00DF0C86" w:rsidRDefault="00E1130A" w:rsidP="00E1130A">
      <w:pPr>
        <w:pStyle w:val="ListParagraph"/>
        <w:rPr>
          <w:rFonts w:ascii="Arial" w:hAnsi="Arial" w:cs="Arial"/>
        </w:rPr>
      </w:pPr>
    </w:p>
    <w:p w14:paraId="1E5B6303" w14:textId="77777777" w:rsidR="00E1130A" w:rsidRPr="00DF0C86" w:rsidRDefault="00E1130A" w:rsidP="006E4869">
      <w:pPr>
        <w:pStyle w:val="ListParagraph"/>
        <w:spacing w:line="300" w:lineRule="auto"/>
        <w:rPr>
          <w:rFonts w:ascii="Arial" w:hAnsi="Arial" w:cs="Arial"/>
        </w:rPr>
      </w:pPr>
    </w:p>
    <w:p w14:paraId="61ECC9A6" w14:textId="77777777" w:rsidR="007B1566" w:rsidRPr="00DF0C86" w:rsidRDefault="007B1566" w:rsidP="00613A74">
      <w:pPr>
        <w:pStyle w:val="ListParagraph"/>
        <w:spacing w:line="300" w:lineRule="auto"/>
        <w:rPr>
          <w:rFonts w:ascii="Arial" w:hAnsi="Arial" w:cs="Arial"/>
        </w:rPr>
      </w:pPr>
    </w:p>
    <w:p w14:paraId="5242474A" w14:textId="77777777" w:rsidR="002B16DC" w:rsidRPr="00DF0C86" w:rsidRDefault="002B16DC" w:rsidP="002B16DC">
      <w:pPr>
        <w:spacing w:line="300" w:lineRule="auto"/>
        <w:rPr>
          <w:rFonts w:ascii="Arial" w:hAnsi="Arial" w:cs="Arial"/>
        </w:rPr>
      </w:pPr>
    </w:p>
    <w:p w14:paraId="49321769" w14:textId="77777777" w:rsidR="002B16DC" w:rsidRPr="00DF0C86" w:rsidRDefault="002B16DC" w:rsidP="002B16DC">
      <w:pPr>
        <w:spacing w:line="300" w:lineRule="auto"/>
        <w:rPr>
          <w:rFonts w:ascii="Arial" w:hAnsi="Arial" w:cs="Arial"/>
        </w:rPr>
      </w:pPr>
    </w:p>
    <w:p w14:paraId="7BEF7E1E" w14:textId="77777777" w:rsidR="002B16DC" w:rsidRPr="00DF0C86" w:rsidRDefault="002B16DC">
      <w:pPr>
        <w:rPr>
          <w:rFonts w:ascii="Arial" w:hAnsi="Arial" w:cs="Arial"/>
        </w:rPr>
      </w:pPr>
    </w:p>
    <w:sectPr w:rsidR="002B16DC" w:rsidRPr="00DF0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0F1EC3"/>
    <w:multiLevelType w:val="hybridMultilevel"/>
    <w:tmpl w:val="36C23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915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340"/>
    <w:rsid w:val="00030DBD"/>
    <w:rsid w:val="002B16DC"/>
    <w:rsid w:val="002E3007"/>
    <w:rsid w:val="0031398A"/>
    <w:rsid w:val="004C47ED"/>
    <w:rsid w:val="00613A74"/>
    <w:rsid w:val="006E1E97"/>
    <w:rsid w:val="006E4869"/>
    <w:rsid w:val="007916D3"/>
    <w:rsid w:val="007A4340"/>
    <w:rsid w:val="007B1566"/>
    <w:rsid w:val="0081338E"/>
    <w:rsid w:val="008B6969"/>
    <w:rsid w:val="00B16709"/>
    <w:rsid w:val="00B51D86"/>
    <w:rsid w:val="00DF0C86"/>
    <w:rsid w:val="00E1130A"/>
    <w:rsid w:val="00FD5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414C2"/>
  <w15:chartTrackingRefBased/>
  <w15:docId w15:val="{4D1A82B0-0B00-46ED-B689-5220388A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6DC"/>
    <w:pPr>
      <w:ind w:left="720"/>
      <w:contextualSpacing/>
    </w:pPr>
  </w:style>
  <w:style w:type="paragraph" w:customStyle="1" w:styleId="pf0">
    <w:name w:val="pf0"/>
    <w:basedOn w:val="Normal"/>
    <w:rsid w:val="007B15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B1566"/>
    <w:rPr>
      <w:rFonts w:ascii="Segoe UI" w:hAnsi="Segoe UI" w:cs="Segoe UI" w:hint="default"/>
      <w:color w:val="333333"/>
      <w:sz w:val="18"/>
      <w:szCs w:val="18"/>
    </w:rPr>
  </w:style>
  <w:style w:type="character" w:styleId="CommentReference">
    <w:name w:val="annotation reference"/>
    <w:basedOn w:val="DefaultParagraphFont"/>
    <w:uiPriority w:val="99"/>
    <w:semiHidden/>
    <w:unhideWhenUsed/>
    <w:rsid w:val="0081338E"/>
    <w:rPr>
      <w:sz w:val="16"/>
      <w:szCs w:val="16"/>
    </w:rPr>
  </w:style>
  <w:style w:type="paragraph" w:styleId="CommentText">
    <w:name w:val="annotation text"/>
    <w:basedOn w:val="Normal"/>
    <w:link w:val="CommentTextChar"/>
    <w:uiPriority w:val="99"/>
    <w:unhideWhenUsed/>
    <w:rsid w:val="0081338E"/>
    <w:pPr>
      <w:spacing w:line="240" w:lineRule="auto"/>
    </w:pPr>
    <w:rPr>
      <w:sz w:val="20"/>
      <w:szCs w:val="20"/>
    </w:rPr>
  </w:style>
  <w:style w:type="character" w:customStyle="1" w:styleId="CommentTextChar">
    <w:name w:val="Comment Text Char"/>
    <w:basedOn w:val="DefaultParagraphFont"/>
    <w:link w:val="CommentText"/>
    <w:uiPriority w:val="99"/>
    <w:rsid w:val="0081338E"/>
    <w:rPr>
      <w:sz w:val="20"/>
      <w:szCs w:val="20"/>
    </w:rPr>
  </w:style>
  <w:style w:type="paragraph" w:styleId="CommentSubject">
    <w:name w:val="annotation subject"/>
    <w:basedOn w:val="CommentText"/>
    <w:next w:val="CommentText"/>
    <w:link w:val="CommentSubjectChar"/>
    <w:uiPriority w:val="99"/>
    <w:semiHidden/>
    <w:unhideWhenUsed/>
    <w:rsid w:val="0081338E"/>
    <w:rPr>
      <w:b/>
      <w:bCs/>
    </w:rPr>
  </w:style>
  <w:style w:type="character" w:customStyle="1" w:styleId="CommentSubjectChar">
    <w:name w:val="Comment Subject Char"/>
    <w:basedOn w:val="CommentTextChar"/>
    <w:link w:val="CommentSubject"/>
    <w:uiPriority w:val="99"/>
    <w:semiHidden/>
    <w:rsid w:val="008133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818790">
      <w:bodyDiv w:val="1"/>
      <w:marLeft w:val="0"/>
      <w:marRight w:val="0"/>
      <w:marTop w:val="0"/>
      <w:marBottom w:val="0"/>
      <w:divBdr>
        <w:top w:val="none" w:sz="0" w:space="0" w:color="auto"/>
        <w:left w:val="none" w:sz="0" w:space="0" w:color="auto"/>
        <w:bottom w:val="none" w:sz="0" w:space="0" w:color="auto"/>
        <w:right w:val="none" w:sz="0" w:space="0" w:color="auto"/>
      </w:divBdr>
    </w:div>
    <w:div w:id="113791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1795</TotalTime>
  <Pages>2</Pages>
  <Words>401</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Jennifer</dc:creator>
  <cp:keywords/>
  <dc:description/>
  <cp:lastModifiedBy>Green, Jennifer</cp:lastModifiedBy>
  <cp:revision>10</cp:revision>
  <dcterms:created xsi:type="dcterms:W3CDTF">2022-11-22T14:57:00Z</dcterms:created>
  <dcterms:modified xsi:type="dcterms:W3CDTF">2022-12-23T16:40:00Z</dcterms:modified>
</cp:coreProperties>
</file>