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2D5D0D" w14:textId="4D69F674" w:rsidR="002935E3" w:rsidRDefault="00DA5862">
      <w:r>
        <w:t>Rule justification for Hardee Attachment D – Hydrological Setting</w:t>
      </w:r>
    </w:p>
    <w:p w14:paraId="1C39613F" w14:textId="605465A2" w:rsidR="00DA5862" w:rsidRDefault="00DA5862"/>
    <w:p w14:paraId="47073BA9" w14:textId="77777777" w:rsidR="00DA5862" w:rsidRDefault="00DA5862" w:rsidP="00DA5862">
      <w:pPr>
        <w:ind w:left="720"/>
        <w:rPr>
          <w:color w:val="C45911" w:themeColor="accent2" w:themeShade="BF"/>
        </w:rPr>
      </w:pPr>
      <w:bookmarkStart w:id="0" w:name="_Hlk121841327"/>
    </w:p>
    <w:p w14:paraId="7B88A5F9" w14:textId="77777777" w:rsidR="00DA5862" w:rsidRPr="00767FB6" w:rsidRDefault="00DA5862" w:rsidP="00DA5862">
      <w:pPr>
        <w:ind w:left="720"/>
        <w:rPr>
          <w:color w:val="C45911" w:themeColor="accent2" w:themeShade="BF"/>
        </w:rPr>
      </w:pPr>
      <w:r w:rsidRPr="00767FB6">
        <w:rPr>
          <w:color w:val="C45911" w:themeColor="accent2" w:themeShade="BF"/>
        </w:rPr>
        <w:t xml:space="preserve">Language from Chapter 62-520 if needed for citation.  </w:t>
      </w:r>
    </w:p>
    <w:p w14:paraId="44542AA8" w14:textId="77777777" w:rsidR="00DA5862" w:rsidRPr="00767FB6" w:rsidRDefault="00DA5862" w:rsidP="00DA5862">
      <w:pPr>
        <w:ind w:left="720"/>
        <w:rPr>
          <w:color w:val="C45911" w:themeColor="accent2" w:themeShade="BF"/>
        </w:rPr>
      </w:pPr>
      <w:r w:rsidRPr="00767FB6">
        <w:rPr>
          <w:color w:val="C45911" w:themeColor="accent2" w:themeShade="BF"/>
        </w:rPr>
        <w:t>62-520.310(2). Notwithstanding the classification and criteria for ground water set forth in this chapter, discharge to ground water shall impair the designated use of contiguous surface waters.</w:t>
      </w:r>
    </w:p>
    <w:p w14:paraId="6BF549C4" w14:textId="77777777" w:rsidR="00DA5862" w:rsidRPr="00767FB6" w:rsidRDefault="00DA5862" w:rsidP="00DA5862">
      <w:pPr>
        <w:ind w:left="720"/>
        <w:rPr>
          <w:color w:val="C45911" w:themeColor="accent2" w:themeShade="BF"/>
        </w:rPr>
      </w:pPr>
      <w:r w:rsidRPr="00767FB6">
        <w:rPr>
          <w:color w:val="C45911" w:themeColor="accent2" w:themeShade="BF"/>
        </w:rPr>
        <w:t xml:space="preserve">62-520.400(1)(b) All ground water </w:t>
      </w:r>
      <w:proofErr w:type="gramStart"/>
      <w:r w:rsidRPr="00767FB6">
        <w:rPr>
          <w:color w:val="C45911" w:themeColor="accent2" w:themeShade="BF"/>
        </w:rPr>
        <w:t>shall at all places and at all times</w:t>
      </w:r>
      <w:proofErr w:type="gramEnd"/>
      <w:r w:rsidRPr="00767FB6">
        <w:rPr>
          <w:color w:val="C45911" w:themeColor="accent2" w:themeShade="BF"/>
        </w:rPr>
        <w:t xml:space="preserve"> be free from domestic, industrial, agricultural, or other man-induced non-thermal components of discharges in concentrations which, alone or in combination with other substances, or components of discharges (whether thermal or non-thermal): (b) are acutely toxic within surface waters affected by the ground water, [question: does copper come into play here?]</w:t>
      </w:r>
    </w:p>
    <w:p w14:paraId="3C1BE322" w14:textId="77777777" w:rsidR="00DA5862" w:rsidRPr="00767FB6" w:rsidRDefault="00DA5862" w:rsidP="00DA5862">
      <w:pPr>
        <w:ind w:left="720"/>
        <w:rPr>
          <w:color w:val="C45911" w:themeColor="accent2" w:themeShade="BF"/>
        </w:rPr>
      </w:pPr>
      <w:r w:rsidRPr="00767FB6">
        <w:rPr>
          <w:color w:val="C45911" w:themeColor="accent2" w:themeShade="BF"/>
        </w:rPr>
        <w:t xml:space="preserve">62-520.465(2)(b)1. The requested zone of discharge will not interfere with existing or designated used of contiguous waters, or cause a violation of applicable surface water quality criteria of contiguous water outside a permitted mixing </w:t>
      </w:r>
      <w:proofErr w:type="gramStart"/>
      <w:r w:rsidRPr="00767FB6">
        <w:rPr>
          <w:color w:val="C45911" w:themeColor="accent2" w:themeShade="BF"/>
        </w:rPr>
        <w:t>zone;</w:t>
      </w:r>
      <w:proofErr w:type="gramEnd"/>
    </w:p>
    <w:p w14:paraId="14E55DCE" w14:textId="77777777" w:rsidR="00DA5862" w:rsidRPr="00767FB6" w:rsidRDefault="00DA5862" w:rsidP="00DA5862">
      <w:pPr>
        <w:ind w:left="720"/>
        <w:rPr>
          <w:color w:val="C45911" w:themeColor="accent2" w:themeShade="BF"/>
        </w:rPr>
      </w:pPr>
      <w:r w:rsidRPr="00767FB6">
        <w:rPr>
          <w:color w:val="C45911" w:themeColor="accent2" w:themeShade="BF"/>
        </w:rPr>
        <w:t xml:space="preserve">62-520.470 (1)(b) At any time, including the time of permit renewal, the Department shall </w:t>
      </w:r>
      <w:proofErr w:type="gramStart"/>
      <w:r w:rsidRPr="00767FB6">
        <w:rPr>
          <w:color w:val="C45911" w:themeColor="accent2" w:themeShade="BF"/>
        </w:rPr>
        <w:t>order</w:t>
      </w:r>
      <w:proofErr w:type="gramEnd"/>
      <w:r w:rsidRPr="00767FB6">
        <w:rPr>
          <w:color w:val="C45911" w:themeColor="accent2" w:themeShade="BF"/>
        </w:rPr>
        <w:t xml:space="preserve"> or a permittee may petition for modification of the zone of discharge or monitoring requirements for any of the following reasons, or reasons contained in Rule 62-4.080, F.A.C. (b) Continuation of the existing zone of discharge will impair the designated use of underground sources of drinking water or the surface waters immediately affected by the ground water,</w:t>
      </w:r>
    </w:p>
    <w:p w14:paraId="3E4C6221" w14:textId="77777777" w:rsidR="00DA5862" w:rsidRPr="00767FB6" w:rsidRDefault="00DA5862" w:rsidP="00DA5862">
      <w:pPr>
        <w:ind w:left="720"/>
        <w:rPr>
          <w:color w:val="C45911" w:themeColor="accent2" w:themeShade="BF"/>
        </w:rPr>
      </w:pPr>
      <w:r w:rsidRPr="00767FB6">
        <w:rPr>
          <w:color w:val="C45911" w:themeColor="accent2" w:themeShade="BF"/>
        </w:rPr>
        <w:t>62-520.500(1)(e) In order for a specific installation to seek an exemption from water quality criteria, which include the primary and secondary standards and minimum criteria set forth in this chapter, the permittee or permit applicant must file a petition….The petitioner will be granted the exemption if the petitioner affirmatively demonstrates each of the  following: (e) An adequate monitoring program approved by the Department is established to ascertain the location and approximate dimensions of the discharge plume, to detect any leakage of contaminants to other aquifers or surface waters, and to detect any adverse effect on underground geologic formations or waters;</w:t>
      </w:r>
    </w:p>
    <w:p w14:paraId="135D71F8" w14:textId="77777777" w:rsidR="00DA5862" w:rsidRPr="00767FB6" w:rsidRDefault="00DA5862" w:rsidP="00DA5862">
      <w:pPr>
        <w:ind w:left="720"/>
        <w:rPr>
          <w:color w:val="C45911" w:themeColor="accent2" w:themeShade="BF"/>
        </w:rPr>
      </w:pPr>
      <w:r w:rsidRPr="00767FB6">
        <w:rPr>
          <w:color w:val="C45911" w:themeColor="accent2" w:themeShade="BF"/>
        </w:rPr>
        <w:t xml:space="preserve">62-520.520(8) Existing cooling ponds approved by the Department for treatment of thermal discharges to surface waters as defined in Rule 62-302.520, F.A.C., are exempt from secondary standards </w:t>
      </w:r>
      <w:proofErr w:type="gramStart"/>
      <w:r w:rsidRPr="00767FB6">
        <w:rPr>
          <w:color w:val="C45911" w:themeColor="accent2" w:themeShade="BF"/>
        </w:rPr>
        <w:t>as long as</w:t>
      </w:r>
      <w:proofErr w:type="gramEnd"/>
      <w:r w:rsidRPr="00767FB6">
        <w:rPr>
          <w:color w:val="C45911" w:themeColor="accent2" w:themeShade="BF"/>
        </w:rPr>
        <w:t xml:space="preserve"> the cooling pond waters are monitored pursuant to Department permit to ensure that the pond does not impair the designated used of contiguous ground waters and surface waters. In addition, the Department may order such monitoring of ground waters to be reasonably necessary to ensure that the designated used of affected ground waters and surface waters are not impaired.</w:t>
      </w:r>
    </w:p>
    <w:p w14:paraId="02E9F2BE" w14:textId="77777777" w:rsidR="00DA5862" w:rsidRPr="00767FB6" w:rsidRDefault="00DA5862" w:rsidP="00DA5862">
      <w:pPr>
        <w:ind w:left="720"/>
        <w:rPr>
          <w:color w:val="C45911" w:themeColor="accent2" w:themeShade="BF"/>
        </w:rPr>
      </w:pPr>
      <w:r w:rsidRPr="00767FB6">
        <w:rPr>
          <w:color w:val="C45911" w:themeColor="accent2" w:themeShade="BF"/>
        </w:rPr>
        <w:t>62-520.600(3) Monitoring Plan Contents. …The design shall be such that the permittee can detect and monitor adverse impact upon ground water and upon surface waters affected by ground water by facility activities.</w:t>
      </w:r>
    </w:p>
    <w:p w14:paraId="6412069D" w14:textId="77777777" w:rsidR="00DA5862" w:rsidRPr="00767FB6" w:rsidRDefault="00DA5862" w:rsidP="00DA5862">
      <w:pPr>
        <w:ind w:left="720"/>
        <w:rPr>
          <w:color w:val="C45911" w:themeColor="accent2" w:themeShade="BF"/>
        </w:rPr>
      </w:pPr>
      <w:r w:rsidRPr="00767FB6">
        <w:rPr>
          <w:color w:val="C45911" w:themeColor="accent2" w:themeShade="BF"/>
        </w:rPr>
        <w:t>62-520.600(9)(b) Wastewater impoundments containing effluent or reclaimed water, cooling waters, or other discharge waters meeting the minimum criteria of Rule 62-520.400, F.A.C., and the applicable standards for the receiving ground water and contiguous surface waters, provided, however, that if necessary to ensure that the water quality criteria and standards are being met, the Department shall require the installation owner to determine the background, or natural background where available, water quality of the receiving ground water and regularly sample the quality of the discharge prior to contact with ground water.</w:t>
      </w:r>
    </w:p>
    <w:p w14:paraId="22949998" w14:textId="77777777" w:rsidR="00DA5862" w:rsidRPr="00767FB6" w:rsidRDefault="00DA5862" w:rsidP="00DA5862">
      <w:pPr>
        <w:ind w:left="720"/>
        <w:rPr>
          <w:color w:val="C45911" w:themeColor="accent2" w:themeShade="BF"/>
        </w:rPr>
      </w:pPr>
      <w:r w:rsidRPr="00767FB6">
        <w:rPr>
          <w:color w:val="C45911" w:themeColor="accent2" w:themeShade="BF"/>
        </w:rPr>
        <w:t>62-520/700(2) When no imminent hazard exist, but the plume has extended beyond the zone of discharge or otherwise threatens or is likely to threaten in the foreseeable future to impair the designated use of an underground source of drinking water or surface water immediately affected by the ground water, the Department shall require the installation owner to take appropriate action to clean up, increase the degree of treatment prior to discharge, contain or otherwise correct the violation of water quality standards. They type of corrective action shall be based upon the following factors: (g) Current and projected used of the adjacent ground and surface waters affected by the plume.</w:t>
      </w:r>
    </w:p>
    <w:bookmarkEnd w:id="0"/>
    <w:p w14:paraId="20CBD716" w14:textId="77777777" w:rsidR="00DA5862" w:rsidRDefault="00DA5862"/>
    <w:sectPr w:rsidR="00DA58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862"/>
    <w:rsid w:val="002935E3"/>
    <w:rsid w:val="007539BA"/>
    <w:rsid w:val="00C54DFD"/>
    <w:rsid w:val="00DA58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586E0"/>
  <w15:chartTrackingRefBased/>
  <w15:docId w15:val="{E4758707-88D9-44D6-91D7-C2914A3E0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39BA"/>
  </w:style>
  <w:style w:type="paragraph" w:styleId="Heading1">
    <w:name w:val="heading 1"/>
    <w:basedOn w:val="Normal"/>
    <w:next w:val="Normal"/>
    <w:link w:val="Heading1Char"/>
    <w:autoRedefine/>
    <w:qFormat/>
    <w:rsid w:val="00DA5862"/>
    <w:pPr>
      <w:overflowPunct w:val="0"/>
      <w:autoSpaceDE w:val="0"/>
      <w:autoSpaceDN w:val="0"/>
      <w:adjustRightInd w:val="0"/>
      <w:spacing w:before="240" w:after="240"/>
      <w:textAlignment w:val="baseline"/>
      <w:outlineLvl w:val="0"/>
    </w:pPr>
    <w:rPr>
      <w:rFonts w:eastAsia="Times New Roman"/>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A5862"/>
    <w:rPr>
      <w:rFonts w:eastAsia="Times New Roman"/>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633</Words>
  <Characters>3612</Characters>
  <Application>Microsoft Office Word</Application>
  <DocSecurity>0</DocSecurity>
  <Lines>30</Lines>
  <Paragraphs>8</Paragraphs>
  <ScaleCrop>false</ScaleCrop>
  <Company/>
  <LinksUpToDate>false</LinksUpToDate>
  <CharactersWithSpaces>4237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Seiler, Ann</dc:creator>
  <cp:keywords/>
  <dc:description/>
  <cp:lastModifiedBy>Seiler, Ann</cp:lastModifiedBy>
  <cp:revision>1</cp:revision>
  <dcterms:created xsi:type="dcterms:W3CDTF">2023-01-12T19:55:00Z</dcterms:created>
  <dcterms:modified xsi:type="dcterms:W3CDTF">2023-01-12T19:57:00Z</dcterms:modified>
</cp:coreProperties>
</file>