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09A" w:rsidRPr="006E73D7" w:rsidRDefault="004F51B5" w:rsidP="004F51B5">
      <w:pPr>
        <w:jc w:val="center"/>
        <w:rPr>
          <w:rFonts w:ascii="Book Antiqua" w:hAnsi="Book Antiqua"/>
          <w:sz w:val="24"/>
          <w:szCs w:val="24"/>
        </w:rPr>
      </w:pPr>
      <w:r w:rsidRPr="004F51B5">
        <w:rPr>
          <w:rFonts w:ascii="Book Antiqua" w:hAnsi="Book Antiqua"/>
          <w:b/>
          <w:sz w:val="28"/>
          <w:szCs w:val="28"/>
        </w:rPr>
        <w:t>Cocohatchee River</w:t>
      </w:r>
      <w:r w:rsidR="006E73D7">
        <w:rPr>
          <w:rFonts w:ascii="Book Antiqua" w:hAnsi="Book Antiqua"/>
          <w:b/>
          <w:sz w:val="28"/>
          <w:szCs w:val="28"/>
        </w:rPr>
        <w:br/>
      </w:r>
      <w:r w:rsidR="006E73D7">
        <w:rPr>
          <w:rFonts w:ascii="Book Antiqua" w:hAnsi="Book Antiqua"/>
          <w:sz w:val="24"/>
          <w:szCs w:val="24"/>
        </w:rPr>
        <w:t xml:space="preserve">Class II Marine </w:t>
      </w:r>
      <w:proofErr w:type="spellStart"/>
      <w:r w:rsidR="006E73D7">
        <w:rPr>
          <w:rFonts w:ascii="Book Antiqua" w:hAnsi="Book Antiqua"/>
          <w:sz w:val="24"/>
          <w:szCs w:val="24"/>
        </w:rPr>
        <w:t>Waterbody</w:t>
      </w:r>
      <w:proofErr w:type="spellEnd"/>
    </w:p>
    <w:p w:rsidR="004F51B5" w:rsidRDefault="006E73D7" w:rsidP="004F51B5">
      <w:pPr>
        <w:jc w:val="center"/>
        <w:rPr>
          <w:rFonts w:ascii="Book Antiqua" w:hAnsi="Book Antiqua"/>
          <w:sz w:val="24"/>
          <w:szCs w:val="24"/>
        </w:rPr>
      </w:pPr>
      <w:r>
        <w:rPr>
          <w:rFonts w:ascii="Book Antiqua" w:hAnsi="Book Antiqua"/>
          <w:sz w:val="24"/>
          <w:szCs w:val="24"/>
        </w:rPr>
        <w:t>** Fecal Coliform Criteria: The Most Probable Number (MPN) shall not exceed a median value of 14 with not more than 10% of the samples exceeding 43, nor exceed 800 on any one day</w:t>
      </w:r>
    </w:p>
    <w:p w:rsidR="00995D6B" w:rsidRDefault="00995D6B" w:rsidP="004F51B5">
      <w:pPr>
        <w:jc w:val="center"/>
        <w:rPr>
          <w:rFonts w:ascii="Book Antiqua" w:hAnsi="Book Antiqua"/>
          <w:sz w:val="24"/>
          <w:szCs w:val="24"/>
        </w:rPr>
      </w:pPr>
      <w:r>
        <w:rPr>
          <w:rFonts w:ascii="Book Antiqua" w:hAnsi="Book Antiqua"/>
          <w:noProof/>
          <w:sz w:val="24"/>
          <w:szCs w:val="24"/>
        </w:rPr>
        <w:drawing>
          <wp:inline distT="0" distB="0" distL="0" distR="0">
            <wp:extent cx="5943600" cy="4592955"/>
            <wp:effectExtent l="19050" t="0" r="0" b="0"/>
            <wp:docPr id="7" name="Picture 6" descr="cocohatchee impair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cohatchee impairments.jpg"/>
                    <pic:cNvPicPr/>
                  </pic:nvPicPr>
                  <pic:blipFill>
                    <a:blip r:embed="rId7" cstate="print"/>
                    <a:stretch>
                      <a:fillRect/>
                    </a:stretch>
                  </pic:blipFill>
                  <pic:spPr>
                    <a:xfrm>
                      <a:off x="0" y="0"/>
                      <a:ext cx="5943600" cy="4592955"/>
                    </a:xfrm>
                    <a:prstGeom prst="rect">
                      <a:avLst/>
                    </a:prstGeom>
                  </pic:spPr>
                </pic:pic>
              </a:graphicData>
            </a:graphic>
          </wp:inline>
        </w:drawing>
      </w:r>
    </w:p>
    <w:p w:rsidR="004F51B5" w:rsidRDefault="004F51B5" w:rsidP="004F51B5">
      <w:pPr>
        <w:rPr>
          <w:rFonts w:ascii="Book Antiqua" w:hAnsi="Book Antiqua"/>
          <w:sz w:val="24"/>
          <w:szCs w:val="24"/>
          <w:u w:val="single"/>
        </w:rPr>
      </w:pPr>
      <w:r>
        <w:rPr>
          <w:rFonts w:ascii="Book Antiqua" w:hAnsi="Book Antiqua"/>
          <w:sz w:val="24"/>
          <w:szCs w:val="24"/>
          <w:u w:val="single"/>
        </w:rPr>
        <w:t>Current Impairments</w:t>
      </w:r>
      <w:r w:rsidR="00E06CF2">
        <w:rPr>
          <w:rFonts w:ascii="Book Antiqua" w:hAnsi="Book Antiqua"/>
          <w:sz w:val="24"/>
          <w:szCs w:val="24"/>
          <w:u w:val="single"/>
        </w:rPr>
        <w:t xml:space="preserve"> – Cycle</w:t>
      </w:r>
      <w:r w:rsidR="00372579">
        <w:rPr>
          <w:rFonts w:ascii="Book Antiqua" w:hAnsi="Book Antiqua"/>
          <w:sz w:val="24"/>
          <w:szCs w:val="24"/>
          <w:u w:val="single"/>
        </w:rPr>
        <w:t xml:space="preserve"> 3</w:t>
      </w:r>
      <w:r w:rsidR="00E06CF2">
        <w:rPr>
          <w:rFonts w:ascii="Book Antiqua" w:hAnsi="Book Antiqua"/>
          <w:sz w:val="24"/>
          <w:szCs w:val="24"/>
          <w:u w:val="single"/>
        </w:rPr>
        <w:t xml:space="preserve"> </w:t>
      </w:r>
    </w:p>
    <w:p w:rsidR="004F51B5" w:rsidRDefault="00631739" w:rsidP="004F51B5">
      <w:pPr>
        <w:rPr>
          <w:rFonts w:ascii="Book Antiqua" w:hAnsi="Book Antiqua"/>
          <w:sz w:val="24"/>
          <w:szCs w:val="24"/>
        </w:rPr>
      </w:pPr>
      <w:r>
        <w:rPr>
          <w:rFonts w:ascii="Book Antiqua" w:hAnsi="Book Antiqua"/>
          <w:sz w:val="24"/>
          <w:szCs w:val="24"/>
        </w:rPr>
        <w:t>3259A – Cocohatchee River</w:t>
      </w:r>
    </w:p>
    <w:p w:rsidR="00C31E95" w:rsidRDefault="00C31E95" w:rsidP="00C31E95">
      <w:pPr>
        <w:ind w:left="1440" w:hanging="720"/>
        <w:rPr>
          <w:rFonts w:ascii="Book Antiqua" w:hAnsi="Book Antiqua"/>
          <w:sz w:val="24"/>
          <w:szCs w:val="24"/>
        </w:rPr>
      </w:pPr>
      <w:r>
        <w:rPr>
          <w:rFonts w:ascii="Book Antiqua" w:hAnsi="Book Antiqua"/>
          <w:sz w:val="24"/>
          <w:szCs w:val="24"/>
        </w:rPr>
        <w:t>Fecal Colifo</w:t>
      </w:r>
      <w:r w:rsidR="00E41968">
        <w:rPr>
          <w:rFonts w:ascii="Book Antiqua" w:hAnsi="Book Antiqua"/>
          <w:sz w:val="24"/>
          <w:szCs w:val="24"/>
        </w:rPr>
        <w:t>rm (4a) – TMDL (August 19, 2008)</w:t>
      </w:r>
      <w:r>
        <w:rPr>
          <w:rFonts w:ascii="Book Antiqua" w:hAnsi="Book Antiqua"/>
          <w:sz w:val="24"/>
          <w:szCs w:val="24"/>
        </w:rPr>
        <w:br/>
        <w:t>Counts per Day: 43 / 100ml</w:t>
      </w:r>
      <w:r>
        <w:rPr>
          <w:rFonts w:ascii="Book Antiqua" w:hAnsi="Book Antiqua"/>
          <w:sz w:val="24"/>
          <w:szCs w:val="24"/>
        </w:rPr>
        <w:br/>
        <w:t>Percent Reduction: 65</w:t>
      </w:r>
    </w:p>
    <w:p w:rsidR="00C31E95" w:rsidRDefault="00C31E95" w:rsidP="00C31E95">
      <w:pPr>
        <w:ind w:left="720"/>
        <w:rPr>
          <w:rFonts w:ascii="Book Antiqua" w:hAnsi="Book Antiqua"/>
          <w:sz w:val="24"/>
          <w:szCs w:val="24"/>
        </w:rPr>
      </w:pPr>
      <w:r>
        <w:rPr>
          <w:rFonts w:ascii="Book Antiqua" w:hAnsi="Book Antiqua"/>
          <w:sz w:val="24"/>
          <w:szCs w:val="24"/>
        </w:rPr>
        <w:t>Iron (5</w:t>
      </w:r>
      <w:proofErr w:type="gramStart"/>
      <w:r>
        <w:rPr>
          <w:rFonts w:ascii="Book Antiqua" w:hAnsi="Book Antiqua"/>
          <w:sz w:val="24"/>
          <w:szCs w:val="24"/>
        </w:rPr>
        <w:t>)</w:t>
      </w:r>
      <w:proofErr w:type="gramEnd"/>
      <w:r>
        <w:rPr>
          <w:rFonts w:ascii="Book Antiqua" w:hAnsi="Book Antiqua"/>
          <w:sz w:val="24"/>
          <w:szCs w:val="24"/>
        </w:rPr>
        <w:br/>
        <w:t>Biochemical Oxygen Demand (4c)</w:t>
      </w:r>
      <w:r>
        <w:rPr>
          <w:rFonts w:ascii="Book Antiqua" w:hAnsi="Book Antiqua"/>
          <w:sz w:val="24"/>
          <w:szCs w:val="24"/>
        </w:rPr>
        <w:br/>
        <w:t>Dissolved Oxygen (4c)</w:t>
      </w:r>
    </w:p>
    <w:p w:rsidR="00C31E95" w:rsidRDefault="00C31E95" w:rsidP="00C31E95">
      <w:pPr>
        <w:rPr>
          <w:rFonts w:ascii="Book Antiqua" w:hAnsi="Book Antiqua"/>
          <w:sz w:val="24"/>
          <w:szCs w:val="24"/>
        </w:rPr>
      </w:pPr>
      <w:r>
        <w:rPr>
          <w:rFonts w:ascii="Book Antiqua" w:hAnsi="Book Antiqua"/>
          <w:sz w:val="24"/>
          <w:szCs w:val="24"/>
        </w:rPr>
        <w:lastRenderedPageBreak/>
        <w:t>3259D – Cocohatchee (Inland Segment)</w:t>
      </w:r>
    </w:p>
    <w:p w:rsidR="00C31E95" w:rsidRDefault="00C31E95" w:rsidP="00C31E95">
      <w:pPr>
        <w:rPr>
          <w:rFonts w:ascii="Book Antiqua" w:hAnsi="Book Antiqua"/>
          <w:sz w:val="24"/>
          <w:szCs w:val="24"/>
        </w:rPr>
      </w:pPr>
      <w:r>
        <w:rPr>
          <w:rFonts w:ascii="Book Antiqua" w:hAnsi="Book Antiqua"/>
          <w:sz w:val="24"/>
          <w:szCs w:val="24"/>
        </w:rPr>
        <w:tab/>
        <w:t>Biochemical Oxygen Demand (5)</w:t>
      </w:r>
      <w:r>
        <w:rPr>
          <w:rFonts w:ascii="Book Antiqua" w:hAnsi="Book Antiqua"/>
          <w:sz w:val="24"/>
          <w:szCs w:val="24"/>
        </w:rPr>
        <w:br/>
      </w:r>
      <w:r>
        <w:rPr>
          <w:rFonts w:ascii="Book Antiqua" w:hAnsi="Book Antiqua"/>
          <w:sz w:val="24"/>
          <w:szCs w:val="24"/>
        </w:rPr>
        <w:tab/>
        <w:t>Dissolved Oxygen (5)</w:t>
      </w:r>
      <w:r>
        <w:rPr>
          <w:rFonts w:ascii="Book Antiqua" w:hAnsi="Book Antiqua"/>
          <w:sz w:val="24"/>
          <w:szCs w:val="24"/>
        </w:rPr>
        <w:br/>
      </w:r>
    </w:p>
    <w:p w:rsidR="00C31E95" w:rsidRDefault="00C31E95" w:rsidP="00C31E95">
      <w:pPr>
        <w:rPr>
          <w:rFonts w:ascii="Book Antiqua" w:hAnsi="Book Antiqua"/>
          <w:sz w:val="24"/>
          <w:szCs w:val="24"/>
        </w:rPr>
      </w:pPr>
      <w:r>
        <w:rPr>
          <w:rFonts w:ascii="Book Antiqua" w:hAnsi="Book Antiqua"/>
          <w:sz w:val="24"/>
          <w:szCs w:val="24"/>
        </w:rPr>
        <w:t>3278C – Cocohatchee Golf Course Discharge</w:t>
      </w:r>
    </w:p>
    <w:p w:rsidR="00E06CF2" w:rsidRDefault="00C31E95" w:rsidP="00C31E95">
      <w:pPr>
        <w:rPr>
          <w:rFonts w:ascii="Book Antiqua" w:hAnsi="Book Antiqua"/>
          <w:sz w:val="24"/>
          <w:szCs w:val="24"/>
        </w:rPr>
      </w:pPr>
      <w:r>
        <w:rPr>
          <w:rFonts w:ascii="Book Antiqua" w:hAnsi="Book Antiqua"/>
          <w:sz w:val="24"/>
          <w:szCs w:val="24"/>
        </w:rPr>
        <w:tab/>
        <w:t>Dissolved Oxygen (4d)</w:t>
      </w:r>
    </w:p>
    <w:p w:rsidR="00E06CF2" w:rsidRDefault="00E06CF2">
      <w:pPr>
        <w:rPr>
          <w:rFonts w:ascii="Book Antiqua" w:hAnsi="Book Antiqua"/>
          <w:sz w:val="24"/>
          <w:szCs w:val="24"/>
        </w:rPr>
      </w:pPr>
    </w:p>
    <w:p w:rsidR="00E06CF2" w:rsidRDefault="00E06CF2">
      <w:pPr>
        <w:rPr>
          <w:rFonts w:ascii="Book Antiqua" w:hAnsi="Book Antiqua"/>
          <w:sz w:val="24"/>
          <w:szCs w:val="24"/>
          <w:u w:val="single"/>
        </w:rPr>
      </w:pPr>
      <w:r>
        <w:rPr>
          <w:rFonts w:ascii="Book Antiqua" w:hAnsi="Book Antiqua"/>
          <w:sz w:val="24"/>
          <w:szCs w:val="24"/>
          <w:u w:val="single"/>
        </w:rPr>
        <w:t>Walk the WBID</w:t>
      </w:r>
      <w:r w:rsidR="006E73D7">
        <w:rPr>
          <w:rFonts w:ascii="Book Antiqua" w:hAnsi="Book Antiqua"/>
          <w:sz w:val="24"/>
          <w:szCs w:val="24"/>
          <w:u w:val="single"/>
        </w:rPr>
        <w:t xml:space="preserve"> 3259A</w:t>
      </w:r>
    </w:p>
    <w:p w:rsidR="007A5CBE" w:rsidRDefault="00E06CF2" w:rsidP="007A5CBE">
      <w:pPr>
        <w:pStyle w:val="ListParagraph"/>
        <w:numPr>
          <w:ilvl w:val="0"/>
          <w:numId w:val="0"/>
        </w:numPr>
      </w:pPr>
      <w:r>
        <w:t>The year i</w:t>
      </w:r>
      <w:r w:rsidR="00372579">
        <w:t>t</w:t>
      </w:r>
      <w:r>
        <w:t xml:space="preserve"> was verified impaired in Cycle 2</w:t>
      </w:r>
      <w:r w:rsidR="00372579">
        <w:t xml:space="preserve"> (2008?)</w:t>
      </w:r>
    </w:p>
    <w:p w:rsidR="007A5CBE" w:rsidRDefault="007A5CBE" w:rsidP="007A5CBE">
      <w:pPr>
        <w:pStyle w:val="ListParagraph"/>
        <w:numPr>
          <w:ilvl w:val="0"/>
          <w:numId w:val="0"/>
        </w:numPr>
      </w:pPr>
      <w:r>
        <w:t>Notes by Rhonda Watkins:</w:t>
      </w:r>
    </w:p>
    <w:p w:rsidR="007A5CBE" w:rsidRDefault="007A5CBE" w:rsidP="007A5CBE">
      <w:pPr>
        <w:pStyle w:val="ListParagraph"/>
        <w:numPr>
          <w:ilvl w:val="0"/>
          <w:numId w:val="13"/>
        </w:numPr>
      </w:pPr>
      <w:r>
        <w:t>Tightness/leak testing of all county sewer lines in the area</w:t>
      </w:r>
    </w:p>
    <w:p w:rsidR="007A5CBE" w:rsidRDefault="007A5CBE" w:rsidP="007A5CBE">
      <w:pPr>
        <w:pStyle w:val="ListParagraph"/>
        <w:numPr>
          <w:ilvl w:val="0"/>
          <w:numId w:val="13"/>
        </w:numPr>
      </w:pPr>
      <w:r>
        <w:t>Septic tank surveys by DOH and extensive sampling by Rhonda Watkins (Collier County)</w:t>
      </w:r>
    </w:p>
    <w:p w:rsidR="007A5CBE" w:rsidRDefault="007A5CBE" w:rsidP="007A5CBE">
      <w:pPr>
        <w:pStyle w:val="ListParagraph"/>
        <w:numPr>
          <w:ilvl w:val="0"/>
          <w:numId w:val="13"/>
        </w:numPr>
      </w:pPr>
      <w:r>
        <w:t>No source tracked down</w:t>
      </w:r>
    </w:p>
    <w:p w:rsidR="007A5CBE" w:rsidRDefault="007A5CBE" w:rsidP="007A5CBE">
      <w:pPr>
        <w:pStyle w:val="ListParagraph"/>
        <w:numPr>
          <w:ilvl w:val="0"/>
          <w:numId w:val="13"/>
        </w:numPr>
      </w:pPr>
      <w:r>
        <w:t>No leaks in system</w:t>
      </w:r>
    </w:p>
    <w:p w:rsidR="00372579" w:rsidRDefault="00372579" w:rsidP="00372579">
      <w:pPr>
        <w:rPr>
          <w:rFonts w:ascii="Book Antiqua" w:hAnsi="Book Antiqua"/>
          <w:sz w:val="24"/>
          <w:szCs w:val="24"/>
        </w:rPr>
      </w:pPr>
    </w:p>
    <w:p w:rsidR="006E73D7" w:rsidRDefault="006E73D7" w:rsidP="00372579">
      <w:pPr>
        <w:rPr>
          <w:rFonts w:ascii="Book Antiqua" w:hAnsi="Book Antiqua"/>
          <w:sz w:val="24"/>
          <w:szCs w:val="24"/>
          <w:u w:val="single"/>
        </w:rPr>
      </w:pPr>
      <w:r>
        <w:rPr>
          <w:rFonts w:ascii="Book Antiqua" w:hAnsi="Book Antiqua"/>
          <w:sz w:val="24"/>
          <w:szCs w:val="24"/>
          <w:u w:val="single"/>
        </w:rPr>
        <w:t>Point Sources</w:t>
      </w:r>
    </w:p>
    <w:p w:rsidR="006E73D7" w:rsidRDefault="006E73D7" w:rsidP="006E73D7">
      <w:pPr>
        <w:pStyle w:val="ListParagraph"/>
        <w:numPr>
          <w:ilvl w:val="0"/>
          <w:numId w:val="10"/>
        </w:numPr>
      </w:pPr>
      <w:r w:rsidRPr="006E73D7">
        <w:t xml:space="preserve">No NPDES wastewater facilities authorized to discharge into the Cocohatchee River. </w:t>
      </w:r>
    </w:p>
    <w:p w:rsidR="006E73D7" w:rsidRDefault="006E73D7" w:rsidP="006E73D7">
      <w:pPr>
        <w:pStyle w:val="ListParagraph"/>
        <w:numPr>
          <w:ilvl w:val="0"/>
          <w:numId w:val="10"/>
        </w:numPr>
      </w:pPr>
      <w:r>
        <w:t>Several wastewater facilities within WBIDS surrounding the Cocohatchee River Estuary watershed have NPDES discharge permits.</w:t>
      </w:r>
    </w:p>
    <w:p w:rsidR="006E73D7" w:rsidRDefault="006E73D7" w:rsidP="006E73D7">
      <w:pPr>
        <w:pStyle w:val="ListParagraph"/>
        <w:numPr>
          <w:ilvl w:val="0"/>
          <w:numId w:val="10"/>
        </w:numPr>
      </w:pPr>
      <w:r>
        <w:t>Stormwater: Collier County Phase II MS4 permit</w:t>
      </w:r>
      <w:r w:rsidR="0061534A">
        <w:t xml:space="preserve"> (FLR04E037)</w:t>
      </w:r>
    </w:p>
    <w:p w:rsidR="006E73D7" w:rsidRDefault="006E73D7" w:rsidP="006E73D7"/>
    <w:p w:rsidR="006E73D7" w:rsidRDefault="006E73D7" w:rsidP="00372579">
      <w:pPr>
        <w:rPr>
          <w:rFonts w:ascii="Book Antiqua" w:hAnsi="Book Antiqua"/>
          <w:sz w:val="24"/>
          <w:szCs w:val="24"/>
          <w:u w:val="single"/>
        </w:rPr>
      </w:pPr>
      <w:r>
        <w:rPr>
          <w:rFonts w:ascii="Book Antiqua" w:hAnsi="Book Antiqua"/>
          <w:sz w:val="24"/>
          <w:szCs w:val="24"/>
          <w:u w:val="single"/>
        </w:rPr>
        <w:t>Nonpoint Sources</w:t>
      </w:r>
    </w:p>
    <w:p w:rsidR="006E73D7" w:rsidRDefault="006E73D7" w:rsidP="006E73D7">
      <w:pPr>
        <w:pStyle w:val="ListParagraph"/>
        <w:numPr>
          <w:ilvl w:val="0"/>
          <w:numId w:val="11"/>
        </w:numPr>
      </w:pPr>
      <w:r>
        <w:t>Surface runoff, wildlife, pets, leaking and overflowing sewage lines, leaking septic tanks</w:t>
      </w:r>
    </w:p>
    <w:p w:rsidR="006E73D7" w:rsidRDefault="006E73D7" w:rsidP="006E73D7">
      <w:pPr>
        <w:pStyle w:val="ListParagraph"/>
        <w:numPr>
          <w:ilvl w:val="0"/>
          <w:numId w:val="11"/>
        </w:numPr>
      </w:pPr>
      <w:r>
        <w:t>Land use</w:t>
      </w:r>
      <w:r w:rsidR="000C79CF">
        <w:t xml:space="preserve"> (1999 SFWMD)</w:t>
      </w:r>
      <w:r>
        <w:t>: &gt; 70% is wetland or water, 22% urban and built-up</w:t>
      </w:r>
      <w:r w:rsidR="0061534A">
        <w:t>;</w:t>
      </w:r>
      <w:r w:rsidR="000C79CF">
        <w:t xml:space="preserve"> 75% of urban/built up land is medium to high-density residential</w:t>
      </w:r>
    </w:p>
    <w:p w:rsidR="000C79CF" w:rsidRDefault="000C79CF" w:rsidP="006E73D7">
      <w:pPr>
        <w:pStyle w:val="ListParagraph"/>
        <w:numPr>
          <w:ilvl w:val="0"/>
          <w:numId w:val="11"/>
        </w:numPr>
      </w:pPr>
      <w:r>
        <w:t>Population (2006): 3000 to 4000 in Cocohatchee River Estuary watershed mostly in southeast area known as Vanderbilt Beach Estates</w:t>
      </w:r>
    </w:p>
    <w:p w:rsidR="000C79CF" w:rsidRDefault="000C79CF" w:rsidP="006E73D7">
      <w:pPr>
        <w:pStyle w:val="ListParagraph"/>
        <w:numPr>
          <w:ilvl w:val="0"/>
          <w:numId w:val="11"/>
        </w:numPr>
      </w:pPr>
      <w:r>
        <w:t>Septic tanks present</w:t>
      </w:r>
    </w:p>
    <w:p w:rsidR="000C79CF" w:rsidRDefault="000C79CF" w:rsidP="006E73D7">
      <w:pPr>
        <w:pStyle w:val="ListParagraph"/>
        <w:numPr>
          <w:ilvl w:val="0"/>
          <w:numId w:val="11"/>
        </w:numPr>
      </w:pPr>
      <w:r>
        <w:t>No Agricultural land = no livestock contribution</w:t>
      </w:r>
    </w:p>
    <w:p w:rsidR="000C79CF" w:rsidRPr="006E73D7" w:rsidRDefault="000C79CF" w:rsidP="006E73D7">
      <w:pPr>
        <w:pStyle w:val="ListParagraph"/>
        <w:numPr>
          <w:ilvl w:val="0"/>
          <w:numId w:val="11"/>
        </w:numPr>
      </w:pPr>
      <w:r>
        <w:t xml:space="preserve">780 Dogs Owned; 876 Cats Owned </w:t>
      </w:r>
    </w:p>
    <w:p w:rsidR="0061534A" w:rsidRDefault="0061534A" w:rsidP="00372579">
      <w:pPr>
        <w:rPr>
          <w:rFonts w:ascii="Book Antiqua" w:hAnsi="Book Antiqua"/>
          <w:sz w:val="24"/>
          <w:szCs w:val="24"/>
          <w:u w:val="single"/>
        </w:rPr>
      </w:pPr>
    </w:p>
    <w:p w:rsidR="00372579" w:rsidRDefault="00372579" w:rsidP="00372579">
      <w:pPr>
        <w:rPr>
          <w:rFonts w:ascii="Book Antiqua" w:hAnsi="Book Antiqua"/>
          <w:sz w:val="24"/>
          <w:szCs w:val="24"/>
          <w:u w:val="single"/>
        </w:rPr>
      </w:pPr>
      <w:r w:rsidRPr="00372579">
        <w:rPr>
          <w:rFonts w:ascii="Book Antiqua" w:hAnsi="Book Antiqua"/>
          <w:sz w:val="24"/>
          <w:szCs w:val="24"/>
          <w:u w:val="single"/>
        </w:rPr>
        <w:lastRenderedPageBreak/>
        <w:t>Areas of Concern</w:t>
      </w:r>
    </w:p>
    <w:p w:rsidR="00495296" w:rsidRDefault="00495296" w:rsidP="00372579">
      <w:pPr>
        <w:spacing w:after="0" w:line="240" w:lineRule="auto"/>
        <w:rPr>
          <w:rFonts w:ascii="Book Antiqua" w:hAnsi="Book Antiqua"/>
          <w:sz w:val="24"/>
          <w:szCs w:val="24"/>
        </w:rPr>
      </w:pPr>
      <w:r>
        <w:rPr>
          <w:rFonts w:ascii="Book Antiqua" w:hAnsi="Book Antiqua"/>
          <w:sz w:val="24"/>
          <w:szCs w:val="24"/>
        </w:rPr>
        <w:t xml:space="preserve">Email from </w:t>
      </w:r>
      <w:r w:rsidR="00372579" w:rsidRPr="00372579">
        <w:rPr>
          <w:rFonts w:ascii="Book Antiqua" w:hAnsi="Book Antiqua"/>
          <w:sz w:val="24"/>
          <w:szCs w:val="24"/>
        </w:rPr>
        <w:t>Rhonda Watkins (Collier County)</w:t>
      </w:r>
      <w:r>
        <w:rPr>
          <w:rFonts w:ascii="Book Antiqua" w:hAnsi="Book Antiqua"/>
          <w:sz w:val="24"/>
          <w:szCs w:val="24"/>
        </w:rPr>
        <w:t xml:space="preserve"> to Chris Nappi (FDEP). April 15, 2009. </w:t>
      </w:r>
    </w:p>
    <w:p w:rsidR="00372579" w:rsidRPr="00E41968" w:rsidRDefault="00372579" w:rsidP="00E41968">
      <w:pPr>
        <w:rPr>
          <w:rFonts w:ascii="Book Antiqua" w:hAnsi="Book Antiqua"/>
          <w:sz w:val="24"/>
          <w:szCs w:val="24"/>
        </w:rPr>
      </w:pPr>
      <w:r w:rsidRPr="00372579">
        <w:br/>
      </w:r>
      <w:r w:rsidRPr="00E41968">
        <w:rPr>
          <w:rFonts w:ascii="Book Antiqua" w:hAnsi="Book Antiqua"/>
          <w:sz w:val="24"/>
          <w:szCs w:val="24"/>
        </w:rPr>
        <w:t>1.  There is still a problem at the “Remington Reserve Canal @ Powerlines</w:t>
      </w:r>
      <w:r w:rsidR="00495296" w:rsidRPr="00E41968">
        <w:rPr>
          <w:rFonts w:ascii="Book Antiqua" w:hAnsi="Book Antiqua"/>
          <w:sz w:val="24"/>
          <w:szCs w:val="24"/>
        </w:rPr>
        <w:t xml:space="preserve"> (</w:t>
      </w:r>
      <w:r w:rsidR="00495296" w:rsidRPr="00E41968">
        <w:rPr>
          <w:rFonts w:ascii="Book Antiqua" w:eastAsia="Times New Roman" w:hAnsi="Book Antiqua" w:cs="Times New Roman"/>
          <w:color w:val="000000"/>
          <w:sz w:val="24"/>
          <w:szCs w:val="24"/>
        </w:rPr>
        <w:t>EVRGWC0077FTM</w:t>
      </w:r>
      <w:r w:rsidR="00495296" w:rsidRPr="00E41968">
        <w:rPr>
          <w:rFonts w:ascii="Book Antiqua" w:hAnsi="Book Antiqua"/>
          <w:sz w:val="24"/>
          <w:szCs w:val="24"/>
        </w:rPr>
        <w:t>)</w:t>
      </w:r>
      <w:r w:rsidRPr="00E41968">
        <w:rPr>
          <w:rFonts w:ascii="Book Antiqua" w:hAnsi="Book Antiqua"/>
          <w:sz w:val="24"/>
          <w:szCs w:val="24"/>
        </w:rPr>
        <w:t>” in North Naples canal as the upstream site has minimal fecal. However the upstream site would only impact this one if the weir was open. Regardless, the fecal count oddly seems to drop out pretty quickly by the time it gets ~400 yards downstream to Dimock</w:t>
      </w:r>
      <w:r w:rsidR="00495296" w:rsidRPr="00E41968">
        <w:rPr>
          <w:rFonts w:ascii="Book Antiqua" w:hAnsi="Book Antiqua"/>
          <w:sz w:val="24"/>
          <w:szCs w:val="24"/>
        </w:rPr>
        <w:t xml:space="preserve"> (</w:t>
      </w:r>
      <w:r w:rsidR="00495296" w:rsidRPr="00E41968">
        <w:rPr>
          <w:rFonts w:ascii="Book Antiqua" w:eastAsia="Times New Roman" w:hAnsi="Book Antiqua" w:cs="Times New Roman"/>
          <w:color w:val="000000"/>
          <w:sz w:val="24"/>
          <w:szCs w:val="24"/>
        </w:rPr>
        <w:t>EVRGWC0076FTM)</w:t>
      </w:r>
      <w:r w:rsidRPr="00E41968">
        <w:rPr>
          <w:rFonts w:ascii="Book Antiqua" w:hAnsi="Book Antiqua"/>
          <w:sz w:val="24"/>
          <w:szCs w:val="24"/>
        </w:rPr>
        <w:t>. My concern here is the dramatic change in salinity which suggests there was significant tide change between the sites Remington and Dimock and maybe you are capturing tidal inflow instead of outflow from the canal. The fecal may be dying because the salinity is changing drastically. When the spec. cond. is closer, you see that Dimock is as high as Remington. When the spec. cond. is higher at Dimock, the fecal is lower than Remington, suggesting die-off.</w:t>
      </w:r>
    </w:p>
    <w:p w:rsidR="00372579" w:rsidRPr="00E41968" w:rsidRDefault="00372579" w:rsidP="00E41968">
      <w:pPr>
        <w:rPr>
          <w:rFonts w:ascii="Book Antiqua" w:hAnsi="Book Antiqua"/>
          <w:sz w:val="24"/>
          <w:szCs w:val="24"/>
        </w:rPr>
      </w:pPr>
      <w:r w:rsidRPr="00E41968">
        <w:rPr>
          <w:rFonts w:ascii="Book Antiqua" w:hAnsi="Book Antiqua"/>
          <w:sz w:val="24"/>
          <w:szCs w:val="24"/>
        </w:rPr>
        <w:t xml:space="preserve">2.  East Branch of the Cocohatchee River </w:t>
      </w:r>
      <w:r w:rsidR="00495296" w:rsidRPr="00E41968">
        <w:rPr>
          <w:rFonts w:ascii="Book Antiqua" w:hAnsi="Book Antiqua"/>
          <w:sz w:val="24"/>
          <w:szCs w:val="24"/>
        </w:rPr>
        <w:t xml:space="preserve">(ECOCORV) </w:t>
      </w:r>
      <w:r w:rsidRPr="00E41968">
        <w:rPr>
          <w:rFonts w:ascii="Book Antiqua" w:hAnsi="Book Antiqua"/>
          <w:sz w:val="24"/>
          <w:szCs w:val="24"/>
        </w:rPr>
        <w:t>appears to be another source. Fecal is high there and it appears high downstream at the Collier’s Reserve cart path to the Clubhouse. Since the other inputs from Coconut Palm River aren’t as high, they probably aren’t adding to the fecal at the cart path site. As far as the otters go, they wouldn’t have any more impact than birds or raccoons in the area. Only DNA testing would tell.</w:t>
      </w:r>
    </w:p>
    <w:p w:rsidR="00372579" w:rsidRPr="00E41968" w:rsidRDefault="00372579" w:rsidP="00E41968">
      <w:pPr>
        <w:rPr>
          <w:rFonts w:ascii="Book Antiqua" w:hAnsi="Book Antiqua"/>
          <w:sz w:val="24"/>
          <w:szCs w:val="24"/>
        </w:rPr>
      </w:pPr>
      <w:r w:rsidRPr="00E41968">
        <w:rPr>
          <w:rFonts w:ascii="Book Antiqua" w:hAnsi="Book Antiqua"/>
          <w:sz w:val="24"/>
          <w:szCs w:val="24"/>
        </w:rPr>
        <w:t>3.  Since the Dimock site empties in downstream of the Collier’s Reserve cart path site</w:t>
      </w:r>
      <w:r w:rsidR="00495296" w:rsidRPr="00E41968">
        <w:rPr>
          <w:rFonts w:ascii="Book Antiqua" w:hAnsi="Book Antiqua"/>
          <w:sz w:val="24"/>
          <w:szCs w:val="24"/>
        </w:rPr>
        <w:t xml:space="preserve"> (</w:t>
      </w:r>
      <w:r w:rsidR="00F17EA3" w:rsidRPr="00E41968">
        <w:rPr>
          <w:rFonts w:ascii="Book Antiqua" w:hAnsi="Book Antiqua"/>
          <w:sz w:val="24"/>
          <w:szCs w:val="24"/>
        </w:rPr>
        <w:t>Site #?)</w:t>
      </w:r>
      <w:r w:rsidRPr="00E41968">
        <w:rPr>
          <w:rFonts w:ascii="Book Antiqua" w:hAnsi="Book Antiqua"/>
          <w:sz w:val="24"/>
          <w:szCs w:val="24"/>
        </w:rPr>
        <w:t xml:space="preserve">, then the bigger problem lies between the cart path site and the East Branch of the Cocohatchee. Do you not when you take your sample if the weir is open here? If it’s not open then it’s not really contributing downstream at all. </w:t>
      </w:r>
    </w:p>
    <w:p w:rsidR="00E06CF2" w:rsidRPr="00372579" w:rsidRDefault="00E06CF2" w:rsidP="00372579">
      <w:pPr>
        <w:rPr>
          <w:rFonts w:ascii="Book Antiqua" w:hAnsi="Book Antiqua"/>
          <w:sz w:val="24"/>
          <w:szCs w:val="24"/>
        </w:rPr>
      </w:pPr>
      <w:r w:rsidRPr="00372579">
        <w:rPr>
          <w:rFonts w:ascii="Book Antiqua" w:hAnsi="Book Antiqua"/>
          <w:sz w:val="24"/>
          <w:szCs w:val="24"/>
          <w:u w:val="single"/>
        </w:rPr>
        <w:br w:type="page"/>
      </w:r>
    </w:p>
    <w:p w:rsidR="00F17EA3" w:rsidRDefault="00F17EA3" w:rsidP="00C31E95">
      <w:pPr>
        <w:rPr>
          <w:rFonts w:ascii="Book Antiqua" w:hAnsi="Book Antiqua"/>
          <w:sz w:val="24"/>
          <w:szCs w:val="24"/>
        </w:rPr>
        <w:sectPr w:rsidR="00F17EA3" w:rsidSect="00F2409A">
          <w:pgSz w:w="12240" w:h="15840"/>
          <w:pgMar w:top="1440" w:right="1440" w:bottom="1440" w:left="1440" w:header="720" w:footer="720" w:gutter="0"/>
          <w:cols w:space="720"/>
          <w:docGrid w:linePitch="360"/>
        </w:sectPr>
      </w:pPr>
    </w:p>
    <w:p w:rsidR="00C31E95" w:rsidRPr="00F17EA3" w:rsidRDefault="00F17EA3" w:rsidP="00F17EA3">
      <w:pPr>
        <w:jc w:val="center"/>
        <w:rPr>
          <w:rFonts w:ascii="Book Antiqua" w:hAnsi="Book Antiqua"/>
          <w:sz w:val="24"/>
          <w:szCs w:val="24"/>
          <w:u w:val="single"/>
        </w:rPr>
      </w:pPr>
      <w:r w:rsidRPr="00F17EA3">
        <w:rPr>
          <w:rFonts w:ascii="Book Antiqua" w:hAnsi="Book Antiqua"/>
          <w:sz w:val="24"/>
          <w:szCs w:val="24"/>
          <w:u w:val="single"/>
        </w:rPr>
        <w:lastRenderedPageBreak/>
        <w:t>Cocohatchee Fecal Results: 2008 –</w:t>
      </w:r>
      <w:r>
        <w:rPr>
          <w:rFonts w:ascii="Book Antiqua" w:hAnsi="Book Antiqua"/>
          <w:sz w:val="24"/>
          <w:szCs w:val="24"/>
          <w:u w:val="single"/>
        </w:rPr>
        <w:t xml:space="preserve"> 20</w:t>
      </w:r>
      <w:r w:rsidRPr="00F17EA3">
        <w:rPr>
          <w:rFonts w:ascii="Book Antiqua" w:hAnsi="Book Antiqua"/>
          <w:sz w:val="24"/>
          <w:szCs w:val="24"/>
          <w:u w:val="single"/>
        </w:rPr>
        <w:t>11</w:t>
      </w:r>
    </w:p>
    <w:tbl>
      <w:tblPr>
        <w:tblW w:w="14240" w:type="dxa"/>
        <w:jc w:val="center"/>
        <w:tblInd w:w="93" w:type="dxa"/>
        <w:tblLook w:val="04A0"/>
      </w:tblPr>
      <w:tblGrid>
        <w:gridCol w:w="1298"/>
        <w:gridCol w:w="1731"/>
        <w:gridCol w:w="1289"/>
        <w:gridCol w:w="1289"/>
        <w:gridCol w:w="1731"/>
        <w:gridCol w:w="1731"/>
        <w:gridCol w:w="1731"/>
        <w:gridCol w:w="1175"/>
        <w:gridCol w:w="1175"/>
        <w:gridCol w:w="1082"/>
        <w:gridCol w:w="1140"/>
      </w:tblGrid>
      <w:tr w:rsidR="00F17EA3" w:rsidRPr="00F17EA3" w:rsidTr="00F17EA3">
        <w:trPr>
          <w:trHeight w:val="1050"/>
          <w:jc w:val="center"/>
        </w:trPr>
        <w:tc>
          <w:tcPr>
            <w:tcW w:w="1117" w:type="dxa"/>
            <w:tcBorders>
              <w:top w:val="single" w:sz="12" w:space="0" w:color="auto"/>
              <w:left w:val="single" w:sz="12" w:space="0" w:color="auto"/>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Site Name</w:t>
            </w:r>
          </w:p>
        </w:tc>
        <w:tc>
          <w:tcPr>
            <w:tcW w:w="1545"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Remington Reserve Canal @ Powerlines</w:t>
            </w:r>
          </w:p>
        </w:tc>
        <w:tc>
          <w:tcPr>
            <w:tcW w:w="1175"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Cocohatchee River @ SR 856A</w:t>
            </w:r>
          </w:p>
        </w:tc>
        <w:tc>
          <w:tcPr>
            <w:tcW w:w="1105"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Cocohatchee River @ US 41</w:t>
            </w:r>
          </w:p>
        </w:tc>
        <w:tc>
          <w:tcPr>
            <w:tcW w:w="1579"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 xml:space="preserve">Cocohatchee </w:t>
            </w:r>
            <w:proofErr w:type="spellStart"/>
            <w:r w:rsidRPr="00F17EA3">
              <w:rPr>
                <w:rFonts w:ascii="Calibri" w:eastAsia="Times New Roman" w:hAnsi="Calibri" w:cs="Times New Roman"/>
                <w:b/>
                <w:bCs/>
                <w:color w:val="000000"/>
                <w:sz w:val="20"/>
                <w:szCs w:val="20"/>
              </w:rPr>
              <w:t>Rvr</w:t>
            </w:r>
            <w:proofErr w:type="spellEnd"/>
            <w:r w:rsidRPr="00F17EA3">
              <w:rPr>
                <w:rFonts w:ascii="Calibri" w:eastAsia="Times New Roman" w:hAnsi="Calibri" w:cs="Times New Roman"/>
                <w:b/>
                <w:bCs/>
                <w:color w:val="000000"/>
                <w:sz w:val="20"/>
                <w:szCs w:val="20"/>
              </w:rPr>
              <w:t xml:space="preserve"> @ Collier Reserve Cart Bridge</w:t>
            </w:r>
          </w:p>
        </w:tc>
        <w:tc>
          <w:tcPr>
            <w:tcW w:w="1579"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 xml:space="preserve">Collier Reserve @ </w:t>
            </w:r>
            <w:proofErr w:type="spellStart"/>
            <w:r w:rsidRPr="00F17EA3">
              <w:rPr>
                <w:rFonts w:ascii="Calibri" w:eastAsia="Times New Roman" w:hAnsi="Calibri" w:cs="Times New Roman"/>
                <w:b/>
                <w:bCs/>
                <w:color w:val="000000"/>
                <w:sz w:val="20"/>
                <w:szCs w:val="20"/>
              </w:rPr>
              <w:t>Dimock</w:t>
            </w:r>
            <w:proofErr w:type="spellEnd"/>
            <w:r w:rsidRPr="00F17EA3">
              <w:rPr>
                <w:rFonts w:ascii="Calibri" w:eastAsia="Times New Roman" w:hAnsi="Calibri" w:cs="Times New Roman"/>
                <w:b/>
                <w:bCs/>
                <w:color w:val="000000"/>
                <w:sz w:val="20"/>
                <w:szCs w:val="20"/>
              </w:rPr>
              <w:t xml:space="preserve"> </w:t>
            </w:r>
            <w:proofErr w:type="spellStart"/>
            <w:r w:rsidRPr="00F17EA3">
              <w:rPr>
                <w:rFonts w:ascii="Calibri" w:eastAsia="Times New Roman" w:hAnsi="Calibri" w:cs="Times New Roman"/>
                <w:b/>
                <w:bCs/>
                <w:color w:val="000000"/>
                <w:sz w:val="20"/>
                <w:szCs w:val="20"/>
              </w:rPr>
              <w:t>Ln</w:t>
            </w:r>
            <w:proofErr w:type="spellEnd"/>
          </w:p>
        </w:tc>
        <w:tc>
          <w:tcPr>
            <w:tcW w:w="1579"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 xml:space="preserve">Canal @ </w:t>
            </w:r>
            <w:proofErr w:type="spellStart"/>
            <w:r w:rsidRPr="00F17EA3">
              <w:rPr>
                <w:rFonts w:ascii="Calibri" w:eastAsia="Times New Roman" w:hAnsi="Calibri" w:cs="Times New Roman"/>
                <w:b/>
                <w:bCs/>
                <w:color w:val="000000"/>
                <w:sz w:val="20"/>
                <w:szCs w:val="20"/>
              </w:rPr>
              <w:t>Creekside</w:t>
            </w:r>
            <w:proofErr w:type="spellEnd"/>
            <w:r w:rsidRPr="00F17EA3">
              <w:rPr>
                <w:rFonts w:ascii="Calibri" w:eastAsia="Times New Roman" w:hAnsi="Calibri" w:cs="Times New Roman"/>
                <w:b/>
                <w:bCs/>
                <w:color w:val="000000"/>
                <w:sz w:val="20"/>
                <w:szCs w:val="20"/>
              </w:rPr>
              <w:t xml:space="preserve"> Rd., S of Immokalee</w:t>
            </w:r>
          </w:p>
        </w:tc>
        <w:tc>
          <w:tcPr>
            <w:tcW w:w="1175"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 xml:space="preserve">E. Branch Coco </w:t>
            </w:r>
            <w:proofErr w:type="spellStart"/>
            <w:r w:rsidRPr="00F17EA3">
              <w:rPr>
                <w:rFonts w:ascii="Calibri" w:eastAsia="Times New Roman" w:hAnsi="Calibri" w:cs="Times New Roman"/>
                <w:b/>
                <w:bCs/>
                <w:color w:val="000000"/>
                <w:sz w:val="20"/>
                <w:szCs w:val="20"/>
              </w:rPr>
              <w:t>Rvr</w:t>
            </w:r>
            <w:proofErr w:type="spellEnd"/>
            <w:r w:rsidRPr="00F17EA3">
              <w:rPr>
                <w:rFonts w:ascii="Calibri" w:eastAsia="Times New Roman" w:hAnsi="Calibri" w:cs="Times New Roman"/>
                <w:b/>
                <w:bCs/>
                <w:color w:val="000000"/>
                <w:sz w:val="20"/>
                <w:szCs w:val="20"/>
              </w:rPr>
              <w:t xml:space="preserve"> @ SR 846</w:t>
            </w:r>
          </w:p>
        </w:tc>
        <w:tc>
          <w:tcPr>
            <w:tcW w:w="1175"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Immokalee Rd Canal @ Palm River Blvd</w:t>
            </w:r>
          </w:p>
        </w:tc>
        <w:tc>
          <w:tcPr>
            <w:tcW w:w="1082"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Canal @ Palm River Blvd. Bridge</w:t>
            </w:r>
          </w:p>
        </w:tc>
        <w:tc>
          <w:tcPr>
            <w:tcW w:w="1129" w:type="dxa"/>
            <w:tcBorders>
              <w:top w:val="single" w:sz="12" w:space="0" w:color="auto"/>
              <w:left w:val="nil"/>
              <w:bottom w:val="nil"/>
              <w:right w:val="single" w:sz="12" w:space="0" w:color="auto"/>
            </w:tcBorders>
            <w:shd w:val="clear" w:color="auto" w:fill="auto"/>
            <w:vAlign w:val="bottom"/>
            <w:hideMark/>
          </w:tcPr>
          <w:p w:rsidR="00F17EA3" w:rsidRPr="00F17EA3" w:rsidRDefault="00F17EA3" w:rsidP="00F17EA3">
            <w:pPr>
              <w:spacing w:after="0" w:line="240" w:lineRule="auto"/>
              <w:jc w:val="center"/>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 xml:space="preserve">Coconut Palm </w:t>
            </w:r>
            <w:proofErr w:type="spellStart"/>
            <w:r w:rsidRPr="00F17EA3">
              <w:rPr>
                <w:rFonts w:ascii="Calibri" w:eastAsia="Times New Roman" w:hAnsi="Calibri" w:cs="Times New Roman"/>
                <w:b/>
                <w:bCs/>
                <w:color w:val="000000"/>
                <w:sz w:val="20"/>
                <w:szCs w:val="20"/>
              </w:rPr>
              <w:t>Rvr</w:t>
            </w:r>
            <w:proofErr w:type="spellEnd"/>
            <w:r w:rsidRPr="00F17EA3">
              <w:rPr>
                <w:rFonts w:ascii="Calibri" w:eastAsia="Times New Roman" w:hAnsi="Calibri" w:cs="Times New Roman"/>
                <w:b/>
                <w:bCs/>
                <w:color w:val="000000"/>
                <w:sz w:val="20"/>
                <w:szCs w:val="20"/>
              </w:rPr>
              <w:t xml:space="preserve"> Bridge @ Ibis Way</w:t>
            </w:r>
          </w:p>
        </w:tc>
      </w:tr>
      <w:tr w:rsidR="00F17EA3" w:rsidRPr="00F17EA3" w:rsidTr="00F17EA3">
        <w:trPr>
          <w:trHeight w:val="390"/>
          <w:jc w:val="center"/>
        </w:trPr>
        <w:tc>
          <w:tcPr>
            <w:tcW w:w="1117" w:type="dxa"/>
            <w:tcBorders>
              <w:top w:val="nil"/>
              <w:left w:val="single" w:sz="12" w:space="0" w:color="auto"/>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STORET #</w:t>
            </w:r>
          </w:p>
        </w:tc>
        <w:tc>
          <w:tcPr>
            <w:tcW w:w="1545"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EVRGWC0077FTM</w:t>
            </w:r>
          </w:p>
        </w:tc>
        <w:tc>
          <w:tcPr>
            <w:tcW w:w="1175"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28030009</w:t>
            </w:r>
          </w:p>
        </w:tc>
        <w:tc>
          <w:tcPr>
            <w:tcW w:w="1105"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28030036</w:t>
            </w:r>
          </w:p>
        </w:tc>
        <w:tc>
          <w:tcPr>
            <w:tcW w:w="1579"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EVRGWC0081FTM</w:t>
            </w:r>
          </w:p>
        </w:tc>
        <w:tc>
          <w:tcPr>
            <w:tcW w:w="1579"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EVRGWC0076FTM</w:t>
            </w:r>
          </w:p>
        </w:tc>
        <w:tc>
          <w:tcPr>
            <w:tcW w:w="1579"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EVRGWC0079FTM</w:t>
            </w:r>
          </w:p>
        </w:tc>
        <w:tc>
          <w:tcPr>
            <w:tcW w:w="1175"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ECOCORIV</w:t>
            </w:r>
          </w:p>
        </w:tc>
        <w:tc>
          <w:tcPr>
            <w:tcW w:w="1175"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BC14</w:t>
            </w:r>
          </w:p>
        </w:tc>
        <w:tc>
          <w:tcPr>
            <w:tcW w:w="1082"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sz w:val="20"/>
                <w:szCs w:val="20"/>
              </w:rPr>
            </w:pPr>
            <w:r w:rsidRPr="00F17EA3">
              <w:rPr>
                <w:rFonts w:ascii="Calibri" w:eastAsia="Times New Roman" w:hAnsi="Calibri" w:cs="Times New Roman"/>
                <w:b/>
                <w:bCs/>
                <w:color w:val="000000"/>
                <w:sz w:val="20"/>
                <w:szCs w:val="20"/>
              </w:rPr>
              <w:t>COCPALM</w:t>
            </w:r>
          </w:p>
        </w:tc>
        <w:tc>
          <w:tcPr>
            <w:tcW w:w="1129" w:type="dxa"/>
            <w:tcBorders>
              <w:top w:val="nil"/>
              <w:left w:val="nil"/>
              <w:bottom w:val="single" w:sz="12" w:space="0" w:color="auto"/>
              <w:right w:val="single" w:sz="12" w:space="0" w:color="auto"/>
            </w:tcBorders>
            <w:shd w:val="clear" w:color="auto" w:fill="auto"/>
            <w:noWrap/>
            <w:vAlign w:val="bottom"/>
            <w:hideMark/>
          </w:tcPr>
          <w:p w:rsidR="00F17EA3" w:rsidRPr="00F17EA3" w:rsidRDefault="00F17EA3" w:rsidP="00F17EA3">
            <w:pPr>
              <w:spacing w:after="0" w:line="240" w:lineRule="auto"/>
              <w:rPr>
                <w:rFonts w:ascii="Calibri" w:eastAsia="Times New Roman" w:hAnsi="Calibri" w:cs="Times New Roman"/>
                <w:b/>
                <w:bCs/>
                <w:color w:val="000000"/>
              </w:rPr>
            </w:pPr>
            <w:r w:rsidRPr="00F17EA3">
              <w:rPr>
                <w:rFonts w:ascii="Calibri" w:eastAsia="Times New Roman" w:hAnsi="Calibri" w:cs="Times New Roman"/>
                <w:b/>
                <w:bCs/>
                <w:color w:val="000000"/>
              </w:rPr>
              <w:t>COC@IBIS</w:t>
            </w:r>
          </w:p>
        </w:tc>
      </w:tr>
      <w:tr w:rsidR="00F17EA3" w:rsidRPr="00F17EA3" w:rsidTr="00F17EA3">
        <w:trPr>
          <w:trHeight w:val="315"/>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12/22/2008</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65</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68</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240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427</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137</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139</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12/29/2008</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77</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105</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1/7/2009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127</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81</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192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354</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1/14/2009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68</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99</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450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1/21/2009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99</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141</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280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22</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1/28/2009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350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280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340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107</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2/4/2009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179</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58</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2/11/2009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76</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117</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153</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15</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46</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2/18/2009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64</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718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116</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370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56</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2/25/2009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34</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736</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3/4/2009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210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94</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3/11/2009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320</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133</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117</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280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3/18/2009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28</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275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5800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372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430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3/25/2009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339</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3600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23</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4/1/2009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782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23</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4/8/2009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23</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74</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4/15/2009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8500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305</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250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636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4500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460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873</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430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5/19/2009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4900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157</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240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490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3400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6/3/2009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580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6/17/2009</w:t>
            </w:r>
          </w:p>
        </w:tc>
        <w:tc>
          <w:tcPr>
            <w:tcW w:w="1545" w:type="dxa"/>
            <w:tcBorders>
              <w:top w:val="nil"/>
              <w:left w:val="single" w:sz="8" w:space="0" w:color="auto"/>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179</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7/1/2009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1030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390</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290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163</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380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270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5300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7/15/2009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54</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390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1240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2200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42</w:t>
            </w:r>
          </w:p>
        </w:tc>
        <w:tc>
          <w:tcPr>
            <w:tcW w:w="1175" w:type="dxa"/>
            <w:tcBorders>
              <w:top w:val="nil"/>
              <w:left w:val="nil"/>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25</w:t>
            </w:r>
          </w:p>
        </w:tc>
        <w:tc>
          <w:tcPr>
            <w:tcW w:w="1082"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56</w:t>
            </w:r>
          </w:p>
        </w:tc>
        <w:tc>
          <w:tcPr>
            <w:tcW w:w="1129" w:type="dxa"/>
            <w:tcBorders>
              <w:top w:val="nil"/>
              <w:left w:val="single" w:sz="8" w:space="0" w:color="auto"/>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4600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7/29/2009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89</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15</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530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4600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580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118</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560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lastRenderedPageBreak/>
              <w:t>8/12/2009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480</w:t>
            </w:r>
          </w:p>
        </w:tc>
        <w:tc>
          <w:tcPr>
            <w:tcW w:w="1175" w:type="dxa"/>
            <w:tcBorders>
              <w:top w:val="nil"/>
              <w:left w:val="nil"/>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5700</w:t>
            </w:r>
          </w:p>
        </w:tc>
        <w:tc>
          <w:tcPr>
            <w:tcW w:w="1105"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573</w:t>
            </w:r>
          </w:p>
        </w:tc>
        <w:tc>
          <w:tcPr>
            <w:tcW w:w="1579"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123</w:t>
            </w:r>
          </w:p>
        </w:tc>
        <w:tc>
          <w:tcPr>
            <w:tcW w:w="1579"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480</w:t>
            </w:r>
          </w:p>
        </w:tc>
        <w:tc>
          <w:tcPr>
            <w:tcW w:w="1579"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2100</w:t>
            </w:r>
          </w:p>
        </w:tc>
        <w:tc>
          <w:tcPr>
            <w:tcW w:w="1175"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260</w:t>
            </w:r>
          </w:p>
        </w:tc>
        <w:tc>
          <w:tcPr>
            <w:tcW w:w="1175"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76</w:t>
            </w:r>
          </w:p>
        </w:tc>
        <w:tc>
          <w:tcPr>
            <w:tcW w:w="1082" w:type="dxa"/>
            <w:tcBorders>
              <w:top w:val="nil"/>
              <w:left w:val="single" w:sz="8" w:space="0" w:color="auto"/>
              <w:bottom w:val="nil"/>
              <w:right w:val="nil"/>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290</w:t>
            </w:r>
          </w:p>
        </w:tc>
        <w:tc>
          <w:tcPr>
            <w:tcW w:w="1129" w:type="dxa"/>
            <w:tcBorders>
              <w:top w:val="nil"/>
              <w:left w:val="single" w:sz="8" w:space="0" w:color="auto"/>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818</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8/26/2009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270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340</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3000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360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280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320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2100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2000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3600</w:t>
            </w:r>
          </w:p>
        </w:tc>
      </w:tr>
      <w:tr w:rsidR="00F17EA3" w:rsidRPr="00F17EA3" w:rsidTr="00F17EA3">
        <w:trPr>
          <w:trHeight w:val="300"/>
          <w:jc w:val="center"/>
        </w:trPr>
        <w:tc>
          <w:tcPr>
            <w:tcW w:w="1117" w:type="dxa"/>
            <w:tcBorders>
              <w:top w:val="nil"/>
              <w:left w:val="single" w:sz="12" w:space="0" w:color="auto"/>
              <w:bottom w:val="single" w:sz="4" w:space="0" w:color="auto"/>
              <w:right w:val="single" w:sz="12"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9/9/2009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34</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430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108</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470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170</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9/23/2009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664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108</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1190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320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3100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380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2200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1140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290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280</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10/7/2009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93</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654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290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213</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220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50</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11/10/2009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36</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98</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23</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12/2/2009</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290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370</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133</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166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23</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147</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1/13/2010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52</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86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54</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25</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2/10/2010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95</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94</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540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33</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54</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3/10/2010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198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54</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210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92</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120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68</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11</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103</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4/7/2010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202</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18</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600</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246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56</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480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40</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148</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25</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5/19/2010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220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240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74</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64</w:t>
            </w:r>
          </w:p>
        </w:tc>
      </w:tr>
      <w:tr w:rsidR="00F17EA3" w:rsidRPr="00F17EA3" w:rsidTr="00F17EA3">
        <w:trPr>
          <w:trHeight w:val="300"/>
          <w:jc w:val="center"/>
        </w:trPr>
        <w:tc>
          <w:tcPr>
            <w:tcW w:w="1117" w:type="dxa"/>
            <w:tcBorders>
              <w:top w:val="nil"/>
              <w:left w:val="single" w:sz="12" w:space="0" w:color="auto"/>
              <w:bottom w:val="single" w:sz="4"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6/23/2010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2900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082"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 </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2000</w:t>
            </w:r>
          </w:p>
        </w:tc>
      </w:tr>
      <w:tr w:rsidR="00F17EA3" w:rsidRPr="00F17EA3" w:rsidTr="00F17EA3">
        <w:trPr>
          <w:trHeight w:val="315"/>
          <w:jc w:val="center"/>
        </w:trPr>
        <w:tc>
          <w:tcPr>
            <w:tcW w:w="1117" w:type="dxa"/>
            <w:tcBorders>
              <w:top w:val="nil"/>
              <w:left w:val="single" w:sz="12" w:space="0" w:color="auto"/>
              <w:bottom w:val="single" w:sz="12" w:space="0" w:color="auto"/>
              <w:right w:val="single" w:sz="8" w:space="0" w:color="auto"/>
            </w:tcBorders>
            <w:shd w:val="clear" w:color="auto" w:fill="auto"/>
            <w:noWrap/>
            <w:vAlign w:val="bottom"/>
            <w:hideMark/>
          </w:tcPr>
          <w:p w:rsidR="00F17EA3" w:rsidRPr="00F17EA3" w:rsidRDefault="00F17EA3" w:rsidP="00F17EA3">
            <w:pPr>
              <w:spacing w:after="0" w:line="240" w:lineRule="auto"/>
              <w:jc w:val="right"/>
              <w:rPr>
                <w:rFonts w:ascii="Calibri" w:eastAsia="Times New Roman" w:hAnsi="Calibri" w:cs="Times New Roman"/>
                <w:b/>
                <w:bCs/>
                <w:color w:val="000000"/>
              </w:rPr>
            </w:pPr>
            <w:r w:rsidRPr="00F17EA3">
              <w:rPr>
                <w:rFonts w:ascii="Calibri" w:eastAsia="Times New Roman" w:hAnsi="Calibri" w:cs="Times New Roman"/>
                <w:b/>
                <w:bCs/>
                <w:color w:val="000000"/>
              </w:rPr>
              <w:t>7/19/2010</w:t>
            </w:r>
          </w:p>
        </w:tc>
        <w:tc>
          <w:tcPr>
            <w:tcW w:w="154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9200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10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579" w:type="dxa"/>
            <w:tcBorders>
              <w:top w:val="nil"/>
              <w:left w:val="nil"/>
              <w:bottom w:val="single" w:sz="12" w:space="0" w:color="auto"/>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1300</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175" w:type="dxa"/>
            <w:tcBorders>
              <w:top w:val="nil"/>
              <w:left w:val="nil"/>
              <w:bottom w:val="nil"/>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did not take</w:t>
            </w:r>
          </w:p>
        </w:tc>
        <w:tc>
          <w:tcPr>
            <w:tcW w:w="1082" w:type="dxa"/>
            <w:tcBorders>
              <w:top w:val="nil"/>
              <w:left w:val="nil"/>
              <w:bottom w:val="single" w:sz="12" w:space="0" w:color="auto"/>
              <w:right w:val="single" w:sz="8"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 </w:t>
            </w:r>
          </w:p>
        </w:tc>
        <w:tc>
          <w:tcPr>
            <w:tcW w:w="1129" w:type="dxa"/>
            <w:tcBorders>
              <w:top w:val="nil"/>
              <w:left w:val="nil"/>
              <w:bottom w:val="nil"/>
              <w:right w:val="single" w:sz="12" w:space="0" w:color="auto"/>
            </w:tcBorders>
            <w:shd w:val="clear" w:color="auto" w:fill="auto"/>
            <w:noWrap/>
            <w:vAlign w:val="bottom"/>
            <w:hideMark/>
          </w:tcPr>
          <w:p w:rsidR="00F17EA3" w:rsidRPr="00F17EA3" w:rsidRDefault="00F17EA3" w:rsidP="00F17EA3">
            <w:pPr>
              <w:spacing w:after="0" w:line="240" w:lineRule="auto"/>
              <w:jc w:val="center"/>
              <w:rPr>
                <w:rFonts w:ascii="Calibri" w:eastAsia="Times New Roman" w:hAnsi="Calibri" w:cs="Times New Roman"/>
                <w:color w:val="000000"/>
              </w:rPr>
            </w:pPr>
            <w:r w:rsidRPr="00F17EA3">
              <w:rPr>
                <w:rFonts w:ascii="Calibri" w:eastAsia="Times New Roman" w:hAnsi="Calibri" w:cs="Times New Roman"/>
                <w:color w:val="000000"/>
              </w:rPr>
              <w:t>2600</w:t>
            </w:r>
          </w:p>
        </w:tc>
      </w:tr>
      <w:tr w:rsidR="00F17EA3" w:rsidRPr="00F17EA3" w:rsidTr="00F17EA3">
        <w:trPr>
          <w:trHeight w:val="330"/>
          <w:jc w:val="center"/>
        </w:trPr>
        <w:tc>
          <w:tcPr>
            <w:tcW w:w="1117" w:type="dxa"/>
            <w:tcBorders>
              <w:top w:val="nil"/>
              <w:left w:val="single" w:sz="12" w:space="0" w:color="auto"/>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rPr>
                <w:rFonts w:ascii="Calibri" w:eastAsia="Times New Roman" w:hAnsi="Calibri" w:cs="Times New Roman"/>
                <w:b/>
                <w:bCs/>
                <w:color w:val="FFFFFF"/>
              </w:rPr>
            </w:pPr>
            <w:r w:rsidRPr="00F17EA3">
              <w:rPr>
                <w:rFonts w:ascii="Calibri" w:eastAsia="Times New Roman" w:hAnsi="Calibri" w:cs="Times New Roman"/>
                <w:b/>
                <w:bCs/>
                <w:color w:val="FFFFFF"/>
              </w:rPr>
              <w:t>Average</w:t>
            </w:r>
          </w:p>
        </w:tc>
        <w:tc>
          <w:tcPr>
            <w:tcW w:w="1545"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852</w:t>
            </w:r>
          </w:p>
        </w:tc>
        <w:tc>
          <w:tcPr>
            <w:tcW w:w="1175"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250</w:t>
            </w:r>
          </w:p>
        </w:tc>
        <w:tc>
          <w:tcPr>
            <w:tcW w:w="1105"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299</w:t>
            </w:r>
          </w:p>
        </w:tc>
        <w:tc>
          <w:tcPr>
            <w:tcW w:w="1579"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254</w:t>
            </w:r>
          </w:p>
        </w:tc>
        <w:tc>
          <w:tcPr>
            <w:tcW w:w="1579"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653</w:t>
            </w:r>
          </w:p>
        </w:tc>
        <w:tc>
          <w:tcPr>
            <w:tcW w:w="1579" w:type="dxa"/>
            <w:tcBorders>
              <w:top w:val="nil"/>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306</w:t>
            </w:r>
          </w:p>
        </w:tc>
        <w:tc>
          <w:tcPr>
            <w:tcW w:w="1175"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651</w:t>
            </w:r>
          </w:p>
        </w:tc>
        <w:tc>
          <w:tcPr>
            <w:tcW w:w="1175"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187</w:t>
            </w:r>
          </w:p>
        </w:tc>
        <w:tc>
          <w:tcPr>
            <w:tcW w:w="1082" w:type="dxa"/>
            <w:tcBorders>
              <w:top w:val="nil"/>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207</w:t>
            </w:r>
          </w:p>
        </w:tc>
        <w:tc>
          <w:tcPr>
            <w:tcW w:w="1129" w:type="dxa"/>
            <w:tcBorders>
              <w:top w:val="single" w:sz="12" w:space="0" w:color="auto"/>
              <w:left w:val="nil"/>
              <w:bottom w:val="single" w:sz="12" w:space="0" w:color="auto"/>
              <w:right w:val="single" w:sz="12" w:space="0" w:color="auto"/>
            </w:tcBorders>
            <w:shd w:val="clear" w:color="000000" w:fill="C00000"/>
            <w:noWrap/>
            <w:vAlign w:val="bottom"/>
            <w:hideMark/>
          </w:tcPr>
          <w:p w:rsidR="00F17EA3" w:rsidRPr="00F17EA3" w:rsidRDefault="00F17EA3" w:rsidP="00F17EA3">
            <w:pPr>
              <w:spacing w:after="0" w:line="240" w:lineRule="auto"/>
              <w:jc w:val="center"/>
              <w:rPr>
                <w:rFonts w:ascii="Calibri" w:eastAsia="Times New Roman" w:hAnsi="Calibri" w:cs="Times New Roman"/>
                <w:b/>
                <w:bCs/>
                <w:color w:val="FFFFFF"/>
              </w:rPr>
            </w:pPr>
            <w:r w:rsidRPr="00F17EA3">
              <w:rPr>
                <w:rFonts w:ascii="Calibri" w:eastAsia="Times New Roman" w:hAnsi="Calibri" w:cs="Times New Roman"/>
                <w:b/>
                <w:bCs/>
                <w:color w:val="FFFFFF"/>
              </w:rPr>
              <w:t>875</w:t>
            </w:r>
          </w:p>
        </w:tc>
      </w:tr>
    </w:tbl>
    <w:p w:rsidR="00C31E95" w:rsidRDefault="00C31E95" w:rsidP="00C31E95">
      <w:pPr>
        <w:rPr>
          <w:rFonts w:ascii="Book Antiqua" w:hAnsi="Book Antiqua"/>
          <w:sz w:val="24"/>
          <w:szCs w:val="24"/>
        </w:rPr>
      </w:pPr>
    </w:p>
    <w:p w:rsidR="00C31E95" w:rsidRDefault="00C31E95" w:rsidP="00C31E95">
      <w:pPr>
        <w:rPr>
          <w:rFonts w:ascii="Book Antiqua" w:hAnsi="Book Antiqua"/>
          <w:sz w:val="24"/>
          <w:szCs w:val="24"/>
        </w:rPr>
      </w:pPr>
    </w:p>
    <w:p w:rsidR="00C31E95" w:rsidRDefault="00C31E95" w:rsidP="00C31E95">
      <w:pPr>
        <w:rPr>
          <w:rFonts w:ascii="Book Antiqua" w:hAnsi="Book Antiqua"/>
          <w:sz w:val="24"/>
          <w:szCs w:val="24"/>
        </w:rPr>
      </w:pPr>
    </w:p>
    <w:p w:rsidR="00C31E95" w:rsidRDefault="00C31E95" w:rsidP="00C31E95">
      <w:pPr>
        <w:rPr>
          <w:rFonts w:ascii="Book Antiqua" w:hAnsi="Book Antiqua"/>
          <w:sz w:val="24"/>
          <w:szCs w:val="24"/>
        </w:rPr>
      </w:pPr>
    </w:p>
    <w:p w:rsidR="00C31E95" w:rsidRDefault="00C31E95" w:rsidP="00C31E95">
      <w:pPr>
        <w:rPr>
          <w:rFonts w:ascii="Book Antiqua" w:hAnsi="Book Antiqua"/>
          <w:sz w:val="24"/>
          <w:szCs w:val="24"/>
        </w:rPr>
      </w:pPr>
    </w:p>
    <w:p w:rsidR="00C31E95" w:rsidRDefault="00C31E95" w:rsidP="00C31E95">
      <w:pPr>
        <w:rPr>
          <w:rFonts w:ascii="Book Antiqua" w:hAnsi="Book Antiqua"/>
          <w:sz w:val="24"/>
          <w:szCs w:val="24"/>
        </w:rPr>
      </w:pPr>
    </w:p>
    <w:p w:rsidR="00C31E95" w:rsidRDefault="00C31E95" w:rsidP="00C31E95">
      <w:pPr>
        <w:rPr>
          <w:rFonts w:ascii="Book Antiqua" w:hAnsi="Book Antiqua"/>
          <w:sz w:val="24"/>
          <w:szCs w:val="24"/>
        </w:rPr>
      </w:pPr>
    </w:p>
    <w:p w:rsidR="00E06CF2" w:rsidRDefault="00E06CF2" w:rsidP="00C31E95">
      <w:pPr>
        <w:rPr>
          <w:rFonts w:ascii="Book Antiqua" w:hAnsi="Book Antiqua"/>
          <w:sz w:val="24"/>
          <w:szCs w:val="24"/>
        </w:rPr>
      </w:pPr>
      <w:r>
        <w:rPr>
          <w:rFonts w:ascii="Book Antiqua" w:hAnsi="Book Antiqua"/>
          <w:noProof/>
          <w:sz w:val="24"/>
          <w:szCs w:val="24"/>
        </w:rPr>
        <w:lastRenderedPageBreak/>
        <w:drawing>
          <wp:inline distT="0" distB="0" distL="0" distR="0">
            <wp:extent cx="8229600" cy="60007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229600" cy="6000750"/>
                    </a:xfrm>
                    <a:prstGeom prst="rect">
                      <a:avLst/>
                    </a:prstGeom>
                    <a:noFill/>
                    <a:ln w="9525">
                      <a:noFill/>
                      <a:miter lim="800000"/>
                      <a:headEnd/>
                      <a:tailEnd/>
                    </a:ln>
                  </pic:spPr>
                </pic:pic>
              </a:graphicData>
            </a:graphic>
          </wp:inline>
        </w:drawing>
      </w:r>
    </w:p>
    <w:p w:rsidR="00E06CF2" w:rsidRDefault="00E06CF2">
      <w:pPr>
        <w:rPr>
          <w:rFonts w:ascii="Book Antiqua" w:hAnsi="Book Antiqua"/>
          <w:sz w:val="24"/>
          <w:szCs w:val="24"/>
        </w:rPr>
      </w:pPr>
      <w:r>
        <w:rPr>
          <w:rFonts w:ascii="Book Antiqua" w:hAnsi="Book Antiqua"/>
          <w:noProof/>
          <w:sz w:val="24"/>
          <w:szCs w:val="24"/>
        </w:rPr>
        <w:lastRenderedPageBreak/>
        <w:drawing>
          <wp:inline distT="0" distB="0" distL="0" distR="0">
            <wp:extent cx="8229600" cy="5598367"/>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0" cy="5598367"/>
                    </a:xfrm>
                    <a:prstGeom prst="rect">
                      <a:avLst/>
                    </a:prstGeom>
                    <a:noFill/>
                    <a:ln w="9525">
                      <a:noFill/>
                      <a:miter lim="800000"/>
                      <a:headEnd/>
                      <a:tailEnd/>
                    </a:ln>
                  </pic:spPr>
                </pic:pic>
              </a:graphicData>
            </a:graphic>
          </wp:inline>
        </w:drawing>
      </w:r>
      <w:r>
        <w:rPr>
          <w:rFonts w:ascii="Book Antiqua" w:hAnsi="Book Antiqua"/>
          <w:sz w:val="24"/>
          <w:szCs w:val="24"/>
        </w:rPr>
        <w:t>Stage 1 Map</w:t>
      </w:r>
      <w:r>
        <w:rPr>
          <w:rFonts w:ascii="Book Antiqua" w:hAnsi="Book Antiqua"/>
          <w:sz w:val="24"/>
          <w:szCs w:val="24"/>
        </w:rPr>
        <w:br w:type="page"/>
      </w:r>
    </w:p>
    <w:p w:rsidR="00C31E95" w:rsidRDefault="00E06CF2" w:rsidP="00C31E95">
      <w:pPr>
        <w:rPr>
          <w:rFonts w:ascii="Book Antiqua" w:hAnsi="Book Antiqua"/>
          <w:sz w:val="24"/>
          <w:szCs w:val="24"/>
        </w:rPr>
      </w:pPr>
      <w:r>
        <w:rPr>
          <w:rFonts w:ascii="Book Antiqua" w:hAnsi="Book Antiqua"/>
          <w:noProof/>
          <w:sz w:val="24"/>
          <w:szCs w:val="24"/>
        </w:rPr>
        <w:lastRenderedPageBreak/>
        <w:drawing>
          <wp:inline distT="0" distB="0" distL="0" distR="0">
            <wp:extent cx="8225841" cy="5372100"/>
            <wp:effectExtent l="19050" t="0" r="3759"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8229600" cy="5374555"/>
                    </a:xfrm>
                    <a:prstGeom prst="rect">
                      <a:avLst/>
                    </a:prstGeom>
                    <a:noFill/>
                    <a:ln w="9525">
                      <a:noFill/>
                      <a:miter lim="800000"/>
                      <a:headEnd/>
                      <a:tailEnd/>
                    </a:ln>
                  </pic:spPr>
                </pic:pic>
              </a:graphicData>
            </a:graphic>
          </wp:inline>
        </w:drawing>
      </w:r>
    </w:p>
    <w:p w:rsidR="00C31E95" w:rsidRPr="004F51B5" w:rsidRDefault="00E06CF2" w:rsidP="004F51B5">
      <w:pPr>
        <w:rPr>
          <w:rFonts w:ascii="Book Antiqua" w:hAnsi="Book Antiqua"/>
          <w:sz w:val="24"/>
          <w:szCs w:val="24"/>
        </w:rPr>
      </w:pPr>
      <w:r>
        <w:rPr>
          <w:rFonts w:ascii="Book Antiqua" w:hAnsi="Book Antiqua"/>
          <w:sz w:val="24"/>
          <w:szCs w:val="24"/>
        </w:rPr>
        <w:t>Stage 2 Map</w:t>
      </w:r>
    </w:p>
    <w:sectPr w:rsidR="00C31E95" w:rsidRPr="004F51B5" w:rsidSect="00F17EA3">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DD8" w:rsidRDefault="00366DD8" w:rsidP="00F17EA3">
      <w:pPr>
        <w:spacing w:after="0" w:line="240" w:lineRule="auto"/>
      </w:pPr>
      <w:r>
        <w:separator/>
      </w:r>
    </w:p>
  </w:endnote>
  <w:endnote w:type="continuationSeparator" w:id="0">
    <w:p w:rsidR="00366DD8" w:rsidRDefault="00366DD8" w:rsidP="00F17E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DD8" w:rsidRDefault="00366DD8" w:rsidP="00F17EA3">
      <w:pPr>
        <w:spacing w:after="0" w:line="240" w:lineRule="auto"/>
      </w:pPr>
      <w:r>
        <w:separator/>
      </w:r>
    </w:p>
  </w:footnote>
  <w:footnote w:type="continuationSeparator" w:id="0">
    <w:p w:rsidR="00366DD8" w:rsidRDefault="00366DD8" w:rsidP="00F17E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26652"/>
    <w:multiLevelType w:val="hybridMultilevel"/>
    <w:tmpl w:val="D44E3310"/>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05B16D8"/>
    <w:multiLevelType w:val="hybridMultilevel"/>
    <w:tmpl w:val="50A07368"/>
    <w:lvl w:ilvl="0" w:tplc="C33C6C26">
      <w:numFmt w:val="bullet"/>
      <w:lvlText w:val="-"/>
      <w:lvlJc w:val="left"/>
      <w:pPr>
        <w:ind w:left="1080" w:hanging="360"/>
      </w:pPr>
      <w:rPr>
        <w:rFonts w:ascii="Book Antiqua" w:eastAsiaTheme="minorHAnsi"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4A34002"/>
    <w:multiLevelType w:val="hybridMultilevel"/>
    <w:tmpl w:val="9A567A74"/>
    <w:lvl w:ilvl="0" w:tplc="6406C028">
      <w:start w:val="1"/>
      <w:numFmt w:val="decimal"/>
      <w:lvlText w:val="%1."/>
      <w:lvlJc w:val="left"/>
      <w:pPr>
        <w:ind w:left="360" w:hanging="36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6FA5EDB"/>
    <w:multiLevelType w:val="hybridMultilevel"/>
    <w:tmpl w:val="75FE1DD0"/>
    <w:lvl w:ilvl="0" w:tplc="6406C02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05694D"/>
    <w:multiLevelType w:val="hybridMultilevel"/>
    <w:tmpl w:val="E52A11B0"/>
    <w:lvl w:ilvl="0" w:tplc="BFB078F6">
      <w:start w:val="43"/>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105637"/>
    <w:multiLevelType w:val="hybridMultilevel"/>
    <w:tmpl w:val="43B4E0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29501A"/>
    <w:multiLevelType w:val="hybridMultilevel"/>
    <w:tmpl w:val="9168E0E6"/>
    <w:lvl w:ilvl="0" w:tplc="31E4756A">
      <w:start w:val="1"/>
      <w:numFmt w:val="bullet"/>
      <w:lvlText w:val=""/>
      <w:lvlJc w:val="left"/>
      <w:pPr>
        <w:tabs>
          <w:tab w:val="num" w:pos="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C7D0C2C"/>
    <w:multiLevelType w:val="hybridMultilevel"/>
    <w:tmpl w:val="68281EC6"/>
    <w:lvl w:ilvl="0" w:tplc="BFB078F6">
      <w:start w:val="43"/>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174E1F"/>
    <w:multiLevelType w:val="hybridMultilevel"/>
    <w:tmpl w:val="A08A651E"/>
    <w:lvl w:ilvl="0" w:tplc="BFB078F6">
      <w:start w:val="43"/>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8A4C7F"/>
    <w:multiLevelType w:val="hybridMultilevel"/>
    <w:tmpl w:val="0A9671C6"/>
    <w:lvl w:ilvl="0" w:tplc="20A00D96">
      <w:start w:val="3"/>
      <w:numFmt w:val="decimal"/>
      <w:pStyle w:val="ListParagraph"/>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58D31A9"/>
    <w:multiLevelType w:val="hybridMultilevel"/>
    <w:tmpl w:val="790C4780"/>
    <w:lvl w:ilvl="0" w:tplc="CEC4B8F0">
      <w:numFmt w:val="bullet"/>
      <w:lvlText w:val="-"/>
      <w:lvlJc w:val="left"/>
      <w:pPr>
        <w:ind w:left="720" w:hanging="360"/>
      </w:pPr>
      <w:rPr>
        <w:rFonts w:ascii="Book Antiqua" w:eastAsiaTheme="minorHAnsi"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5C0944"/>
    <w:multiLevelType w:val="hybridMultilevel"/>
    <w:tmpl w:val="32FEA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3"/>
  </w:num>
  <w:num w:numId="4">
    <w:abstractNumId w:val="2"/>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9"/>
  </w:num>
  <w:num w:numId="9">
    <w:abstractNumId w:val="9"/>
    <w:lvlOverride w:ilvl="0">
      <w:startOverride w:val="3"/>
    </w:lvlOverride>
  </w:num>
  <w:num w:numId="10">
    <w:abstractNumId w:val="7"/>
  </w:num>
  <w:num w:numId="11">
    <w:abstractNumId w:val="8"/>
  </w:num>
  <w:num w:numId="12">
    <w:abstractNumId w:val="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F51B5"/>
    <w:rsid w:val="000C79CF"/>
    <w:rsid w:val="00366DD8"/>
    <w:rsid w:val="00372579"/>
    <w:rsid w:val="00495296"/>
    <w:rsid w:val="004F51B5"/>
    <w:rsid w:val="0061534A"/>
    <w:rsid w:val="00631739"/>
    <w:rsid w:val="006657C7"/>
    <w:rsid w:val="006E73D7"/>
    <w:rsid w:val="007A5CBE"/>
    <w:rsid w:val="00956EBC"/>
    <w:rsid w:val="00995D6B"/>
    <w:rsid w:val="00A30426"/>
    <w:rsid w:val="00C31E95"/>
    <w:rsid w:val="00C433BB"/>
    <w:rsid w:val="00D86AB4"/>
    <w:rsid w:val="00E06CF2"/>
    <w:rsid w:val="00E41968"/>
    <w:rsid w:val="00F17EA3"/>
    <w:rsid w:val="00F240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0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1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E95"/>
    <w:rPr>
      <w:rFonts w:ascii="Tahoma" w:hAnsi="Tahoma" w:cs="Tahoma"/>
      <w:sz w:val="16"/>
      <w:szCs w:val="16"/>
    </w:rPr>
  </w:style>
  <w:style w:type="paragraph" w:styleId="ListParagraph">
    <w:name w:val="List Paragraph"/>
    <w:basedOn w:val="Normal"/>
    <w:uiPriority w:val="34"/>
    <w:qFormat/>
    <w:rsid w:val="00372579"/>
    <w:pPr>
      <w:numPr>
        <w:numId w:val="8"/>
      </w:numPr>
      <w:spacing w:after="0" w:line="240" w:lineRule="auto"/>
      <w:ind w:left="0" w:firstLine="0"/>
      <w:contextualSpacing/>
    </w:pPr>
    <w:rPr>
      <w:rFonts w:ascii="Book Antiqua" w:hAnsi="Book Antiqua" w:cs="Arial"/>
      <w:sz w:val="24"/>
      <w:szCs w:val="24"/>
    </w:rPr>
  </w:style>
</w:styles>
</file>

<file path=word/webSettings.xml><?xml version="1.0" encoding="utf-8"?>
<w:webSettings xmlns:r="http://schemas.openxmlformats.org/officeDocument/2006/relationships" xmlns:w="http://schemas.openxmlformats.org/wordprocessingml/2006/main">
  <w:divs>
    <w:div w:id="181895072">
      <w:bodyDiv w:val="1"/>
      <w:marLeft w:val="0"/>
      <w:marRight w:val="0"/>
      <w:marTop w:val="0"/>
      <w:marBottom w:val="0"/>
      <w:divBdr>
        <w:top w:val="none" w:sz="0" w:space="0" w:color="auto"/>
        <w:left w:val="none" w:sz="0" w:space="0" w:color="auto"/>
        <w:bottom w:val="none" w:sz="0" w:space="0" w:color="auto"/>
        <w:right w:val="none" w:sz="0" w:space="0" w:color="auto"/>
      </w:divBdr>
    </w:div>
    <w:div w:id="188379236">
      <w:bodyDiv w:val="1"/>
      <w:marLeft w:val="0"/>
      <w:marRight w:val="0"/>
      <w:marTop w:val="0"/>
      <w:marBottom w:val="0"/>
      <w:divBdr>
        <w:top w:val="none" w:sz="0" w:space="0" w:color="auto"/>
        <w:left w:val="none" w:sz="0" w:space="0" w:color="auto"/>
        <w:bottom w:val="none" w:sz="0" w:space="0" w:color="auto"/>
        <w:right w:val="none" w:sz="0" w:space="0" w:color="auto"/>
      </w:divBdr>
    </w:div>
    <w:div w:id="619337032">
      <w:bodyDiv w:val="1"/>
      <w:marLeft w:val="0"/>
      <w:marRight w:val="0"/>
      <w:marTop w:val="0"/>
      <w:marBottom w:val="0"/>
      <w:divBdr>
        <w:top w:val="none" w:sz="0" w:space="0" w:color="auto"/>
        <w:left w:val="none" w:sz="0" w:space="0" w:color="auto"/>
        <w:bottom w:val="none" w:sz="0" w:space="0" w:color="auto"/>
        <w:right w:val="none" w:sz="0" w:space="0" w:color="auto"/>
      </w:divBdr>
    </w:div>
    <w:div w:id="789595218">
      <w:bodyDiv w:val="1"/>
      <w:marLeft w:val="0"/>
      <w:marRight w:val="0"/>
      <w:marTop w:val="0"/>
      <w:marBottom w:val="0"/>
      <w:divBdr>
        <w:top w:val="none" w:sz="0" w:space="0" w:color="auto"/>
        <w:left w:val="none" w:sz="0" w:space="0" w:color="auto"/>
        <w:bottom w:val="none" w:sz="0" w:space="0" w:color="auto"/>
        <w:right w:val="none" w:sz="0" w:space="0" w:color="auto"/>
      </w:divBdr>
    </w:div>
    <w:div w:id="908807989">
      <w:bodyDiv w:val="1"/>
      <w:marLeft w:val="0"/>
      <w:marRight w:val="0"/>
      <w:marTop w:val="0"/>
      <w:marBottom w:val="0"/>
      <w:divBdr>
        <w:top w:val="none" w:sz="0" w:space="0" w:color="auto"/>
        <w:left w:val="none" w:sz="0" w:space="0" w:color="auto"/>
        <w:bottom w:val="none" w:sz="0" w:space="0" w:color="auto"/>
        <w:right w:val="none" w:sz="0" w:space="0" w:color="auto"/>
      </w:divBdr>
    </w:div>
    <w:div w:id="974026197">
      <w:bodyDiv w:val="1"/>
      <w:marLeft w:val="0"/>
      <w:marRight w:val="0"/>
      <w:marTop w:val="0"/>
      <w:marBottom w:val="0"/>
      <w:divBdr>
        <w:top w:val="none" w:sz="0" w:space="0" w:color="auto"/>
        <w:left w:val="none" w:sz="0" w:space="0" w:color="auto"/>
        <w:bottom w:val="none" w:sz="0" w:space="0" w:color="auto"/>
        <w:right w:val="none" w:sz="0" w:space="0" w:color="auto"/>
      </w:divBdr>
    </w:div>
    <w:div w:id="1600944464">
      <w:bodyDiv w:val="1"/>
      <w:marLeft w:val="0"/>
      <w:marRight w:val="0"/>
      <w:marTop w:val="0"/>
      <w:marBottom w:val="0"/>
      <w:divBdr>
        <w:top w:val="none" w:sz="0" w:space="0" w:color="auto"/>
        <w:left w:val="none" w:sz="0" w:space="0" w:color="auto"/>
        <w:bottom w:val="none" w:sz="0" w:space="0" w:color="auto"/>
        <w:right w:val="none" w:sz="0" w:space="0" w:color="auto"/>
      </w:divBdr>
    </w:div>
    <w:div w:id="209796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8</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neurohr_j</dc:creator>
  <cp:lastModifiedBy>neurohr_j</cp:lastModifiedBy>
  <cp:revision>4</cp:revision>
  <dcterms:created xsi:type="dcterms:W3CDTF">2013-11-18T13:09:00Z</dcterms:created>
  <dcterms:modified xsi:type="dcterms:W3CDTF">2013-11-21T18:58:00Z</dcterms:modified>
</cp:coreProperties>
</file>