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4C" w:rsidRDefault="006A5C4C"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Default="0009132C" w:rsidP="006A5C4C">
      <w:pPr>
        <w:pStyle w:val="NoSpacing"/>
      </w:pPr>
      <w:r>
        <w:t>Analytic Tools for Planning</w:t>
      </w:r>
    </w:p>
    <w:p w:rsidR="006A5C4C" w:rsidRDefault="006A5C4C"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BF18A0" w:rsidP="006A5C4C">
      <w:pPr>
        <w:pStyle w:val="NoSpacing"/>
      </w:pPr>
      <w:hyperlink r:id="rId5"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  Director</w:t>
      </w:r>
    </w:p>
    <w:p w:rsidR="00B46217" w:rsidRDefault="00B46217" w:rsidP="006A5C4C">
      <w:pPr>
        <w:pStyle w:val="NoSpacing"/>
      </w:pPr>
      <w:r>
        <w:t>Sarasota Bay Estuary Program</w:t>
      </w:r>
    </w:p>
    <w:p w:rsidR="00B46217" w:rsidRDefault="00BF18A0" w:rsidP="006A5C4C">
      <w:pPr>
        <w:pStyle w:val="NoSpacing"/>
      </w:pPr>
      <w:hyperlink r:id="rId6"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BF18A0" w:rsidP="006A5C4C">
      <w:pPr>
        <w:pStyle w:val="NoSpacing"/>
      </w:pPr>
      <w:hyperlink r:id="rId7" w:history="1">
        <w:r w:rsidR="00B46217" w:rsidRPr="00590095">
          <w:rPr>
            <w:rStyle w:val="Hyperlink"/>
          </w:rPr>
          <w:t>lbeever@swfrpc.org</w:t>
        </w:r>
      </w:hyperlink>
    </w:p>
    <w:p w:rsidR="00B46217" w:rsidRPr="00B46217" w:rsidRDefault="002F4FBB" w:rsidP="006A5C4C">
      <w:pPr>
        <w:pStyle w:val="NoSpacing"/>
      </w:pPr>
      <w:r>
        <w:t>239-338-2556  ext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B63A48" w:rsidRDefault="008F6824" w:rsidP="008371AA">
      <w:pPr>
        <w:autoSpaceDE w:val="0"/>
        <w:autoSpaceDN w:val="0"/>
        <w:adjustRightInd w:val="0"/>
        <w:spacing w:after="0" w:line="240" w:lineRule="auto"/>
      </w:pPr>
      <w:r>
        <w:t>The entire Gulf of Mexico and its coast.</w:t>
      </w:r>
    </w:p>
    <w:p w:rsidR="00B63A48" w:rsidRDefault="00B63A48" w:rsidP="006A5C4C">
      <w:pPr>
        <w:pStyle w:val="NoSpacing"/>
      </w:pPr>
    </w:p>
    <w:p w:rsidR="006A5C4C" w:rsidRDefault="006A5C4C" w:rsidP="006A5C4C">
      <w:pPr>
        <w:pStyle w:val="NoSpacing"/>
      </w:pPr>
      <w:r w:rsidRPr="00C861C8">
        <w:rPr>
          <w:b/>
        </w:rPr>
        <w:t>Project Description</w:t>
      </w:r>
      <w:r>
        <w:t xml:space="preserve">  (describe all aspects of the project)</w:t>
      </w:r>
    </w:p>
    <w:p w:rsidR="002F628E" w:rsidRDefault="002F628E" w:rsidP="002F628E">
      <w:pPr>
        <w:pStyle w:val="NoSpacing"/>
        <w:spacing w:after="240"/>
      </w:pPr>
      <w:r>
        <w:t xml:space="preserve">The </w:t>
      </w:r>
      <w:r>
        <w:rPr>
          <w:i/>
          <w:iCs/>
        </w:rPr>
        <w:t>Analytic Tools for Planning</w:t>
      </w:r>
      <w:r>
        <w:t xml:space="preserve"> directly supports the State’s Priority Area 2 (Community resilience/living shorelines) and a State of Florida's priority specified in the </w:t>
      </w:r>
      <w:r w:rsidRPr="00A65E80">
        <w:rPr>
          <w:i/>
        </w:rPr>
        <w:t>Gulf of Mexico Regional Ecosystem Restoration Strategy</w:t>
      </w:r>
      <w:r>
        <w:t xml:space="preserve">. </w:t>
      </w:r>
    </w:p>
    <w:p w:rsidR="0009132C" w:rsidRPr="001F19FE" w:rsidRDefault="0009132C" w:rsidP="0009132C">
      <w:pPr>
        <w:tabs>
          <w:tab w:val="left" w:pos="360"/>
        </w:tabs>
        <w:rPr>
          <w:color w:val="000000"/>
        </w:rPr>
      </w:pPr>
      <w:r w:rsidRPr="001F19FE">
        <w:rPr>
          <w:szCs w:val="28"/>
        </w:rPr>
        <w:t xml:space="preserve">Improve knowledge of the economic value of environmental services provided by the Gulf of Mexico </w:t>
      </w:r>
      <w:r>
        <w:rPr>
          <w:szCs w:val="28"/>
        </w:rPr>
        <w:t xml:space="preserve">(GOM) </w:t>
      </w:r>
      <w:r w:rsidRPr="001F19FE">
        <w:rPr>
          <w:szCs w:val="28"/>
        </w:rPr>
        <w:t xml:space="preserve">resources in terms of long-term community sustainability, growth and </w:t>
      </w:r>
      <w:r>
        <w:rPr>
          <w:szCs w:val="28"/>
        </w:rPr>
        <w:t>r</w:t>
      </w:r>
      <w:r w:rsidRPr="001F19FE">
        <w:rPr>
          <w:szCs w:val="28"/>
        </w:rPr>
        <w:t>esilience.</w:t>
      </w:r>
      <w:r w:rsidRPr="001F19FE">
        <w:rPr>
          <w:color w:val="000000"/>
        </w:rPr>
        <w:t xml:space="preserve"> This project will identify the r</w:t>
      </w:r>
      <w:r w:rsidRPr="001F19FE">
        <w:t>ange and quantity of ecosystem services provided by existing conservation areas, including marine, estuarine and freshwater wetlands and associated native uplands, and determine how the relative abundance of wetlands and native uplands, their distribution and position in the landscape, and their ecological condition affects the provisioning of ecosystem services</w:t>
      </w:r>
      <w:r w:rsidRPr="001F19FE">
        <w:rPr>
          <w:color w:val="000000"/>
        </w:rPr>
        <w:t>.</w:t>
      </w:r>
    </w:p>
    <w:p w:rsidR="00611822" w:rsidRDefault="0009132C">
      <w:pPr>
        <w:pStyle w:val="Default"/>
      </w:pPr>
      <w:r w:rsidRPr="001F19FE">
        <w:t xml:space="preserve">The project will expand upon the assessment methods utilized in the study </w:t>
      </w:r>
      <w:r w:rsidR="004E2080" w:rsidRPr="004E2080">
        <w:rPr>
          <w:i/>
          <w:color w:val="auto"/>
        </w:rPr>
        <w:t>Measuring and Forecasting Total Ecosystem Services Values (TEV) from Habitat Condition Analyses of Habitats in Southwest Florida : The ECOSERVE Method</w:t>
      </w:r>
      <w:r w:rsidRPr="001F19FE">
        <w:t>,</w:t>
      </w:r>
      <w:r w:rsidRPr="001F19FE">
        <w:rPr>
          <w:i/>
        </w:rPr>
        <w:t xml:space="preserve"> </w:t>
      </w:r>
      <w:r w:rsidRPr="001F19FE">
        <w:t xml:space="preserve">linking the derived ecosystem function measurements with a geo-spatially positioned ecosystem services database. This will generate an ecosystem services topography (ECOSERVE layer) that can be combined with other ecosystem </w:t>
      </w:r>
      <w:r w:rsidRPr="001F19FE">
        <w:lastRenderedPageBreak/>
        <w:t>services layers for functional analyses by geographic boundary (watershed, municipality, county, etc.) and will generate projected alternate futures of ecosystem services resulting from land use changes, anticipated climate changes, natural and man-made disasters, the implementation of alternative wetland protection and land conservation programs, and null hypothesis futures of build-out landscapes in the current planning and regulatory environment.</w:t>
      </w:r>
    </w:p>
    <w:p w:rsidR="00F81D8E" w:rsidRDefault="00F81D8E">
      <w:pPr>
        <w:pStyle w:val="Default"/>
      </w:pPr>
    </w:p>
    <w:p w:rsidR="006A5C4C" w:rsidRDefault="0009132C" w:rsidP="0009132C">
      <w:pPr>
        <w:pStyle w:val="NoSpacing"/>
      </w:pPr>
      <w:r w:rsidRPr="001F19FE">
        <w:t xml:space="preserve">Products of the study will include updated valuations of the ecosystem services provided by existing conservation lands in the </w:t>
      </w:r>
      <w:r>
        <w:t>G</w:t>
      </w:r>
      <w:r w:rsidR="00A65E80">
        <w:t>ulf of Mexico</w:t>
      </w:r>
      <w:r w:rsidRPr="001F19FE">
        <w:t xml:space="preserve">; an updated conservation lands mapping of the project study area; a documentation and quantification of the ecosystem services provided by each habitat type; multiple GIS ECOSERVE layers/GIS maps for the many ecosystem services provided by the various wetland and upland types; and analyses and quantification of current and alternate future ECOSERVE landscapes, and a basis for estimating existing and post-disaster ecosystem services for damages evaluation in the </w:t>
      </w:r>
      <w:r w:rsidR="00A65E80">
        <w:t>Gulf of Mexico</w:t>
      </w:r>
      <w:r w:rsidRPr="001F19FE">
        <w:t>.</w:t>
      </w:r>
    </w:p>
    <w:p w:rsidR="00E51630" w:rsidRDefault="00E51630" w:rsidP="0009132C">
      <w:pPr>
        <w:pStyle w:val="NoSpacing"/>
      </w:pPr>
    </w:p>
    <w:p w:rsidR="00E51630" w:rsidRDefault="00E51630" w:rsidP="0009132C">
      <w:pPr>
        <w:pStyle w:val="NoSpacing"/>
      </w:pPr>
      <w:r>
        <w:t>Deliverables will include:</w:t>
      </w:r>
    </w:p>
    <w:p w:rsidR="00E51630" w:rsidRPr="00B1789D" w:rsidRDefault="00E51630" w:rsidP="00E51630">
      <w:pPr>
        <w:numPr>
          <w:ilvl w:val="0"/>
          <w:numId w:val="3"/>
        </w:numPr>
        <w:tabs>
          <w:tab w:val="left" w:pos="360"/>
        </w:tabs>
        <w:autoSpaceDE w:val="0"/>
        <w:autoSpaceDN w:val="0"/>
        <w:adjustRightInd w:val="0"/>
        <w:spacing w:after="0"/>
        <w:rPr>
          <w:color w:val="000000"/>
        </w:rPr>
      </w:pPr>
      <w:r w:rsidRPr="00B1789D">
        <w:rPr>
          <w:color w:val="000000"/>
        </w:rPr>
        <w:t>Extensive GIS mapping of the current conservation area wetland and upland extents and types, in the project study area,</w:t>
      </w:r>
    </w:p>
    <w:p w:rsidR="00E51630" w:rsidRPr="00B1789D" w:rsidRDefault="00E51630" w:rsidP="00E51630">
      <w:pPr>
        <w:numPr>
          <w:ilvl w:val="0"/>
          <w:numId w:val="3"/>
        </w:numPr>
        <w:tabs>
          <w:tab w:val="left" w:pos="360"/>
        </w:tabs>
        <w:autoSpaceDE w:val="0"/>
        <w:autoSpaceDN w:val="0"/>
        <w:adjustRightInd w:val="0"/>
        <w:spacing w:after="0"/>
      </w:pPr>
      <w:r w:rsidRPr="00B1789D">
        <w:rPr>
          <w:color w:val="000000"/>
        </w:rPr>
        <w:t>Analyses of ecosystem services provided by those wetlands with identification of techniques and procedures that utilize</w:t>
      </w:r>
      <w:r w:rsidRPr="00B1789D">
        <w:t xml:space="preserve"> wetland ecological condition indicators and related data to quantify wetland ecosystem services delivery,</w:t>
      </w:r>
    </w:p>
    <w:p w:rsidR="00E51630" w:rsidRPr="00B1789D" w:rsidRDefault="00E51630" w:rsidP="00E51630">
      <w:pPr>
        <w:numPr>
          <w:ilvl w:val="0"/>
          <w:numId w:val="3"/>
        </w:numPr>
        <w:tabs>
          <w:tab w:val="left" w:pos="360"/>
        </w:tabs>
        <w:autoSpaceDE w:val="0"/>
        <w:autoSpaceDN w:val="0"/>
        <w:adjustRightInd w:val="0"/>
        <w:spacing w:after="0"/>
      </w:pPr>
      <w:r w:rsidRPr="00B1789D">
        <w:t>Development of an Arc View-friendly protocol for statistical and geographic analysis and interpretation can be used with the types of data generated by surveys of wetland ecological condition indicators to quantify ecosystem services generated in a specific geographic area (e.g., watershed, municipality, county),</w:t>
      </w:r>
    </w:p>
    <w:p w:rsidR="00E51630" w:rsidRPr="00B1789D" w:rsidRDefault="00E51630" w:rsidP="00E51630">
      <w:pPr>
        <w:numPr>
          <w:ilvl w:val="0"/>
          <w:numId w:val="3"/>
        </w:numPr>
        <w:tabs>
          <w:tab w:val="left" w:pos="360"/>
        </w:tabs>
        <w:spacing w:after="0"/>
      </w:pPr>
      <w:r w:rsidRPr="00B1789D">
        <w:t xml:space="preserve">An accurate and up to date wetland spatial information necessary to quantitatively measure ecosystem services provided by wetlands, </w:t>
      </w:r>
    </w:p>
    <w:p w:rsidR="00E51630" w:rsidRPr="00B1789D" w:rsidRDefault="00E51630" w:rsidP="00E51630">
      <w:pPr>
        <w:numPr>
          <w:ilvl w:val="0"/>
          <w:numId w:val="3"/>
        </w:numPr>
        <w:tabs>
          <w:tab w:val="left" w:pos="360"/>
        </w:tabs>
        <w:spacing w:after="0"/>
      </w:pPr>
      <w:r w:rsidRPr="00B1789D">
        <w:t xml:space="preserve">A </w:t>
      </w:r>
      <w:r w:rsidRPr="00B1789D">
        <w:rPr>
          <w:color w:val="000000"/>
        </w:rPr>
        <w:t>quantification of observed wetland condition data linked to ecosystem services and their contribution to human well-being,</w:t>
      </w:r>
    </w:p>
    <w:p w:rsidR="00E51630" w:rsidRPr="00B1789D" w:rsidRDefault="00E51630" w:rsidP="00E51630">
      <w:pPr>
        <w:numPr>
          <w:ilvl w:val="0"/>
          <w:numId w:val="3"/>
        </w:numPr>
        <w:tabs>
          <w:tab w:val="left" w:pos="360"/>
        </w:tabs>
        <w:spacing w:after="0"/>
      </w:pPr>
      <w:r w:rsidRPr="00B1789D">
        <w:t xml:space="preserve">A </w:t>
      </w:r>
      <w:r w:rsidRPr="00B1789D">
        <w:rPr>
          <w:color w:val="000000"/>
        </w:rPr>
        <w:t>quantification of the pollution-prevention or mitigation services (e.g., chemical pollutant removal, sediment removal)provided by wetland ecosystems vs. the cost of providing them through built infrastructure,</w:t>
      </w:r>
    </w:p>
    <w:p w:rsidR="00E51630" w:rsidRPr="00B1789D" w:rsidRDefault="00E51630" w:rsidP="00E51630">
      <w:pPr>
        <w:numPr>
          <w:ilvl w:val="0"/>
          <w:numId w:val="3"/>
        </w:numPr>
        <w:tabs>
          <w:tab w:val="left" w:pos="360"/>
        </w:tabs>
        <w:spacing w:after="0"/>
      </w:pPr>
      <w:r w:rsidRPr="00B1789D">
        <w:t xml:space="preserve">A </w:t>
      </w:r>
      <w:r w:rsidRPr="00B1789D">
        <w:rPr>
          <w:color w:val="000000"/>
        </w:rPr>
        <w:t>quantification of the amount of food or fiber produced per unit area in areas well-protected by wetlands vs. that of poorly protected or unprotected areas,</w:t>
      </w:r>
    </w:p>
    <w:p w:rsidR="00E51630" w:rsidRPr="00B1789D" w:rsidRDefault="00E51630" w:rsidP="00E51630">
      <w:pPr>
        <w:numPr>
          <w:ilvl w:val="0"/>
          <w:numId w:val="3"/>
        </w:numPr>
        <w:tabs>
          <w:tab w:val="left" w:pos="360"/>
        </w:tabs>
        <w:spacing w:after="0"/>
        <w:rPr>
          <w:color w:val="000000"/>
        </w:rPr>
      </w:pPr>
      <w:r w:rsidRPr="00B1789D">
        <w:rPr>
          <w:color w:val="000000"/>
        </w:rPr>
        <w:t>The economic value of recreational opportunities provided by a specific wetland provision or protection of fishable/swimmable water),</w:t>
      </w:r>
    </w:p>
    <w:p w:rsidR="00E51630" w:rsidRPr="00B1789D" w:rsidRDefault="00E51630" w:rsidP="00E51630">
      <w:pPr>
        <w:numPr>
          <w:ilvl w:val="0"/>
          <w:numId w:val="3"/>
        </w:numPr>
        <w:tabs>
          <w:tab w:val="left" w:pos="360"/>
        </w:tabs>
        <w:autoSpaceDE w:val="0"/>
        <w:autoSpaceDN w:val="0"/>
        <w:adjustRightInd w:val="0"/>
        <w:spacing w:after="0"/>
      </w:pPr>
      <w:r w:rsidRPr="00B1789D">
        <w:rPr>
          <w:color w:val="000000"/>
        </w:rPr>
        <w:t>Construction costs avoided by the presence of wetlands that slow and absorb floodwaters (flow mitigation or flood control) (output of grant tabulation),</w:t>
      </w:r>
    </w:p>
    <w:p w:rsidR="00E51630" w:rsidRPr="00B1789D" w:rsidRDefault="00E51630" w:rsidP="00E51630">
      <w:pPr>
        <w:numPr>
          <w:ilvl w:val="0"/>
          <w:numId w:val="3"/>
        </w:numPr>
        <w:tabs>
          <w:tab w:val="left" w:pos="360"/>
        </w:tabs>
        <w:autoSpaceDE w:val="0"/>
        <w:autoSpaceDN w:val="0"/>
        <w:adjustRightInd w:val="0"/>
        <w:spacing w:after="0"/>
      </w:pPr>
      <w:r w:rsidRPr="00B1789D">
        <w:t>Approaches to statistical and geographic analysis and interpretation that can be used to quantify the relative importance of perturbation stressors (e.g., agriculture, hydrologic alteration, development, climate change) that impact wetlands and the ecological services they provide,</w:t>
      </w:r>
    </w:p>
    <w:p w:rsidR="00E51630" w:rsidRPr="00B1789D" w:rsidRDefault="00E51630" w:rsidP="00E51630">
      <w:pPr>
        <w:numPr>
          <w:ilvl w:val="0"/>
          <w:numId w:val="3"/>
        </w:numPr>
        <w:tabs>
          <w:tab w:val="left" w:pos="360"/>
        </w:tabs>
        <w:autoSpaceDE w:val="0"/>
        <w:autoSpaceDN w:val="0"/>
        <w:adjustRightInd w:val="0"/>
        <w:spacing w:after="0"/>
      </w:pPr>
      <w:r w:rsidRPr="00B1789D">
        <w:lastRenderedPageBreak/>
        <w:t xml:space="preserve">Useful and practicable indicators for assessing wetland ecosystem services delivery and that present creative and innovative applications of statistical and geographic analysis and interpretation to provide new information on wetland ecosystem services,  wetland condition surveys, and </w:t>
      </w:r>
    </w:p>
    <w:p w:rsidR="00E51630" w:rsidRDefault="00E51630" w:rsidP="00E51630">
      <w:pPr>
        <w:pStyle w:val="NoSpacing"/>
        <w:numPr>
          <w:ilvl w:val="0"/>
          <w:numId w:val="3"/>
        </w:numPr>
      </w:pPr>
      <w:r w:rsidRPr="00CE4948">
        <w:t>A tool that can be used to develop regionally relevant ecosystem services measurement and assessment programs and that can be used to assist in implementing efficient and effective decisions-making by local and regional regulatory, mitigation, enforcement programs.</w:t>
      </w:r>
    </w:p>
    <w:p w:rsidR="0009132C" w:rsidRDefault="0009132C" w:rsidP="0009132C">
      <w:pPr>
        <w:pStyle w:val="NoSpacing"/>
      </w:pPr>
    </w:p>
    <w:p w:rsidR="006A5C4C" w:rsidRDefault="006A5C4C" w:rsidP="006A5C4C">
      <w:pPr>
        <w:pStyle w:val="NoSpacing"/>
      </w:pPr>
      <w:r w:rsidRPr="00C861C8">
        <w:rPr>
          <w:b/>
        </w:rPr>
        <w:t>Estimated Project Costs</w:t>
      </w:r>
      <w:r>
        <w:t xml:space="preserve">  (describe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EB55D4" w:rsidRDefault="00A65E80" w:rsidP="006A5C4C">
      <w:pPr>
        <w:pStyle w:val="NoSpacing"/>
      </w:pPr>
      <w:r>
        <w:t>$500,000</w:t>
      </w:r>
      <w:r w:rsidR="00D626B1">
        <w:t>, within the first three years of the program</w:t>
      </w:r>
      <w:r w:rsidR="009A1E1B">
        <w:t>.</w:t>
      </w:r>
    </w:p>
    <w:p w:rsidR="00EB55D4" w:rsidRDefault="00EB55D4"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
    <w:p w:rsidR="006A5C4C" w:rsidRDefault="006A5C4C" w:rsidP="006A5C4C">
      <w:pPr>
        <w:pStyle w:val="NoSpacing"/>
      </w:pPr>
    </w:p>
    <w:p w:rsidR="006A5C4C" w:rsidRDefault="00A65E80" w:rsidP="006A5C4C">
      <w:pPr>
        <w:pStyle w:val="NoSpacing"/>
      </w:pPr>
      <w:r>
        <w:t>None identified at this time.</w:t>
      </w: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A65E80" w:rsidP="00A65E80">
      <w:pPr>
        <w:pStyle w:val="Default"/>
      </w:pPr>
      <w:r>
        <w:t>A pilot of this approach was completed within the Charlotte Harbor National Estuary Program (CHNEP) study area. The 2013 document is entitled "</w:t>
      </w:r>
      <w:r w:rsidRPr="00A65E80">
        <w:t xml:space="preserve">Estimating and Forecasting Ecosystem Services within Pine Island Sound, Sanibel Island, Captiva Island, North Captiva Island, Cayo Costa Island, Useppa Island, Other Islands of the Sound, and the Nearshore Gulf of Mexico " </w:t>
      </w:r>
      <w:r>
        <w:t xml:space="preserve">The final product can be seen at </w:t>
      </w:r>
      <w:r w:rsidRPr="00A65E80">
        <w:t>www.swfrpc.org/content/Natural_Resources/Ecosystem_Services/20130204_Estimating_and_Forecasting_Ecosystem_Services_complete.pdf</w:t>
      </w:r>
      <w:r>
        <w:t xml:space="preserve">. </w:t>
      </w: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A65E80" w:rsidRPr="00A65E80" w:rsidRDefault="00A65E80" w:rsidP="00A65E80">
      <w:pPr>
        <w:pStyle w:val="NoSpacing"/>
      </w:pPr>
      <w:r>
        <w:t xml:space="preserve">This tool will assist local, state and federal decision-making in meeting key components of the </w:t>
      </w:r>
      <w:r w:rsidRPr="00A65E80">
        <w:rPr>
          <w:i/>
        </w:rPr>
        <w:t>Gulf of Mexico Regional Ecosystem Restoration Strategy</w:t>
      </w:r>
      <w:r>
        <w:t>.  It will critical to help p</w:t>
      </w:r>
      <w:r w:rsidRPr="00A65E80">
        <w:t xml:space="preserve">rioritize ecosystem restoration in the Gulf of Mexico by ensuring that social, environmental and economic outcomes are fully considered in all </w:t>
      </w:r>
      <w:r>
        <w:t xml:space="preserve">coastal </w:t>
      </w:r>
      <w:r w:rsidRPr="00A65E80">
        <w:t>management decisions, and by placing it on equal footing with other priorities such as navigation and flood damage risk reduction.</w:t>
      </w:r>
    </w:p>
    <w:p w:rsidR="00A65E80" w:rsidRDefault="00A65E80" w:rsidP="006A5C4C">
      <w:pPr>
        <w:pStyle w:val="NoSpacing"/>
      </w:pPr>
      <w:r>
        <w:t xml:space="preserve">. </w:t>
      </w:r>
    </w:p>
    <w:p w:rsidR="007A0E62" w:rsidRDefault="007A0E62" w:rsidP="006A5C4C">
      <w:pPr>
        <w:pStyle w:val="NoSpacing"/>
      </w:pPr>
    </w:p>
    <w:p w:rsidR="006A5C4C" w:rsidRDefault="006A5C4C" w:rsidP="006A5C4C">
      <w:pPr>
        <w:pStyle w:val="NoSpacing"/>
      </w:pPr>
      <w:r w:rsidRPr="00C861C8">
        <w:rPr>
          <w:b/>
        </w:rPr>
        <w:lastRenderedPageBreak/>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6A5C4C" w:rsidRDefault="00A65E80" w:rsidP="006A5C4C">
      <w:pPr>
        <w:pStyle w:val="NoSpacing"/>
      </w:pPr>
      <w:r w:rsidRPr="00CF68A3">
        <w:t xml:space="preserve">In 2003, Florida’s direct </w:t>
      </w:r>
      <w:r>
        <w:t>o</w:t>
      </w:r>
      <w:r w:rsidRPr="00CF68A3">
        <w:t xml:space="preserve">cean </w:t>
      </w:r>
      <w:r>
        <w:t>e</w:t>
      </w:r>
      <w:r w:rsidRPr="00CF68A3">
        <w:t>conomy (GSP) was an estimated $13 billion</w:t>
      </w:r>
      <w:r>
        <w:t>,</w:t>
      </w:r>
      <w:r w:rsidRPr="00CF68A3">
        <w:t xml:space="preserve"> ranking second in the nation behind California. Florida’s total </w:t>
      </w:r>
      <w:r>
        <w:t>o</w:t>
      </w:r>
      <w:r w:rsidRPr="00CF68A3">
        <w:t xml:space="preserve">cean </w:t>
      </w:r>
      <w:r>
        <w:t>e</w:t>
      </w:r>
      <w:r w:rsidRPr="00CF68A3">
        <w:t>conomy that same year (including multipliers) was an estimated $23.2 billion</w:t>
      </w:r>
      <w:r>
        <w:t>,</w:t>
      </w:r>
      <w:r w:rsidRPr="00CF68A3">
        <w:t xml:space="preserve"> </w:t>
      </w:r>
      <w:r>
        <w:t>which</w:t>
      </w:r>
      <w:r w:rsidRPr="00CF68A3">
        <w:t xml:space="preserve"> contributed 3.2% of Florida employment and 4.5% of Florida GSP in 2003. Employment forecasts </w:t>
      </w:r>
      <w:r>
        <w:t>p</w:t>
      </w:r>
      <w:r w:rsidRPr="00CF68A3">
        <w:t xml:space="preserve">roject 73% growth with more than 268,000 new jobs by 2015. The Tourism &amp; Recreation was the fastest growing sector GSP in the </w:t>
      </w:r>
      <w:r>
        <w:t>o</w:t>
      </w:r>
      <w:r w:rsidRPr="00CF68A3">
        <w:t xml:space="preserve">cean </w:t>
      </w:r>
      <w:r>
        <w:t>e</w:t>
      </w:r>
      <w:r w:rsidRPr="00CF68A3">
        <w:t>conomy, far surpassing the others with 90% growth between 1990 and 2003. The Marine Transportation Sector GSP grew 82% during the period 1990-2003.</w:t>
      </w:r>
      <w:r>
        <w:t xml:space="preserve"> This tool can be used to protect these interests.</w:t>
      </w:r>
    </w:p>
    <w:p w:rsidR="00A65E80" w:rsidRDefault="00A65E80"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A65E80" w:rsidRPr="00B1789D" w:rsidRDefault="00A65E80" w:rsidP="00A65E80">
      <w:pPr>
        <w:pStyle w:val="NoSpacing"/>
      </w:pPr>
      <w:r w:rsidRPr="00B1789D">
        <w:t>This project will develop and implement a wetland ecosystem services survey and mapping methodology derived from wetland functional analyses which will then be utilized to forecast, evaluate and report trends in wetlands ecosystem services.</w:t>
      </w:r>
    </w:p>
    <w:p w:rsidR="00A65E80" w:rsidRDefault="00A65E80" w:rsidP="00A65E80">
      <w:pPr>
        <w:pStyle w:val="NoSpacing"/>
      </w:pPr>
    </w:p>
    <w:p w:rsidR="00A65E80" w:rsidRPr="00A65E80" w:rsidRDefault="00A65E80" w:rsidP="00A65E80">
      <w:pPr>
        <w:pStyle w:val="NoSpacing"/>
      </w:pPr>
      <w:r w:rsidRPr="00B1789D">
        <w:t>Products of the study will be an updated multi-entity wetland type definition; an updated wetland type GIS mapping of the project study area, a documentation and quantification  of the ecosystem services provided by each wetland type, multiple ECOSERVE layers GIS maps for the many ecosystem services provided by the various wetland types; and an analysis and quantification of current and alternate future ECOSERVE landscapes resulting from existing path, projected future landscape change, climate change, and alternate wetland protection programs.</w:t>
      </w:r>
    </w:p>
    <w:p w:rsidR="00A65E80" w:rsidRDefault="00A65E80" w:rsidP="00A65E80">
      <w:pPr>
        <w:pStyle w:val="NoSpacing"/>
      </w:pPr>
    </w:p>
    <w:p w:rsidR="00A65E80" w:rsidRPr="00A65E80" w:rsidRDefault="00A65E80" w:rsidP="00A65E80">
      <w:pPr>
        <w:pStyle w:val="NoSpacing"/>
      </w:pPr>
      <w:r w:rsidRPr="00A65E80">
        <w:t xml:space="preserve">The results will be directly applicable throughout Florida and throughout the GOM study area, where coastal wetland permitting and mitigation are regulated by the same agencies in a similar manner.  The methodology utilized to develop the ECOSERVE layers should also be applicable elsewhere, where wetland impacts are anticipated and permitted. </w:t>
      </w:r>
    </w:p>
    <w:p w:rsidR="00101944" w:rsidRDefault="00101944" w:rsidP="006A5C4C">
      <w:pPr>
        <w:pStyle w:val="NoSpacing"/>
      </w:pPr>
    </w:p>
    <w:p w:rsidR="00941DCA" w:rsidRDefault="00941DCA" w:rsidP="006A5C4C">
      <w:pPr>
        <w:pStyle w:val="NoSpacing"/>
      </w:pPr>
    </w:p>
    <w:p w:rsidR="00941DCA" w:rsidRDefault="00941DCA" w:rsidP="006A5C4C">
      <w:pPr>
        <w:pStyle w:val="NoSpacing"/>
      </w:pPr>
      <w:r w:rsidRPr="00C861C8">
        <w:rPr>
          <w:b/>
        </w:rPr>
        <w:t>Conflicts or Complements to Existing Efforts</w:t>
      </w:r>
      <w:r>
        <w:t xml:space="preserve">  (describe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101944" w:rsidRDefault="00A65E80" w:rsidP="006A5C4C">
      <w:pPr>
        <w:pStyle w:val="NoSpacing"/>
      </w:pPr>
      <w:r>
        <w:t>For the</w:t>
      </w:r>
      <w:r w:rsidR="00407844">
        <w:t xml:space="preserve"> pilot</w:t>
      </w:r>
      <w:r>
        <w:t xml:space="preserve"> area this tool was developed, better measurements of economic benefits of proposed projects and justification </w:t>
      </w:r>
      <w:r w:rsidR="00407844">
        <w:t>were</w:t>
      </w:r>
      <w:r>
        <w:t xml:space="preserve"> derived.</w:t>
      </w:r>
    </w:p>
    <w:p w:rsidR="00407844" w:rsidRDefault="00407844" w:rsidP="006A5C4C">
      <w:pPr>
        <w:pStyle w:val="NoSpacing"/>
      </w:pPr>
    </w:p>
    <w:p w:rsidR="00407844" w:rsidRDefault="00407844" w:rsidP="00407844">
      <w:pPr>
        <w:pStyle w:val="NoSpacing"/>
      </w:pPr>
      <w:r>
        <w:t xml:space="preserve">This project occur within the Gulf Coast National Estuary Program boundaries can assist in implementing the NEPs federally-approved Comprehensive Conservation and Management Plans.  The four Florida gulf coast Water Management Districts develop Surface Water Improvement and Management (SWIM) Plans, of which the project could assist in </w:t>
      </w:r>
      <w:r>
        <w:lastRenderedPageBreak/>
        <w:t xml:space="preserve">implementing. In addition, all of these projects are elements of the </w:t>
      </w:r>
      <w:r w:rsidRPr="00EF2F5B">
        <w:rPr>
          <w:i/>
        </w:rPr>
        <w:t>Southwest Florida Regional Ecosystem Restoration Plan</w:t>
      </w:r>
      <w:r>
        <w:t xml:space="preserve">, adopted on March 8, 2013. </w:t>
      </w:r>
    </w:p>
    <w:p w:rsidR="00407844" w:rsidRDefault="00407844" w:rsidP="006A5C4C">
      <w:pPr>
        <w:pStyle w:val="NoSpacing"/>
      </w:pPr>
    </w:p>
    <w:p w:rsidR="00A65E80" w:rsidRDefault="00A65E80"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1305A8" w:rsidRDefault="00A65E80" w:rsidP="006A5C4C">
      <w:pPr>
        <w:pStyle w:val="NoSpacing"/>
      </w:pPr>
      <w:r>
        <w:t>This project helps to implement NEP Comprehensive Conservation and Management Plans.</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1305A8" w:rsidRDefault="00A65E80" w:rsidP="006A5C4C">
      <w:pPr>
        <w:pStyle w:val="NoSpacing"/>
      </w:pPr>
      <w:r>
        <w:t>The three-year project can be implemented immediately.</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Public Acceptance</w:t>
      </w:r>
      <w:r>
        <w:t xml:space="preserve">  (describe any known or potential public approval or opposition to the project).</w:t>
      </w:r>
    </w:p>
    <w:p w:rsidR="001305A8" w:rsidRDefault="001305A8" w:rsidP="006A5C4C">
      <w:pPr>
        <w:pStyle w:val="NoSpacing"/>
      </w:pPr>
    </w:p>
    <w:p w:rsidR="001305A8" w:rsidRDefault="00DE09CB" w:rsidP="006A5C4C">
      <w:pPr>
        <w:pStyle w:val="NoSpacing"/>
      </w:pPr>
      <w:r>
        <w:t>All projects contained in the Southwest Florida Regional Ecosystem Restoration Plan, including th</w:t>
      </w:r>
      <w:r w:rsidR="00A65E80">
        <w:t>is</w:t>
      </w:r>
      <w:r>
        <w:t xml:space="preserve"> </w:t>
      </w:r>
      <w:r w:rsidR="00A65E80">
        <w:t>Analytic Tool for Planning</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944F18" w:rsidRDefault="00944F18" w:rsidP="00944F18">
      <w:pPr>
        <w:pStyle w:val="NoSpacing"/>
      </w:pPr>
      <w:r>
        <w:t>Two documents are attached:</w:t>
      </w:r>
    </w:p>
    <w:p w:rsidR="00944F18" w:rsidRDefault="00944F18" w:rsidP="00944F18">
      <w:pPr>
        <w:pStyle w:val="NoSpacing"/>
      </w:pPr>
    </w:p>
    <w:p w:rsidR="00944F18" w:rsidRDefault="00944F18" w:rsidP="00944F18">
      <w:pPr>
        <w:pStyle w:val="NoSpacing"/>
        <w:numPr>
          <w:ilvl w:val="0"/>
          <w:numId w:val="5"/>
        </w:numPr>
      </w:pPr>
      <w:r>
        <w:t xml:space="preserve">Attachment 1- </w:t>
      </w:r>
      <w:r w:rsidRPr="00E51630">
        <w:t xml:space="preserve">Estimating and Forecasting Ecosystem Services within Pine Island Sound, Sanibel Island, Captiva Island, North Captiva Island, </w:t>
      </w:r>
      <w:proofErr w:type="spellStart"/>
      <w:r w:rsidRPr="00E51630">
        <w:t>Cayo</w:t>
      </w:r>
      <w:proofErr w:type="spellEnd"/>
      <w:r w:rsidRPr="00E51630">
        <w:t xml:space="preserve"> Costa Island, </w:t>
      </w:r>
      <w:proofErr w:type="spellStart"/>
      <w:r w:rsidRPr="00E51630">
        <w:t>Useppa</w:t>
      </w:r>
      <w:proofErr w:type="spellEnd"/>
      <w:r w:rsidRPr="00E51630">
        <w:t xml:space="preserve"> Island, Other Islands of the Sound, and the </w:t>
      </w:r>
      <w:proofErr w:type="spellStart"/>
      <w:r w:rsidRPr="00E51630">
        <w:t>Nearshore</w:t>
      </w:r>
      <w:proofErr w:type="spellEnd"/>
      <w:r w:rsidRPr="00E51630">
        <w:t xml:space="preserve"> Gulf of Mexico</w:t>
      </w:r>
      <w:r>
        <w:t xml:space="preserve"> (Beever and Walker 2013).</w:t>
      </w:r>
    </w:p>
    <w:p w:rsidR="00944F18" w:rsidRDefault="00944F18" w:rsidP="00944F18">
      <w:pPr>
        <w:pStyle w:val="NoSpacing"/>
      </w:pPr>
    </w:p>
    <w:p w:rsidR="00944F18" w:rsidRDefault="00944F18" w:rsidP="00944F18">
      <w:pPr>
        <w:pStyle w:val="NoSpacing"/>
        <w:numPr>
          <w:ilvl w:val="0"/>
          <w:numId w:val="4"/>
        </w:numPr>
      </w:pPr>
      <w:r>
        <w:t xml:space="preserve">Attachment 2- A listing of the 2 projects included in </w:t>
      </w:r>
      <w:r w:rsidRPr="0095171A">
        <w:rPr>
          <w:i/>
        </w:rPr>
        <w:t>Florida Gulf Coast Comprehensive Coastal Management Planning</w:t>
      </w:r>
      <w:r>
        <w:t>.</w:t>
      </w:r>
    </w:p>
    <w:p w:rsidR="00944F18" w:rsidRDefault="00944F18" w:rsidP="00944F18">
      <w:pPr>
        <w:pStyle w:val="NoSpacing"/>
        <w:ind w:left="720"/>
      </w:pPr>
    </w:p>
    <w:p w:rsidR="00944F18" w:rsidRDefault="00944F18" w:rsidP="00944F18">
      <w:pPr>
        <w:pStyle w:val="NoSpacing"/>
      </w:pPr>
      <w:r>
        <w:t>The Southwest Florida Regional Ecosystem Restoration Plan (SWFRERP), approved by the Joint NEP Policy Board members on March 8, 2013 has been previously provided to FDEP.</w:t>
      </w:r>
    </w:p>
    <w:sectPr w:rsidR="00944F18" w:rsidSect="007763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utiger LT Pro 57 Condensed">
    <w:altName w:val="Frutiger LT Pro 57 Condense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30B"/>
    <w:multiLevelType w:val="hybridMultilevel"/>
    <w:tmpl w:val="D9AE9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580D74"/>
    <w:multiLevelType w:val="hybridMultilevel"/>
    <w:tmpl w:val="C01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132390"/>
    <w:multiLevelType w:val="hybridMultilevel"/>
    <w:tmpl w:val="E17862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6A5C4C"/>
    <w:rsid w:val="0009132C"/>
    <w:rsid w:val="00101944"/>
    <w:rsid w:val="001305A8"/>
    <w:rsid w:val="0017046D"/>
    <w:rsid w:val="001E2788"/>
    <w:rsid w:val="001F4389"/>
    <w:rsid w:val="002D2C30"/>
    <w:rsid w:val="002D5DAD"/>
    <w:rsid w:val="002F4FBB"/>
    <w:rsid w:val="002F628E"/>
    <w:rsid w:val="0030151E"/>
    <w:rsid w:val="00397DBB"/>
    <w:rsid w:val="00407844"/>
    <w:rsid w:val="00411916"/>
    <w:rsid w:val="0046153A"/>
    <w:rsid w:val="004933B6"/>
    <w:rsid w:val="004E2080"/>
    <w:rsid w:val="004F6A65"/>
    <w:rsid w:val="005A615E"/>
    <w:rsid w:val="005B29C3"/>
    <w:rsid w:val="00603169"/>
    <w:rsid w:val="00611822"/>
    <w:rsid w:val="00621666"/>
    <w:rsid w:val="006A5C4C"/>
    <w:rsid w:val="006D543F"/>
    <w:rsid w:val="007763C6"/>
    <w:rsid w:val="007A0E62"/>
    <w:rsid w:val="00835815"/>
    <w:rsid w:val="008371AA"/>
    <w:rsid w:val="008F6824"/>
    <w:rsid w:val="00941DCA"/>
    <w:rsid w:val="00944F18"/>
    <w:rsid w:val="0096370A"/>
    <w:rsid w:val="009966D4"/>
    <w:rsid w:val="009A1E1B"/>
    <w:rsid w:val="009D42A2"/>
    <w:rsid w:val="00A65E80"/>
    <w:rsid w:val="00A956A2"/>
    <w:rsid w:val="00B00114"/>
    <w:rsid w:val="00B46217"/>
    <w:rsid w:val="00B63A48"/>
    <w:rsid w:val="00BB2EA6"/>
    <w:rsid w:val="00BF18A0"/>
    <w:rsid w:val="00C51B63"/>
    <w:rsid w:val="00C861C8"/>
    <w:rsid w:val="00C915A8"/>
    <w:rsid w:val="00CF182A"/>
    <w:rsid w:val="00D31443"/>
    <w:rsid w:val="00D35214"/>
    <w:rsid w:val="00D54DCB"/>
    <w:rsid w:val="00D626B1"/>
    <w:rsid w:val="00D710EC"/>
    <w:rsid w:val="00D945DE"/>
    <w:rsid w:val="00DE09CB"/>
    <w:rsid w:val="00E51630"/>
    <w:rsid w:val="00E83EDC"/>
    <w:rsid w:val="00EB55D4"/>
    <w:rsid w:val="00EC1BF0"/>
    <w:rsid w:val="00EF6406"/>
    <w:rsid w:val="00F81D8E"/>
    <w:rsid w:val="00FB32C9"/>
    <w:rsid w:val="00FD11F1"/>
    <w:rsid w:val="00FF00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 w:type="table" w:styleId="TableGrid">
    <w:name w:val="Table Grid"/>
    <w:basedOn w:val="TableNormal"/>
    <w:uiPriority w:val="59"/>
    <w:rsid w:val="0009132C"/>
    <w:pPr>
      <w:spacing w:after="0" w:line="240" w:lineRule="auto"/>
    </w:pPr>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65E80"/>
    <w:pPr>
      <w:autoSpaceDE w:val="0"/>
      <w:autoSpaceDN w:val="0"/>
      <w:adjustRightInd w:val="0"/>
      <w:spacing w:after="0" w:line="240" w:lineRule="auto"/>
    </w:pPr>
    <w:rPr>
      <w:color w:val="000000"/>
    </w:rPr>
  </w:style>
  <w:style w:type="paragraph" w:customStyle="1" w:styleId="Pa22">
    <w:name w:val="Pa22"/>
    <w:basedOn w:val="Default"/>
    <w:next w:val="Default"/>
    <w:uiPriority w:val="99"/>
    <w:rsid w:val="00A65E80"/>
    <w:pPr>
      <w:spacing w:line="201" w:lineRule="atLeast"/>
    </w:pPr>
    <w:rPr>
      <w:rFonts w:ascii="Frutiger LT Pro 57 Condensed" w:hAnsi="Frutiger LT Pro 57 Condensed"/>
      <w:color w:val="auto"/>
    </w:rPr>
  </w:style>
  <w:style w:type="character" w:customStyle="1" w:styleId="A6">
    <w:name w:val="A6"/>
    <w:uiPriority w:val="99"/>
    <w:rsid w:val="00A65E80"/>
    <w:rPr>
      <w:rFonts w:cs="Frutiger LT Pro 57 Condensed"/>
      <w:color w:val="211E1F"/>
      <w:sz w:val="18"/>
      <w:szCs w:val="18"/>
    </w:rPr>
  </w:style>
  <w:style w:type="paragraph" w:styleId="Revision">
    <w:name w:val="Revision"/>
    <w:hidden/>
    <w:uiPriority w:val="99"/>
    <w:semiHidden/>
    <w:rsid w:val="004E2080"/>
    <w:pPr>
      <w:spacing w:after="0" w:line="240" w:lineRule="auto"/>
    </w:pPr>
  </w:style>
  <w:style w:type="paragraph" w:styleId="BalloonText">
    <w:name w:val="Balloon Text"/>
    <w:basedOn w:val="Normal"/>
    <w:link w:val="BalloonTextChar"/>
    <w:uiPriority w:val="99"/>
    <w:semiHidden/>
    <w:unhideWhenUsed/>
    <w:rsid w:val="004E20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0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eever@swfrp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sbep.org" TargetMode="External"/><Relationship Id="rId5" Type="http://schemas.openxmlformats.org/officeDocument/2006/relationships/hyperlink" Target="mailto:hgreening@tbep.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1929</Words>
  <Characters>10998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Greening</dc:creator>
  <cp:lastModifiedBy>lbeever</cp:lastModifiedBy>
  <cp:revision>12</cp:revision>
  <dcterms:created xsi:type="dcterms:W3CDTF">2013-04-19T12:49:00Z</dcterms:created>
  <dcterms:modified xsi:type="dcterms:W3CDTF">2013-04-26T18:25:00Z</dcterms:modified>
</cp:coreProperties>
</file>