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ECA" w:rsidRPr="00A66334" w:rsidRDefault="00276ECA" w:rsidP="00276ECA">
      <w:pPr>
        <w:pStyle w:val="Sub-title"/>
        <w:spacing w:line="240" w:lineRule="auto"/>
        <w:jc w:val="both"/>
        <w:rPr>
          <w:rFonts w:ascii="Arial" w:hAnsi="Arial" w:cs="Arial"/>
          <w:b/>
          <w:sz w:val="20"/>
        </w:rPr>
      </w:pPr>
      <w:r w:rsidRPr="00A66334">
        <w:rPr>
          <w:rFonts w:ascii="Arial" w:hAnsi="Arial" w:cs="Arial"/>
          <w:b/>
          <w:noProof/>
        </w:rPr>
        <w:drawing>
          <wp:anchor distT="152400" distB="152400" distL="152400" distR="152400" simplePos="0" relativeHeight="251659264" behindDoc="0" locked="0" layoutInCell="1" allowOverlap="1">
            <wp:simplePos x="0" y="0"/>
            <wp:positionH relativeFrom="page">
              <wp:posOffset>2463800</wp:posOffset>
            </wp:positionH>
            <wp:positionV relativeFrom="page">
              <wp:posOffset>24663400</wp:posOffset>
            </wp:positionV>
            <wp:extent cx="3810000" cy="3162300"/>
            <wp:effectExtent l="19050" t="19050" r="19050" b="19050"/>
            <wp:wrapThrough wrapText="bothSides">
              <wp:wrapPolygon edited="0">
                <wp:start x="-108" y="-130"/>
                <wp:lineTo x="-108" y="21600"/>
                <wp:lineTo x="21600" y="21600"/>
                <wp:lineTo x="21600" y="-130"/>
                <wp:lineTo x="-108" y="-130"/>
              </wp:wrapPolygon>
            </wp:wrapThrough>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3162300"/>
                    </a:xfrm>
                    <a:prstGeom prst="rect">
                      <a:avLst/>
                    </a:prstGeom>
                    <a:solidFill>
                      <a:srgbClr val="FFFFFF"/>
                    </a:solidFill>
                    <a:ln w="12700">
                      <a:solidFill>
                        <a:srgbClr val="000000"/>
                      </a:solidFill>
                      <a:round/>
                      <a:headEnd/>
                      <a:tailEnd/>
                    </a:ln>
                  </pic:spPr>
                </pic:pic>
              </a:graphicData>
            </a:graphic>
          </wp:anchor>
        </w:drawing>
      </w:r>
      <w:r w:rsidRPr="00A66334">
        <w:rPr>
          <w:rFonts w:ascii="Arial" w:hAnsi="Arial" w:cs="Arial"/>
          <w:b/>
          <w:sz w:val="20"/>
        </w:rPr>
        <w:t xml:space="preserve">The E.O. Wilson Biophilia Center, a 501(c)(3) registered as Nokuse Education, Inc., in partnership with PAEC (Panhandle, Area Educational Consortium) submit the following funding </w:t>
      </w:r>
      <w:r w:rsidRPr="001D16E7">
        <w:rPr>
          <w:rFonts w:ascii="Arial" w:hAnsi="Arial" w:cs="Arial"/>
          <w:b/>
          <w:sz w:val="20"/>
        </w:rPr>
        <w:t>opportunities.</w:t>
      </w:r>
      <w:r w:rsidRPr="001D16E7">
        <w:rPr>
          <w:rFonts w:ascii="Arial" w:hAnsi="Arial" w:cs="Arial"/>
          <w:b/>
          <w:sz w:val="20"/>
        </w:rPr>
        <w:tab/>
      </w:r>
    </w:p>
    <w:p w:rsidR="00276ECA" w:rsidRPr="005E40AA" w:rsidRDefault="00276ECA" w:rsidP="00276ECA">
      <w:pPr>
        <w:pStyle w:val="Sub-title"/>
        <w:spacing w:after="0" w:line="276" w:lineRule="auto"/>
        <w:ind w:firstLine="360"/>
        <w:jc w:val="both"/>
        <w:rPr>
          <w:rFonts w:ascii="Arial" w:hAnsi="Arial" w:cs="Arial"/>
          <w:szCs w:val="18"/>
        </w:rPr>
      </w:pPr>
      <w:r w:rsidRPr="005E40AA">
        <w:rPr>
          <w:rFonts w:ascii="Arial" w:hAnsi="Arial" w:cs="Arial"/>
          <w:szCs w:val="18"/>
        </w:rPr>
        <w:t xml:space="preserve">For the purpose of conservation and environmental education, M.C. Davis purchased and has set aside a 49,000 acre greenway belt/ecologically diverse wildlife corridor, making him the largest private owner of conservation lands east of the Mississippi River.  The E.O. Wilson Biophilia Center campus, a $12 million (debt-free) facility, built by M.C. Davis is located between Bruce and Freeport, Florida, on the 49,000-acre conservation lands named Nokuse Plantation. </w:t>
      </w:r>
    </w:p>
    <w:p w:rsidR="00276ECA" w:rsidRPr="005E40AA" w:rsidRDefault="00276ECA" w:rsidP="00276ECA">
      <w:pPr>
        <w:pStyle w:val="Sub-title"/>
        <w:spacing w:after="0" w:line="276" w:lineRule="auto"/>
        <w:ind w:firstLine="360"/>
        <w:jc w:val="both"/>
        <w:rPr>
          <w:rFonts w:ascii="Arial" w:hAnsi="Arial" w:cs="Arial"/>
          <w:szCs w:val="18"/>
        </w:rPr>
      </w:pPr>
      <w:r w:rsidRPr="005E40AA">
        <w:rPr>
          <w:rFonts w:ascii="Arial" w:hAnsi="Arial" w:cs="Arial"/>
          <w:szCs w:val="18"/>
        </w:rPr>
        <w:t>Today’s children are the key to making sure we balance the needs of our environment with the demands of our economy. The Center’s educational programming expertly marries nature and technology to offer intriguing and thought–provoking STEM (Science, Technology, Engineering and Math) experiences that involve student interaction with the environment.  As a result, students and their teachers leave the Center with a deeper appreciation of biodiversity, conservation, and preservation. Students also learn how their efforts can impact the restoration of natural resources. As we end our second year of operation, we have challenged more than 10,000 students, investing in the generation tasked with finding and developing sustainable solutions</w:t>
      </w:r>
    </w:p>
    <w:p w:rsidR="00276ECA" w:rsidRPr="005E40AA" w:rsidRDefault="00276ECA" w:rsidP="00276ECA">
      <w:pPr>
        <w:pStyle w:val="Sub-title"/>
        <w:spacing w:after="0" w:line="276" w:lineRule="auto"/>
        <w:ind w:firstLine="360"/>
        <w:jc w:val="both"/>
        <w:rPr>
          <w:rFonts w:ascii="Arial" w:hAnsi="Arial" w:cs="Arial"/>
          <w:szCs w:val="18"/>
        </w:rPr>
      </w:pPr>
      <w:r w:rsidRPr="005E40AA">
        <w:rPr>
          <w:rFonts w:ascii="Arial" w:hAnsi="Arial" w:cs="Arial"/>
          <w:szCs w:val="18"/>
        </w:rPr>
        <w:t>The Center’s educational curricula for 4</w:t>
      </w:r>
      <w:r w:rsidRPr="005E40AA">
        <w:rPr>
          <w:rFonts w:ascii="Arial" w:hAnsi="Arial" w:cs="Arial"/>
          <w:szCs w:val="18"/>
          <w:vertAlign w:val="superscript"/>
        </w:rPr>
        <w:t>th</w:t>
      </w:r>
      <w:r w:rsidRPr="005E40AA">
        <w:rPr>
          <w:rFonts w:ascii="Arial" w:hAnsi="Arial" w:cs="Arial"/>
          <w:szCs w:val="18"/>
        </w:rPr>
        <w:t xml:space="preserve"> and </w:t>
      </w:r>
      <w:bookmarkStart w:id="0" w:name="GoBack"/>
      <w:bookmarkEnd w:id="0"/>
      <w:r w:rsidRPr="005E40AA">
        <w:rPr>
          <w:rFonts w:ascii="Arial" w:hAnsi="Arial" w:cs="Arial"/>
          <w:szCs w:val="18"/>
        </w:rPr>
        <w:t>7</w:t>
      </w:r>
      <w:r w:rsidRPr="005E40AA">
        <w:rPr>
          <w:rFonts w:ascii="Arial" w:hAnsi="Arial" w:cs="Arial"/>
          <w:szCs w:val="18"/>
          <w:vertAlign w:val="superscript"/>
        </w:rPr>
        <w:t>th</w:t>
      </w:r>
      <w:r w:rsidRPr="005E40AA">
        <w:rPr>
          <w:rFonts w:ascii="Arial" w:hAnsi="Arial" w:cs="Arial"/>
          <w:szCs w:val="18"/>
        </w:rPr>
        <w:t xml:space="preserve"> grade students from a catchment area of six County School Districts (Walton, Bay, Okaloosa, Washington, Holmes and Leon) in the Florida Panhandle immerses students in hands-on inquiry experiences through our 15-core environmental education programs.  These programs</w:t>
      </w:r>
      <w:r w:rsidRPr="005E40AA">
        <w:rPr>
          <w:rFonts w:ascii="Arial" w:eastAsia="Times New Roman" w:hAnsi="Arial" w:cs="Arial"/>
          <w:szCs w:val="18"/>
        </w:rPr>
        <w:t xml:space="preserve"> educate students and the public with science experiences</w:t>
      </w:r>
      <w:r w:rsidRPr="005E40AA">
        <w:rPr>
          <w:rFonts w:ascii="Arial" w:hAnsi="Arial" w:cs="Arial"/>
          <w:szCs w:val="18"/>
        </w:rPr>
        <w:t xml:space="preserve"> on the importance of biodiversity, to promote sustainable balanced ecosystems, </w:t>
      </w:r>
      <w:r w:rsidR="002641E8">
        <w:rPr>
          <w:rFonts w:ascii="Arial" w:hAnsi="Arial" w:cs="Arial"/>
          <w:szCs w:val="18"/>
        </w:rPr>
        <w:t>and encourage</w:t>
      </w:r>
      <w:r w:rsidRPr="005E40AA">
        <w:rPr>
          <w:rFonts w:ascii="Arial" w:hAnsi="Arial" w:cs="Arial"/>
          <w:szCs w:val="18"/>
        </w:rPr>
        <w:t xml:space="preserve"> conservation with an outdoor extension of the classroom. As we open to the public this experience will be available to visitors from around the world.</w:t>
      </w:r>
    </w:p>
    <w:p w:rsidR="00276ECA" w:rsidRPr="005E40AA" w:rsidRDefault="00276ECA" w:rsidP="00276ECA">
      <w:pPr>
        <w:spacing w:after="0"/>
        <w:ind w:firstLine="360"/>
        <w:jc w:val="both"/>
        <w:rPr>
          <w:rFonts w:ascii="Arial" w:hAnsi="Arial" w:cs="Arial"/>
          <w:sz w:val="18"/>
          <w:szCs w:val="18"/>
        </w:rPr>
      </w:pPr>
      <w:r w:rsidRPr="005E40AA">
        <w:rPr>
          <w:rFonts w:ascii="Arial" w:hAnsi="Arial" w:cs="Arial"/>
          <w:sz w:val="18"/>
          <w:szCs w:val="18"/>
        </w:rPr>
        <w:t xml:space="preserve">Our partnership with the PAEC (Panhandle Area Educational Consortium) is vital to the mission of educating our leaders of today and tomorrow by providing the opportunity to take our educational programs to a </w:t>
      </w:r>
      <w:r w:rsidRPr="005E40AA">
        <w:rPr>
          <w:rFonts w:ascii="Arial" w:hAnsi="Arial" w:cs="Arial"/>
          <w:b/>
          <w:sz w:val="18"/>
          <w:szCs w:val="18"/>
        </w:rPr>
        <w:t>global audience</w:t>
      </w:r>
      <w:r w:rsidRPr="005E40AA">
        <w:rPr>
          <w:rFonts w:ascii="Arial" w:hAnsi="Arial" w:cs="Arial"/>
          <w:sz w:val="18"/>
          <w:szCs w:val="18"/>
        </w:rPr>
        <w:t>. This can be easily achieved with: satellite and web-broadcasting seminars; professional development and learning opportunities for educators; produ</w:t>
      </w:r>
      <w:r w:rsidR="002641E8">
        <w:rPr>
          <w:rFonts w:ascii="Arial" w:hAnsi="Arial" w:cs="Arial"/>
          <w:sz w:val="18"/>
          <w:szCs w:val="18"/>
        </w:rPr>
        <w:t>cing, packaging and distributing</w:t>
      </w:r>
      <w:r w:rsidRPr="005E40AA">
        <w:rPr>
          <w:rFonts w:ascii="Arial" w:hAnsi="Arial" w:cs="Arial"/>
          <w:sz w:val="18"/>
          <w:szCs w:val="18"/>
        </w:rPr>
        <w:t xml:space="preserve"> educational lesson plans.  Instruction based on research-evide</w:t>
      </w:r>
      <w:r w:rsidR="002641E8">
        <w:rPr>
          <w:rFonts w:ascii="Arial" w:hAnsi="Arial" w:cs="Arial"/>
          <w:sz w:val="18"/>
          <w:szCs w:val="18"/>
        </w:rPr>
        <w:t>nced and “Florida’s Next</w:t>
      </w:r>
      <w:r w:rsidRPr="005E40AA">
        <w:rPr>
          <w:rFonts w:ascii="Arial" w:hAnsi="Arial" w:cs="Arial"/>
          <w:sz w:val="18"/>
          <w:szCs w:val="18"/>
        </w:rPr>
        <w:t xml:space="preserve"> Generation Sunshine State Standards” are adaptable to all countries and every state in the United States</w:t>
      </w:r>
      <w:r w:rsidR="002641E8">
        <w:rPr>
          <w:rFonts w:ascii="Arial" w:hAnsi="Arial" w:cs="Arial"/>
          <w:sz w:val="18"/>
          <w:szCs w:val="18"/>
        </w:rPr>
        <w:t>’</w:t>
      </w:r>
      <w:r w:rsidRPr="005E40AA">
        <w:rPr>
          <w:rFonts w:ascii="Arial" w:hAnsi="Arial" w:cs="Arial"/>
          <w:sz w:val="18"/>
          <w:szCs w:val="18"/>
        </w:rPr>
        <w:t xml:space="preserve"> standards for teachers, leaders, communities and </w:t>
      </w:r>
      <w:bookmarkStart w:id="1" w:name="_GoBack"/>
      <w:bookmarkEnd w:id="1"/>
      <w:r w:rsidRPr="005E40AA">
        <w:rPr>
          <w:rFonts w:ascii="Arial" w:hAnsi="Arial" w:cs="Arial"/>
          <w:sz w:val="18"/>
          <w:szCs w:val="18"/>
        </w:rPr>
        <w:t xml:space="preserve">students. </w:t>
      </w:r>
    </w:p>
    <w:p w:rsidR="00421709" w:rsidRDefault="00276ECA" w:rsidP="00421709">
      <w:pPr>
        <w:spacing w:after="0"/>
        <w:ind w:firstLine="360"/>
        <w:jc w:val="both"/>
        <w:rPr>
          <w:rFonts w:ascii="Arial" w:hAnsi="Arial" w:cs="Arial"/>
          <w:sz w:val="18"/>
          <w:szCs w:val="18"/>
        </w:rPr>
      </w:pPr>
      <w:r w:rsidRPr="005E40AA">
        <w:rPr>
          <w:rFonts w:ascii="Arial" w:hAnsi="Arial" w:cs="Arial"/>
          <w:sz w:val="18"/>
          <w:szCs w:val="18"/>
        </w:rPr>
        <w:t xml:space="preserve">Plans are in place to involve 10th graders and purposefully engage students from groups, typically under-represented in STEM careers (e.g., girls, minorities and low income students through collaboration with Girls, Inc. of America and the Boys and Girls Clubs of America). The Nokuse lands, the E.O. Wilson Biophilia Center campus and facilities, the curricula, partnership with PAEC and future plans uniquely qualify us to be the leaders in environmental education. </w:t>
      </w:r>
    </w:p>
    <w:p w:rsidR="00276ECA" w:rsidRPr="005E40AA" w:rsidRDefault="00276ECA" w:rsidP="00421709">
      <w:pPr>
        <w:spacing w:after="0"/>
        <w:ind w:firstLine="360"/>
        <w:jc w:val="center"/>
        <w:rPr>
          <w:rFonts w:ascii="Arial" w:hAnsi="Arial" w:cs="Arial"/>
          <w:b/>
          <w:sz w:val="18"/>
          <w:szCs w:val="18"/>
        </w:rPr>
      </w:pPr>
      <w:r w:rsidRPr="005E40AA">
        <w:rPr>
          <w:rFonts w:ascii="Arial" w:hAnsi="Arial" w:cs="Arial"/>
          <w:sz w:val="18"/>
          <w:szCs w:val="18"/>
        </w:rPr>
        <w:br/>
      </w:r>
      <w:r w:rsidRPr="005E40AA">
        <w:rPr>
          <w:rFonts w:ascii="Arial" w:hAnsi="Arial" w:cs="Arial"/>
          <w:b/>
          <w:sz w:val="18"/>
          <w:szCs w:val="18"/>
        </w:rPr>
        <w:t>We believe that restoration begins with education</w:t>
      </w:r>
    </w:p>
    <w:tbl>
      <w:tblPr>
        <w:tblW w:w="9080" w:type="dxa"/>
        <w:jc w:val="center"/>
        <w:tblInd w:w="93" w:type="dxa"/>
        <w:tblLook w:val="04A0"/>
      </w:tblPr>
      <w:tblGrid>
        <w:gridCol w:w="6760"/>
        <w:gridCol w:w="2320"/>
      </w:tblGrid>
      <w:tr w:rsidR="00276ECA" w:rsidRPr="005E40AA" w:rsidTr="005C2452">
        <w:trPr>
          <w:trHeight w:val="240"/>
          <w:jc w:val="center"/>
        </w:trPr>
        <w:tc>
          <w:tcPr>
            <w:tcW w:w="676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276ECA" w:rsidRPr="005E40AA" w:rsidRDefault="00276ECA" w:rsidP="005C2452">
            <w:pPr>
              <w:spacing w:after="0" w:line="240" w:lineRule="auto"/>
              <w:rPr>
                <w:rFonts w:ascii="Arial" w:eastAsia="Times New Roman" w:hAnsi="Arial" w:cs="Arial"/>
                <w:b/>
                <w:bCs/>
                <w:sz w:val="18"/>
                <w:szCs w:val="18"/>
              </w:rPr>
            </w:pPr>
            <w:bookmarkStart w:id="2" w:name="RANGE!A1"/>
            <w:r w:rsidRPr="005E40AA">
              <w:rPr>
                <w:rFonts w:ascii="Arial" w:eastAsia="Times New Roman" w:hAnsi="Arial" w:cs="Arial"/>
                <w:b/>
                <w:bCs/>
                <w:sz w:val="18"/>
                <w:szCs w:val="18"/>
              </w:rPr>
              <w:t>Funding Opportunities - 15 Core Educational "STEM in Action" Programs</w:t>
            </w:r>
            <w:bookmarkEnd w:id="2"/>
          </w:p>
        </w:tc>
        <w:tc>
          <w:tcPr>
            <w:tcW w:w="2320" w:type="dxa"/>
            <w:tcBorders>
              <w:top w:val="single" w:sz="4" w:space="0" w:color="auto"/>
              <w:left w:val="nil"/>
              <w:bottom w:val="single" w:sz="4" w:space="0" w:color="auto"/>
              <w:right w:val="single" w:sz="4" w:space="0" w:color="auto"/>
            </w:tcBorders>
            <w:shd w:val="clear" w:color="000000" w:fill="D8D8D8"/>
            <w:noWrap/>
            <w:vAlign w:val="bottom"/>
            <w:hideMark/>
          </w:tcPr>
          <w:p w:rsidR="00276ECA" w:rsidRPr="005E40AA" w:rsidRDefault="00276ECA" w:rsidP="005C2452">
            <w:pPr>
              <w:spacing w:after="0" w:line="240" w:lineRule="auto"/>
              <w:jc w:val="center"/>
              <w:rPr>
                <w:rFonts w:ascii="Arial" w:eastAsia="Times New Roman" w:hAnsi="Arial" w:cs="Arial"/>
                <w:sz w:val="18"/>
                <w:szCs w:val="18"/>
              </w:rPr>
            </w:pPr>
            <w:r w:rsidRPr="005E40AA">
              <w:rPr>
                <w:rFonts w:ascii="Arial" w:eastAsia="Times New Roman" w:hAnsi="Arial" w:cs="Arial"/>
                <w:sz w:val="18"/>
                <w:szCs w:val="18"/>
              </w:rPr>
              <w:t>Total</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tcPr>
          <w:p w:rsidR="00276ECA" w:rsidRPr="005E40AA" w:rsidRDefault="00635CFC" w:rsidP="005C2452">
            <w:pPr>
              <w:spacing w:after="0" w:line="240" w:lineRule="auto"/>
              <w:rPr>
                <w:rFonts w:ascii="Arial" w:eastAsia="Times New Roman" w:hAnsi="Arial" w:cs="Arial"/>
                <w:sz w:val="18"/>
                <w:szCs w:val="18"/>
              </w:rPr>
            </w:pPr>
            <w:r>
              <w:rPr>
                <w:rFonts w:ascii="Arial" w:eastAsia="Times New Roman" w:hAnsi="Arial" w:cs="Arial"/>
                <w:sz w:val="18"/>
                <w:szCs w:val="18"/>
              </w:rPr>
              <w:t>Funding  all 15-</w:t>
            </w:r>
            <w:r w:rsidR="00276ECA">
              <w:rPr>
                <w:rFonts w:ascii="Arial" w:eastAsia="Times New Roman" w:hAnsi="Arial" w:cs="Arial"/>
                <w:sz w:val="18"/>
                <w:szCs w:val="18"/>
              </w:rPr>
              <w:t>core program</w:t>
            </w:r>
            <w:r>
              <w:rPr>
                <w:rFonts w:ascii="Arial" w:eastAsia="Times New Roman" w:hAnsi="Arial" w:cs="Arial"/>
                <w:sz w:val="18"/>
                <w:szCs w:val="18"/>
              </w:rPr>
              <w:t>s</w:t>
            </w:r>
            <w:r w:rsidR="00276ECA">
              <w:rPr>
                <w:rFonts w:ascii="Arial" w:eastAsia="Times New Roman" w:hAnsi="Arial" w:cs="Arial"/>
                <w:sz w:val="18"/>
                <w:szCs w:val="18"/>
              </w:rPr>
              <w:t xml:space="preserve">  for 1 year </w:t>
            </w:r>
          </w:p>
        </w:tc>
        <w:tc>
          <w:tcPr>
            <w:tcW w:w="2320" w:type="dxa"/>
            <w:tcBorders>
              <w:top w:val="nil"/>
              <w:left w:val="nil"/>
              <w:bottom w:val="single" w:sz="4" w:space="0" w:color="auto"/>
              <w:right w:val="single" w:sz="4" w:space="0" w:color="auto"/>
            </w:tcBorders>
            <w:shd w:val="clear" w:color="auto" w:fill="auto"/>
            <w:noWrap/>
            <w:vAlign w:val="bottom"/>
          </w:tcPr>
          <w:p w:rsidR="00276ECA" w:rsidRPr="000A31BE" w:rsidRDefault="00276ECA" w:rsidP="005C2452">
            <w:pPr>
              <w:spacing w:after="0" w:line="240" w:lineRule="auto"/>
              <w:jc w:val="right"/>
              <w:rPr>
                <w:rFonts w:ascii="Arial" w:eastAsia="Times New Roman" w:hAnsi="Arial" w:cs="Arial"/>
                <w:b/>
                <w:sz w:val="18"/>
                <w:szCs w:val="18"/>
              </w:rPr>
            </w:pPr>
            <w:r w:rsidRPr="000A31BE">
              <w:rPr>
                <w:rFonts w:ascii="Arial" w:eastAsia="Times New Roman" w:hAnsi="Arial" w:cs="Arial"/>
                <w:b/>
                <w:sz w:val="18"/>
                <w:szCs w:val="18"/>
              </w:rPr>
              <w:t>$2,000,000,.00</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tcPr>
          <w:p w:rsidR="00276ECA" w:rsidRPr="005E40AA" w:rsidRDefault="00276ECA" w:rsidP="005C2452">
            <w:pPr>
              <w:spacing w:after="0" w:line="240" w:lineRule="auto"/>
              <w:rPr>
                <w:rFonts w:ascii="Arial" w:eastAsia="Times New Roman" w:hAnsi="Arial" w:cs="Arial"/>
                <w:sz w:val="18"/>
                <w:szCs w:val="18"/>
              </w:rPr>
            </w:pPr>
            <w:r>
              <w:rPr>
                <w:rFonts w:ascii="Arial" w:eastAsia="Times New Roman" w:hAnsi="Arial" w:cs="Arial"/>
                <w:sz w:val="18"/>
                <w:szCs w:val="18"/>
              </w:rPr>
              <w:t>Funded  as Individual Programs for 1 year:</w:t>
            </w:r>
          </w:p>
        </w:tc>
        <w:tc>
          <w:tcPr>
            <w:tcW w:w="2320" w:type="dxa"/>
            <w:tcBorders>
              <w:top w:val="nil"/>
              <w:left w:val="nil"/>
              <w:bottom w:val="single" w:sz="4" w:space="0" w:color="auto"/>
              <w:right w:val="single" w:sz="4" w:space="0" w:color="auto"/>
            </w:tcBorders>
            <w:shd w:val="clear" w:color="auto" w:fill="auto"/>
            <w:noWrap/>
            <w:vAlign w:val="bottom"/>
          </w:tcPr>
          <w:p w:rsidR="00276ECA" w:rsidRPr="005E40AA" w:rsidRDefault="00276ECA" w:rsidP="005C2452">
            <w:pPr>
              <w:spacing w:after="0" w:line="240" w:lineRule="auto"/>
              <w:jc w:val="right"/>
              <w:rPr>
                <w:rFonts w:ascii="Arial" w:eastAsia="Times New Roman" w:hAnsi="Arial" w:cs="Arial"/>
                <w:sz w:val="18"/>
                <w:szCs w:val="18"/>
              </w:rPr>
            </w:pP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 xml:space="preserve">Nokuse “Bear” Program </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$217,519.00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Exploring the Long leaf Pine  Ecosystem Trail</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$161,332.00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 xml:space="preserve">Turtle and Wetland Trail </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$161,936.00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Gopher Tortoise SIM/ Measuring Home Range</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$152,562.00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Ants in a Forest Study</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$151,655.00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 xml:space="preserve">An Oil Spill Challenge </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$153,238.00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Aquatic Biodiversity</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$152,741.00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Prescribed Burns: burn plot and understory</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$152,033.00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Birds of the Longleaf Pine and Coastal Region</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$217,796.00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BCSI – Biophilia Crime Scene Investigation</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$161,019.00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Discovering Micro Ecosystems</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$154,373.00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 xml:space="preserve">Tree Inventory and Canopy Coverage </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$152,005.72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Surveying   Forest Plots</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$153,095.00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Water Quality and Microscope Lesson</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$155,752.00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Adventures i</w:t>
            </w:r>
            <w:r w:rsidR="00EF05F8">
              <w:rPr>
                <w:rFonts w:ascii="Arial" w:eastAsia="Times New Roman" w:hAnsi="Arial" w:cs="Arial"/>
                <w:sz w:val="18"/>
                <w:szCs w:val="18"/>
              </w:rPr>
              <w:t>n the Exhibit Hall  (this program</w:t>
            </w:r>
            <w:r w:rsidRPr="005E40AA">
              <w:rPr>
                <w:rFonts w:ascii="Arial" w:eastAsia="Times New Roman" w:hAnsi="Arial" w:cs="Arial"/>
                <w:sz w:val="18"/>
                <w:szCs w:val="18"/>
              </w:rPr>
              <w:t xml:space="preserve"> does not include web broadcasting)</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$167,158.00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b/>
                <w:bCs/>
                <w:sz w:val="18"/>
                <w:szCs w:val="18"/>
              </w:rPr>
            </w:pPr>
            <w:r>
              <w:rPr>
                <w:rFonts w:ascii="Arial" w:eastAsia="Times New Roman" w:hAnsi="Arial" w:cs="Arial"/>
                <w:b/>
                <w:bCs/>
                <w:sz w:val="18"/>
                <w:szCs w:val="18"/>
              </w:rPr>
              <w:t>Total –funded as individual programs</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b/>
                <w:bCs/>
                <w:sz w:val="18"/>
                <w:szCs w:val="18"/>
              </w:rPr>
            </w:pPr>
            <w:r w:rsidRPr="005E40AA">
              <w:rPr>
                <w:rFonts w:ascii="Arial" w:eastAsia="Times New Roman" w:hAnsi="Arial" w:cs="Arial"/>
                <w:b/>
                <w:bCs/>
                <w:sz w:val="18"/>
                <w:szCs w:val="18"/>
              </w:rPr>
              <w:t xml:space="preserve">$2,464,214.72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000000" w:fill="D8D8D8"/>
            <w:noWrap/>
            <w:vAlign w:val="bottom"/>
            <w:hideMark/>
          </w:tcPr>
          <w:p w:rsidR="00276ECA" w:rsidRPr="005E40AA" w:rsidRDefault="00276ECA" w:rsidP="005C2452">
            <w:pPr>
              <w:spacing w:after="0" w:line="240" w:lineRule="auto"/>
              <w:rPr>
                <w:rFonts w:ascii="Arial" w:eastAsia="Times New Roman" w:hAnsi="Arial" w:cs="Arial"/>
                <w:b/>
                <w:bCs/>
                <w:sz w:val="18"/>
                <w:szCs w:val="18"/>
              </w:rPr>
            </w:pPr>
            <w:r w:rsidRPr="005E40AA">
              <w:rPr>
                <w:rFonts w:ascii="Arial" w:eastAsia="Times New Roman" w:hAnsi="Arial" w:cs="Arial"/>
                <w:b/>
                <w:bCs/>
                <w:sz w:val="18"/>
                <w:szCs w:val="18"/>
              </w:rPr>
              <w:t>Additional Funding Needs and Opportunities</w:t>
            </w:r>
          </w:p>
        </w:tc>
        <w:tc>
          <w:tcPr>
            <w:tcW w:w="2320" w:type="dxa"/>
            <w:tcBorders>
              <w:top w:val="nil"/>
              <w:left w:val="nil"/>
              <w:bottom w:val="single" w:sz="4" w:space="0" w:color="auto"/>
              <w:right w:val="single" w:sz="4" w:space="0" w:color="auto"/>
            </w:tcBorders>
            <w:shd w:val="clear" w:color="000000" w:fill="D8D8D8"/>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Interactive Projector for classroom</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$65,000.00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Transportation for 8000 students</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$100,000.00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Program Supplies for 15 core programs</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$99,978.00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Sponsorship of  a Classroom for 1 year</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$140,000.00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Sponsorship of a Wildlife Biologist Instructor 1 year</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$52,000.00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Sponsorship of Organic Garden 1 year</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$75,000.00 </w:t>
            </w:r>
          </w:p>
        </w:tc>
      </w:tr>
      <w:tr w:rsidR="00276ECA" w:rsidRPr="005E40AA" w:rsidTr="005C2452">
        <w:trPr>
          <w:trHeight w:val="240"/>
          <w:jc w:val="center"/>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rPr>
                <w:rFonts w:ascii="Arial" w:eastAsia="Times New Roman" w:hAnsi="Arial" w:cs="Arial"/>
                <w:sz w:val="18"/>
                <w:szCs w:val="18"/>
              </w:rPr>
            </w:pPr>
            <w:r w:rsidRPr="005E40AA">
              <w:rPr>
                <w:rFonts w:ascii="Arial" w:eastAsia="Times New Roman" w:hAnsi="Arial" w:cs="Arial"/>
                <w:sz w:val="18"/>
                <w:szCs w:val="18"/>
              </w:rPr>
              <w:t>Sponsorship of Nature live-feed Webcam 1 year</w:t>
            </w:r>
          </w:p>
        </w:tc>
        <w:tc>
          <w:tcPr>
            <w:tcW w:w="2320" w:type="dxa"/>
            <w:tcBorders>
              <w:top w:val="nil"/>
              <w:left w:val="nil"/>
              <w:bottom w:val="single" w:sz="4" w:space="0" w:color="auto"/>
              <w:right w:val="single" w:sz="4" w:space="0" w:color="auto"/>
            </w:tcBorders>
            <w:shd w:val="clear" w:color="auto" w:fill="auto"/>
            <w:noWrap/>
            <w:vAlign w:val="bottom"/>
            <w:hideMark/>
          </w:tcPr>
          <w:p w:rsidR="00276ECA" w:rsidRPr="005E40AA" w:rsidRDefault="00276ECA" w:rsidP="005C2452">
            <w:pPr>
              <w:spacing w:after="0" w:line="240" w:lineRule="auto"/>
              <w:jc w:val="right"/>
              <w:rPr>
                <w:rFonts w:ascii="Arial" w:eastAsia="Times New Roman" w:hAnsi="Arial" w:cs="Arial"/>
                <w:sz w:val="18"/>
                <w:szCs w:val="18"/>
              </w:rPr>
            </w:pPr>
            <w:r w:rsidRPr="005E40AA">
              <w:rPr>
                <w:rFonts w:ascii="Arial" w:eastAsia="Times New Roman" w:hAnsi="Arial" w:cs="Arial"/>
                <w:sz w:val="18"/>
                <w:szCs w:val="18"/>
              </w:rPr>
              <w:t xml:space="preserve">$50,000.00 </w:t>
            </w:r>
          </w:p>
        </w:tc>
      </w:tr>
    </w:tbl>
    <w:p w:rsidR="00276ECA" w:rsidRDefault="00276ECA" w:rsidP="00276ECA">
      <w:pPr>
        <w:spacing w:after="0"/>
        <w:ind w:firstLine="360"/>
        <w:jc w:val="center"/>
        <w:rPr>
          <w:rFonts w:ascii="Arial" w:hAnsi="Arial" w:cs="Arial"/>
          <w:b/>
          <w:sz w:val="18"/>
          <w:szCs w:val="18"/>
        </w:rPr>
      </w:pPr>
      <w:r w:rsidRPr="005E40AA">
        <w:rPr>
          <w:rFonts w:ascii="Arial" w:hAnsi="Arial" w:cs="Arial"/>
          <w:b/>
          <w:sz w:val="18"/>
          <w:szCs w:val="18"/>
        </w:rPr>
        <w:t xml:space="preserve"> “In the end we will conserve what we love, we will love what we understand, </w:t>
      </w:r>
    </w:p>
    <w:p w:rsidR="00504C62" w:rsidRPr="00276ECA" w:rsidRDefault="00276ECA" w:rsidP="00276ECA">
      <w:pPr>
        <w:spacing w:after="0"/>
        <w:ind w:firstLine="360"/>
        <w:jc w:val="center"/>
        <w:rPr>
          <w:rFonts w:ascii="Arial" w:hAnsi="Arial" w:cs="Arial"/>
          <w:b/>
          <w:sz w:val="18"/>
          <w:szCs w:val="18"/>
        </w:rPr>
      </w:pPr>
      <w:r w:rsidRPr="005E40AA">
        <w:rPr>
          <w:rFonts w:ascii="Arial" w:hAnsi="Arial" w:cs="Arial"/>
          <w:b/>
          <w:sz w:val="18"/>
          <w:szCs w:val="18"/>
        </w:rPr>
        <w:t xml:space="preserve">and we will understand only what we are taught.” </w:t>
      </w:r>
      <w:r>
        <w:rPr>
          <w:rFonts w:ascii="Arial" w:hAnsi="Arial" w:cs="Arial"/>
          <w:b/>
          <w:sz w:val="18"/>
          <w:szCs w:val="18"/>
        </w:rPr>
        <w:t xml:space="preserve"> - </w:t>
      </w:r>
      <w:r w:rsidRPr="005E40AA">
        <w:rPr>
          <w:rFonts w:ascii="Arial" w:hAnsi="Arial" w:cs="Arial"/>
          <w:b/>
          <w:sz w:val="18"/>
          <w:szCs w:val="18"/>
        </w:rPr>
        <w:t>Baba Dioum</w:t>
      </w:r>
    </w:p>
    <w:sectPr w:rsidR="00504C62" w:rsidRPr="00276ECA" w:rsidSect="001D16E7">
      <w:pgSz w:w="12240" w:h="15840"/>
      <w:pgMar w:top="864"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ヒラギノ角ゴ Pro W3">
    <w:altName w:val="Times New Roman"/>
    <w:charset w:val="00"/>
    <w:family w:val="roman"/>
    <w:pitch w:val="default"/>
    <w:sig w:usb0="00000000" w:usb1="00000000" w:usb2="00000000" w:usb3="00000000" w:csb0="00000000" w:csb1="00000000"/>
  </w:font>
  <w:font w:name="Palatino">
    <w:altName w:val="Book Antiqua"/>
    <w:charset w:val="00"/>
    <w:family w:val="roman"/>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6ECA"/>
    <w:rsid w:val="000A31BE"/>
    <w:rsid w:val="001D16E7"/>
    <w:rsid w:val="00242187"/>
    <w:rsid w:val="002641E8"/>
    <w:rsid w:val="00276ECA"/>
    <w:rsid w:val="00421709"/>
    <w:rsid w:val="00504C62"/>
    <w:rsid w:val="005D7994"/>
    <w:rsid w:val="00635CFC"/>
    <w:rsid w:val="00AA3476"/>
    <w:rsid w:val="00AC426D"/>
    <w:rsid w:val="00ED4C86"/>
    <w:rsid w:val="00EF05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ECA"/>
    <w:rPr>
      <w:rFonts w:ascii="Calibri" w:eastAsia="ヒラギノ角ゴ Pro W3" w:hAnsi="Calibri" w:cs="Times New Roman"/>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
    <w:name w:val="Sub-title"/>
    <w:rsid w:val="00276ECA"/>
    <w:pPr>
      <w:spacing w:after="80" w:line="312" w:lineRule="auto"/>
      <w:jc w:val="center"/>
    </w:pPr>
    <w:rPr>
      <w:rFonts w:ascii="Palatino" w:eastAsia="ヒラギノ角ゴ Pro W3" w:hAnsi="Palatino" w:cs="Times New Roman"/>
      <w:color w:val="000000"/>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ECA"/>
    <w:rPr>
      <w:rFonts w:ascii="Calibri" w:eastAsia="ヒラギノ角ゴ Pro W3" w:hAnsi="Calibri" w:cs="Times New Roman"/>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
    <w:name w:val="Sub-title"/>
    <w:rsid w:val="00276ECA"/>
    <w:pPr>
      <w:spacing w:after="80" w:line="312" w:lineRule="auto"/>
      <w:jc w:val="center"/>
    </w:pPr>
    <w:rPr>
      <w:rFonts w:ascii="Palatino" w:eastAsia="ヒラギノ角ゴ Pro W3" w:hAnsi="Palatino" w:cs="Times New Roman"/>
      <w:color w:val="000000"/>
      <w:sz w:val="18"/>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Allen</dc:creator>
  <cp:lastModifiedBy>Wintering_R</cp:lastModifiedBy>
  <cp:revision>2</cp:revision>
  <cp:lastPrinted>2011-05-05T16:07:00Z</cp:lastPrinted>
  <dcterms:created xsi:type="dcterms:W3CDTF">2011-05-24T14:48:00Z</dcterms:created>
  <dcterms:modified xsi:type="dcterms:W3CDTF">2011-05-24T14:48:00Z</dcterms:modified>
</cp:coreProperties>
</file>