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44DBC2" w14:textId="77777777" w:rsidR="00B459DF" w:rsidRPr="00A36C4B" w:rsidRDefault="00B459DF">
      <w:pPr>
        <w:rPr>
          <w:rFonts w:ascii="Times New Roman" w:hAnsi="Times New Roman" w:cs="Times New Roman"/>
          <w:b/>
          <w:sz w:val="24"/>
          <w:szCs w:val="24"/>
        </w:rPr>
      </w:pPr>
      <w:bookmarkStart w:id="0" w:name="_GoBack"/>
      <w:bookmarkEnd w:id="0"/>
      <w:r w:rsidRPr="00A36C4B">
        <w:rPr>
          <w:rFonts w:ascii="Times New Roman" w:hAnsi="Times New Roman" w:cs="Times New Roman"/>
          <w:b/>
          <w:sz w:val="24"/>
          <w:szCs w:val="24"/>
        </w:rPr>
        <w:t>Material and Methods</w:t>
      </w:r>
    </w:p>
    <w:p w14:paraId="14AF7BEB" w14:textId="77777777" w:rsidR="00B459DF" w:rsidRPr="00A36C4B" w:rsidRDefault="00B459DF">
      <w:pPr>
        <w:rPr>
          <w:rFonts w:ascii="Times New Roman" w:hAnsi="Times New Roman" w:cs="Times New Roman"/>
          <w:sz w:val="24"/>
          <w:szCs w:val="24"/>
        </w:rPr>
      </w:pPr>
      <w:commentRangeStart w:id="1"/>
      <w:r w:rsidRPr="00A36C4B">
        <w:rPr>
          <w:rFonts w:ascii="Times New Roman" w:hAnsi="Times New Roman" w:cs="Times New Roman"/>
          <w:sz w:val="24"/>
          <w:szCs w:val="24"/>
          <w:highlight w:val="yellow"/>
        </w:rPr>
        <w:t>Insert Data Collection</w:t>
      </w:r>
      <w:r w:rsidRPr="009E30DE">
        <w:rPr>
          <w:rFonts w:ascii="Times New Roman" w:hAnsi="Times New Roman" w:cs="Times New Roman"/>
          <w:sz w:val="24"/>
          <w:szCs w:val="24"/>
          <w:highlight w:val="yellow"/>
        </w:rPr>
        <w:t xml:space="preserve"> </w:t>
      </w:r>
      <w:r w:rsidR="009E30DE" w:rsidRPr="009E30DE">
        <w:rPr>
          <w:rFonts w:ascii="Times New Roman" w:hAnsi="Times New Roman" w:cs="Times New Roman"/>
          <w:sz w:val="24"/>
          <w:szCs w:val="24"/>
          <w:highlight w:val="yellow"/>
        </w:rPr>
        <w:t>methodology</w:t>
      </w:r>
      <w:r w:rsidRPr="00A36C4B">
        <w:rPr>
          <w:rFonts w:ascii="Times New Roman" w:hAnsi="Times New Roman" w:cs="Times New Roman"/>
          <w:sz w:val="24"/>
          <w:szCs w:val="24"/>
        </w:rPr>
        <w:t xml:space="preserve"> </w:t>
      </w:r>
      <w:commentRangeEnd w:id="1"/>
      <w:r w:rsidR="006D66B3">
        <w:rPr>
          <w:rStyle w:val="CommentReference"/>
        </w:rPr>
        <w:commentReference w:id="1"/>
      </w:r>
    </w:p>
    <w:p w14:paraId="2B31A311" w14:textId="77777777" w:rsidR="005952DD" w:rsidRPr="00A36C4B" w:rsidRDefault="00FC1193">
      <w:pPr>
        <w:rPr>
          <w:rFonts w:ascii="Times New Roman" w:hAnsi="Times New Roman" w:cs="Times New Roman"/>
          <w:b/>
          <w:sz w:val="24"/>
          <w:szCs w:val="24"/>
        </w:rPr>
      </w:pPr>
      <w:r w:rsidRPr="00A36C4B">
        <w:rPr>
          <w:rFonts w:ascii="Times New Roman" w:hAnsi="Times New Roman" w:cs="Times New Roman"/>
          <w:b/>
          <w:sz w:val="24"/>
          <w:szCs w:val="24"/>
        </w:rPr>
        <w:t>Statistical Analysis</w:t>
      </w:r>
    </w:p>
    <w:p w14:paraId="2A497B99" w14:textId="77777777" w:rsidR="00FC1193" w:rsidRPr="00A36C4B" w:rsidRDefault="00F436BF">
      <w:pPr>
        <w:rPr>
          <w:rFonts w:ascii="Times New Roman" w:hAnsi="Times New Roman" w:cs="Times New Roman"/>
          <w:sz w:val="24"/>
          <w:szCs w:val="24"/>
        </w:rPr>
      </w:pPr>
      <w:r w:rsidRPr="00A36C4B">
        <w:rPr>
          <w:rFonts w:ascii="Times New Roman" w:hAnsi="Times New Roman" w:cs="Times New Roman"/>
          <w:sz w:val="24"/>
          <w:szCs w:val="24"/>
        </w:rPr>
        <w:t xml:space="preserve">Variations in seagrass coverage, expressed as </w:t>
      </w:r>
      <w:r w:rsidR="00A36C4B">
        <w:rPr>
          <w:rFonts w:ascii="Times New Roman" w:hAnsi="Times New Roman" w:cs="Times New Roman"/>
          <w:sz w:val="24"/>
          <w:szCs w:val="24"/>
        </w:rPr>
        <w:t xml:space="preserve">growing season </w:t>
      </w:r>
      <w:r w:rsidRPr="00A36C4B">
        <w:rPr>
          <w:rFonts w:ascii="Times New Roman" w:hAnsi="Times New Roman" w:cs="Times New Roman"/>
          <w:sz w:val="24"/>
          <w:szCs w:val="24"/>
        </w:rPr>
        <w:t xml:space="preserve">total submerged aquatic vegetation (SAV) abundance Braun-Blanquet (BB) score, as a function of sampling location was analyzed using the </w:t>
      </w:r>
      <w:r w:rsidR="00B459DF" w:rsidRPr="00A36C4B">
        <w:rPr>
          <w:rFonts w:ascii="Times New Roman" w:hAnsi="Times New Roman" w:cs="Times New Roman"/>
          <w:sz w:val="24"/>
          <w:szCs w:val="24"/>
        </w:rPr>
        <w:t>Chi-square</w:t>
      </w:r>
      <w:r w:rsidRPr="00A36C4B">
        <w:rPr>
          <w:rFonts w:ascii="Times New Roman" w:hAnsi="Times New Roman" w:cs="Times New Roman"/>
          <w:sz w:val="24"/>
          <w:szCs w:val="24"/>
        </w:rPr>
        <w:t>d test.</w:t>
      </w:r>
      <w:r w:rsidR="00146653" w:rsidRPr="00A36C4B">
        <w:rPr>
          <w:rFonts w:ascii="Times New Roman" w:hAnsi="Times New Roman" w:cs="Times New Roman"/>
          <w:sz w:val="24"/>
          <w:szCs w:val="24"/>
        </w:rPr>
        <w:t xml:space="preserve"> </w:t>
      </w:r>
      <w:r w:rsidRPr="00A36C4B">
        <w:rPr>
          <w:rFonts w:ascii="Times New Roman" w:hAnsi="Times New Roman" w:cs="Times New Roman"/>
          <w:sz w:val="24"/>
          <w:szCs w:val="24"/>
        </w:rPr>
        <w:t>Temporal t</w:t>
      </w:r>
      <w:r w:rsidR="00B459DF" w:rsidRPr="00A36C4B">
        <w:rPr>
          <w:rFonts w:ascii="Times New Roman" w:hAnsi="Times New Roman" w:cs="Times New Roman"/>
          <w:sz w:val="24"/>
          <w:szCs w:val="24"/>
        </w:rPr>
        <w:t>rend analysis was conducted using</w:t>
      </w:r>
      <w:r w:rsidR="00FC1193" w:rsidRPr="00A36C4B">
        <w:rPr>
          <w:rFonts w:ascii="Times New Roman" w:hAnsi="Times New Roman" w:cs="Times New Roman"/>
          <w:sz w:val="24"/>
          <w:szCs w:val="24"/>
        </w:rPr>
        <w:t xml:space="preserve"> Kendall tau (</w:t>
      </w:r>
      <w:r w:rsidR="00FC1193" w:rsidRPr="00A36C4B">
        <w:rPr>
          <w:rFonts w:ascii="Times New Roman" w:hAnsi="Times New Roman" w:cs="Times New Roman"/>
          <w:sz w:val="24"/>
          <w:szCs w:val="24"/>
        </w:rPr>
        <w:sym w:font="Symbol" w:char="F074"/>
      </w:r>
      <w:r w:rsidR="00FC1193" w:rsidRPr="00A36C4B">
        <w:rPr>
          <w:rFonts w:ascii="Times New Roman" w:hAnsi="Times New Roman" w:cs="Times New Roman"/>
          <w:sz w:val="24"/>
          <w:szCs w:val="24"/>
        </w:rPr>
        <w:t xml:space="preserve">) correlation analysis </w:t>
      </w:r>
      <w:r w:rsidR="00B459DF" w:rsidRPr="00A36C4B">
        <w:rPr>
          <w:rFonts w:ascii="Times New Roman" w:hAnsi="Times New Roman" w:cs="Times New Roman"/>
          <w:sz w:val="24"/>
          <w:szCs w:val="24"/>
        </w:rPr>
        <w:t>with mean growing season total SAV abundance BB scores and year as variables</w:t>
      </w:r>
      <w:r w:rsidRPr="00A36C4B">
        <w:rPr>
          <w:rFonts w:ascii="Times New Roman" w:hAnsi="Times New Roman" w:cs="Times New Roman"/>
          <w:sz w:val="24"/>
          <w:szCs w:val="24"/>
        </w:rPr>
        <w:t xml:space="preserve">. </w:t>
      </w:r>
      <w:r w:rsidR="00B459DF" w:rsidRPr="00A36C4B">
        <w:rPr>
          <w:rFonts w:ascii="Times New Roman" w:hAnsi="Times New Roman" w:cs="Times New Roman"/>
          <w:sz w:val="24"/>
          <w:szCs w:val="24"/>
        </w:rPr>
        <w:t xml:space="preserve">Both regional </w:t>
      </w:r>
      <w:r w:rsidRPr="00A36C4B">
        <w:rPr>
          <w:rFonts w:ascii="Times New Roman" w:hAnsi="Times New Roman" w:cs="Times New Roman"/>
          <w:sz w:val="24"/>
          <w:szCs w:val="24"/>
        </w:rPr>
        <w:t xml:space="preserve">(i.e. bay-wide) </w:t>
      </w:r>
      <w:r w:rsidR="00B459DF" w:rsidRPr="00A36C4B">
        <w:rPr>
          <w:rFonts w:ascii="Times New Roman" w:hAnsi="Times New Roman" w:cs="Times New Roman"/>
          <w:sz w:val="24"/>
          <w:szCs w:val="24"/>
        </w:rPr>
        <w:t xml:space="preserve">and site specific correlation </w:t>
      </w:r>
      <w:r w:rsidRPr="00A36C4B">
        <w:rPr>
          <w:rFonts w:ascii="Times New Roman" w:hAnsi="Times New Roman" w:cs="Times New Roman"/>
          <w:sz w:val="24"/>
          <w:szCs w:val="24"/>
        </w:rPr>
        <w:t xml:space="preserve">trend </w:t>
      </w:r>
      <w:r w:rsidR="00B459DF" w:rsidRPr="00A36C4B">
        <w:rPr>
          <w:rFonts w:ascii="Times New Roman" w:hAnsi="Times New Roman" w:cs="Times New Roman"/>
          <w:sz w:val="24"/>
          <w:szCs w:val="24"/>
        </w:rPr>
        <w:t>analyses were performed.</w:t>
      </w:r>
    </w:p>
    <w:p w14:paraId="60176DCD" w14:textId="77777777" w:rsidR="00D16E2D" w:rsidRPr="00A36C4B" w:rsidRDefault="00D16E2D" w:rsidP="00D16E2D">
      <w:pPr>
        <w:rPr>
          <w:rFonts w:ascii="Times New Roman" w:hAnsi="Times New Roman" w:cs="Times New Roman"/>
          <w:color w:val="000000"/>
          <w:sz w:val="24"/>
          <w:szCs w:val="24"/>
        </w:rPr>
      </w:pPr>
      <w:r w:rsidRPr="00A36C4B">
        <w:rPr>
          <w:rFonts w:ascii="Times New Roman" w:hAnsi="Times New Roman" w:cs="Times New Roman"/>
          <w:sz w:val="24"/>
          <w:szCs w:val="24"/>
        </w:rPr>
        <w:t xml:space="preserve">All statistical operations were performed using R© (Ver 3.1.2, R Foundation for Statistical Computing, Vienna Austria) with </w:t>
      </w:r>
      <w:r w:rsidRPr="00A36C4B">
        <w:rPr>
          <w:rFonts w:ascii="Times New Roman" w:hAnsi="Times New Roman" w:cs="Times New Roman"/>
          <w:color w:val="000000"/>
          <w:sz w:val="24"/>
          <w:szCs w:val="24"/>
        </w:rPr>
        <w:t>the critical level of significance was set at α = 0.05.</w:t>
      </w:r>
    </w:p>
    <w:p w14:paraId="7DDC4DC6" w14:textId="77777777" w:rsidR="00B459DF" w:rsidRPr="00A36C4B" w:rsidRDefault="00B459DF">
      <w:pPr>
        <w:rPr>
          <w:rFonts w:ascii="Times New Roman" w:hAnsi="Times New Roman" w:cs="Times New Roman"/>
          <w:sz w:val="24"/>
          <w:szCs w:val="24"/>
        </w:rPr>
      </w:pPr>
    </w:p>
    <w:p w14:paraId="07A0B240" w14:textId="77777777" w:rsidR="00B459DF" w:rsidRPr="00A36C4B" w:rsidRDefault="00B459DF">
      <w:pPr>
        <w:rPr>
          <w:rFonts w:ascii="Times New Roman" w:hAnsi="Times New Roman" w:cs="Times New Roman"/>
          <w:b/>
          <w:sz w:val="24"/>
          <w:szCs w:val="24"/>
        </w:rPr>
      </w:pPr>
      <w:r w:rsidRPr="00A36C4B">
        <w:rPr>
          <w:rFonts w:ascii="Times New Roman" w:hAnsi="Times New Roman" w:cs="Times New Roman"/>
          <w:b/>
          <w:sz w:val="24"/>
          <w:szCs w:val="24"/>
        </w:rPr>
        <w:t>Results</w:t>
      </w:r>
    </w:p>
    <w:p w14:paraId="3AE2E48B" w14:textId="77777777" w:rsidR="00D16E2D" w:rsidRPr="00A36C4B" w:rsidRDefault="00CF0236">
      <w:pPr>
        <w:rPr>
          <w:rFonts w:ascii="Times New Roman" w:hAnsi="Times New Roman" w:cs="Times New Roman"/>
          <w:sz w:val="24"/>
          <w:szCs w:val="24"/>
        </w:rPr>
      </w:pPr>
      <w:r>
        <w:rPr>
          <w:rFonts w:ascii="Times New Roman" w:hAnsi="Times New Roman" w:cs="Times New Roman"/>
          <w:sz w:val="24"/>
          <w:szCs w:val="24"/>
        </w:rPr>
        <w:t>Sea</w:t>
      </w:r>
      <w:r w:rsidR="00F436BF" w:rsidRPr="00A36C4B">
        <w:rPr>
          <w:rFonts w:ascii="Times New Roman" w:hAnsi="Times New Roman" w:cs="Times New Roman"/>
          <w:sz w:val="24"/>
          <w:szCs w:val="24"/>
        </w:rPr>
        <w:t>grass coverage significantly varied between sampling locations (</w:t>
      </w:r>
      <w:r w:rsidR="00A36C4B" w:rsidRPr="00A36C4B">
        <w:rPr>
          <w:rFonts w:ascii="Times New Roman" w:hAnsi="Times New Roman" w:cs="Times New Roman"/>
          <w:sz w:val="24"/>
          <w:szCs w:val="24"/>
        </w:rPr>
        <w:fldChar w:fldCharType="begin"/>
      </w:r>
      <w:r w:rsidR="00A36C4B" w:rsidRPr="00A36C4B">
        <w:rPr>
          <w:rFonts w:ascii="Times New Roman" w:hAnsi="Times New Roman" w:cs="Times New Roman"/>
          <w:sz w:val="24"/>
          <w:szCs w:val="24"/>
        </w:rPr>
        <w:instrText xml:space="preserve"> REF _Ref418534630 \h  \* MERGEFORMAT </w:instrText>
      </w:r>
      <w:r w:rsidR="00A36C4B" w:rsidRPr="00A36C4B">
        <w:rPr>
          <w:rFonts w:ascii="Times New Roman" w:hAnsi="Times New Roman" w:cs="Times New Roman"/>
          <w:sz w:val="24"/>
          <w:szCs w:val="24"/>
        </w:rPr>
      </w:r>
      <w:r w:rsidR="00A36C4B" w:rsidRPr="00A36C4B">
        <w:rPr>
          <w:rFonts w:ascii="Times New Roman" w:hAnsi="Times New Roman" w:cs="Times New Roman"/>
          <w:sz w:val="24"/>
          <w:szCs w:val="24"/>
        </w:rPr>
        <w:fldChar w:fldCharType="separate"/>
      </w:r>
      <w:r w:rsidR="00A36C4B" w:rsidRPr="00A36C4B">
        <w:rPr>
          <w:rFonts w:ascii="Times New Roman" w:hAnsi="Times New Roman" w:cs="Times New Roman"/>
          <w:sz w:val="24"/>
          <w:szCs w:val="24"/>
        </w:rPr>
        <w:t xml:space="preserve">Figure </w:t>
      </w:r>
      <w:r w:rsidR="00A36C4B" w:rsidRPr="00A36C4B">
        <w:rPr>
          <w:rFonts w:ascii="Times New Roman" w:hAnsi="Times New Roman" w:cs="Times New Roman"/>
          <w:noProof/>
          <w:sz w:val="24"/>
          <w:szCs w:val="24"/>
        </w:rPr>
        <w:t>1</w:t>
      </w:r>
      <w:r w:rsidR="00A36C4B" w:rsidRPr="00A36C4B">
        <w:rPr>
          <w:rFonts w:ascii="Times New Roman" w:hAnsi="Times New Roman" w:cs="Times New Roman"/>
          <w:sz w:val="24"/>
          <w:szCs w:val="24"/>
        </w:rPr>
        <w:fldChar w:fldCharType="end"/>
      </w:r>
      <w:r w:rsidR="00A36C4B" w:rsidRPr="00A36C4B">
        <w:rPr>
          <w:rFonts w:ascii="Times New Roman" w:hAnsi="Times New Roman" w:cs="Times New Roman"/>
          <w:sz w:val="24"/>
          <w:szCs w:val="24"/>
        </w:rPr>
        <w:t xml:space="preserve">, </w:t>
      </w:r>
      <w:r w:rsidR="00F436BF" w:rsidRPr="00A36C4B">
        <w:rPr>
          <w:rFonts w:ascii="Times New Roman" w:hAnsi="Times New Roman" w:cs="Times New Roman"/>
          <w:sz w:val="24"/>
          <w:szCs w:val="24"/>
        </w:rPr>
        <w:sym w:font="Symbol" w:char="F063"/>
      </w:r>
      <w:r w:rsidR="00F436BF" w:rsidRPr="00A36C4B">
        <w:rPr>
          <w:rFonts w:ascii="Times New Roman" w:hAnsi="Times New Roman" w:cs="Times New Roman"/>
          <w:sz w:val="24"/>
          <w:szCs w:val="24"/>
          <w:vertAlign w:val="superscript"/>
        </w:rPr>
        <w:t>2</w:t>
      </w:r>
      <w:r w:rsidR="00F436BF" w:rsidRPr="00A36C4B">
        <w:rPr>
          <w:rFonts w:ascii="Times New Roman" w:hAnsi="Times New Roman" w:cs="Times New Roman"/>
          <w:sz w:val="24"/>
          <w:szCs w:val="24"/>
        </w:rPr>
        <w:t xml:space="preserve"> = 82.4, df = 16, </w:t>
      </w:r>
      <w:r w:rsidR="00F436BF" w:rsidRPr="00A36C4B">
        <w:rPr>
          <w:rFonts w:ascii="Times New Roman" w:hAnsi="Times New Roman" w:cs="Times New Roman"/>
          <w:sz w:val="24"/>
          <w:szCs w:val="24"/>
        </w:rPr>
        <w:sym w:font="Symbol" w:char="F072"/>
      </w:r>
      <w:r w:rsidR="00F436BF" w:rsidRPr="00A36C4B">
        <w:rPr>
          <w:rFonts w:ascii="Times New Roman" w:hAnsi="Times New Roman" w:cs="Times New Roman"/>
          <w:sz w:val="24"/>
          <w:szCs w:val="24"/>
        </w:rPr>
        <w:t>&lt;0.01)</w:t>
      </w:r>
      <w:r w:rsidR="00A36C4B">
        <w:rPr>
          <w:rFonts w:ascii="Times New Roman" w:hAnsi="Times New Roman" w:cs="Times New Roman"/>
          <w:sz w:val="24"/>
          <w:szCs w:val="24"/>
        </w:rPr>
        <w:t xml:space="preserve"> from growing season 2006 to 2013</w:t>
      </w:r>
      <w:r w:rsidR="00F436BF" w:rsidRPr="00A36C4B">
        <w:rPr>
          <w:rFonts w:ascii="Times New Roman" w:hAnsi="Times New Roman" w:cs="Times New Roman"/>
          <w:sz w:val="24"/>
          <w:szCs w:val="24"/>
        </w:rPr>
        <w:t>.</w:t>
      </w:r>
      <w:r w:rsidR="00A36C4B">
        <w:rPr>
          <w:rFonts w:ascii="Times New Roman" w:hAnsi="Times New Roman" w:cs="Times New Roman"/>
          <w:sz w:val="24"/>
          <w:szCs w:val="24"/>
        </w:rPr>
        <w:t xml:space="preserve"> Sites EB02 and EB03 observed the highest mean BB score at 3.60 ± 0.34 and 3.48 ± 0.28 respectively indicating overall the highest benthic coverage between the other monitoring sites. Sites EB01 </w:t>
      </w:r>
      <w:r w:rsidR="00C83F9A">
        <w:rPr>
          <w:rFonts w:ascii="Times New Roman" w:hAnsi="Times New Roman" w:cs="Times New Roman"/>
          <w:sz w:val="24"/>
          <w:szCs w:val="24"/>
        </w:rPr>
        <w:t xml:space="preserve">and EB05 observed moderate BB scores throughout the course of the eight years of surveys with BB scores of 2.67 ± 0.40 and 2.40 ± 0.27, respectively. EB04 observed the lowest BB score of 1.97 ± 0.16. </w:t>
      </w:r>
      <w:r w:rsidR="00614AD2">
        <w:rPr>
          <w:rFonts w:ascii="Times New Roman" w:hAnsi="Times New Roman" w:cs="Times New Roman"/>
          <w:sz w:val="24"/>
          <w:szCs w:val="24"/>
        </w:rPr>
        <w:t>This grouping of mean BB scores corresponds generally to the spatial distribution of monitoring stations within Estero Bay (</w:t>
      </w:r>
      <w:r w:rsidR="00942997" w:rsidRPr="00942997">
        <w:rPr>
          <w:rFonts w:ascii="Times New Roman" w:hAnsi="Times New Roman" w:cs="Times New Roman"/>
          <w:sz w:val="24"/>
          <w:szCs w:val="24"/>
        </w:rPr>
        <w:fldChar w:fldCharType="begin"/>
      </w:r>
      <w:r w:rsidR="00942997" w:rsidRPr="00942997">
        <w:rPr>
          <w:rFonts w:ascii="Times New Roman" w:hAnsi="Times New Roman" w:cs="Times New Roman"/>
          <w:sz w:val="24"/>
          <w:szCs w:val="24"/>
        </w:rPr>
        <w:instrText xml:space="preserve"> REF _Ref418585967 \h  \* MERGEFORMAT </w:instrText>
      </w:r>
      <w:r w:rsidR="00942997" w:rsidRPr="00942997">
        <w:rPr>
          <w:rFonts w:ascii="Times New Roman" w:hAnsi="Times New Roman" w:cs="Times New Roman"/>
          <w:sz w:val="24"/>
          <w:szCs w:val="24"/>
        </w:rPr>
      </w:r>
      <w:r w:rsidR="00942997" w:rsidRPr="00942997">
        <w:rPr>
          <w:rFonts w:ascii="Times New Roman" w:hAnsi="Times New Roman" w:cs="Times New Roman"/>
          <w:sz w:val="24"/>
          <w:szCs w:val="24"/>
        </w:rPr>
        <w:fldChar w:fldCharType="separate"/>
      </w:r>
      <w:r w:rsidR="00942997" w:rsidRPr="00942997">
        <w:rPr>
          <w:rFonts w:ascii="Times New Roman" w:hAnsi="Times New Roman" w:cs="Times New Roman"/>
          <w:sz w:val="24"/>
          <w:szCs w:val="24"/>
        </w:rPr>
        <w:t xml:space="preserve">Figure </w:t>
      </w:r>
      <w:r w:rsidR="00942997" w:rsidRPr="00942997">
        <w:rPr>
          <w:rFonts w:ascii="Times New Roman" w:hAnsi="Times New Roman" w:cs="Times New Roman"/>
          <w:noProof/>
          <w:sz w:val="24"/>
          <w:szCs w:val="24"/>
        </w:rPr>
        <w:t>2</w:t>
      </w:r>
      <w:r w:rsidR="00942997" w:rsidRPr="00942997">
        <w:rPr>
          <w:rFonts w:ascii="Times New Roman" w:hAnsi="Times New Roman" w:cs="Times New Roman"/>
          <w:sz w:val="24"/>
          <w:szCs w:val="24"/>
        </w:rPr>
        <w:fldChar w:fldCharType="end"/>
      </w:r>
      <w:r w:rsidR="00614AD2">
        <w:rPr>
          <w:rFonts w:ascii="Times New Roman" w:hAnsi="Times New Roman" w:cs="Times New Roman"/>
          <w:sz w:val="24"/>
          <w:szCs w:val="24"/>
        </w:rPr>
        <w:t>)</w:t>
      </w:r>
      <w:r w:rsidR="00942997">
        <w:rPr>
          <w:rFonts w:ascii="Times New Roman" w:hAnsi="Times New Roman" w:cs="Times New Roman"/>
          <w:sz w:val="24"/>
          <w:szCs w:val="24"/>
        </w:rPr>
        <w:t>.</w:t>
      </w:r>
      <w:r>
        <w:rPr>
          <w:rFonts w:ascii="Times New Roman" w:hAnsi="Times New Roman" w:cs="Times New Roman"/>
          <w:sz w:val="24"/>
          <w:szCs w:val="24"/>
        </w:rPr>
        <w:t xml:space="preserve"> These differences in BB scores could be the result of water quality conditions, both optical (i.e. turbidity, total suspended solids, chlorophyll, etc.) and nutrient (i.e. phosphorus, nitrogen, etc.) related water quality within each respective region of Estero Bay (EBAP, </w:t>
      </w:r>
      <w:r w:rsidRPr="00CF0236">
        <w:rPr>
          <w:rFonts w:ascii="Times New Roman" w:hAnsi="Times New Roman" w:cs="Times New Roman"/>
          <w:i/>
          <w:sz w:val="24"/>
          <w:szCs w:val="24"/>
        </w:rPr>
        <w:t>unpublished data</w:t>
      </w:r>
      <w:r>
        <w:rPr>
          <w:rFonts w:ascii="Times New Roman" w:hAnsi="Times New Roman" w:cs="Times New Roman"/>
          <w:sz w:val="24"/>
          <w:szCs w:val="24"/>
        </w:rPr>
        <w:t>).</w:t>
      </w:r>
      <w:r w:rsidR="00A36C4B">
        <w:rPr>
          <w:rFonts w:ascii="Times New Roman" w:hAnsi="Times New Roman" w:cs="Times New Roman"/>
          <w:sz w:val="24"/>
          <w:szCs w:val="24"/>
        </w:rPr>
        <w:t xml:space="preserve">  </w:t>
      </w:r>
      <w:r w:rsidR="00F436BF" w:rsidRPr="00A36C4B">
        <w:rPr>
          <w:rFonts w:ascii="Times New Roman" w:hAnsi="Times New Roman" w:cs="Times New Roman"/>
          <w:sz w:val="24"/>
          <w:szCs w:val="24"/>
        </w:rPr>
        <w:t xml:space="preserve"> </w:t>
      </w:r>
    </w:p>
    <w:p w14:paraId="2D66712E" w14:textId="77777777" w:rsidR="00F436BF" w:rsidRPr="00A36C4B" w:rsidRDefault="00CF0236">
      <w:pPr>
        <w:rPr>
          <w:rFonts w:ascii="Times New Roman" w:hAnsi="Times New Roman" w:cs="Times New Roman"/>
          <w:sz w:val="24"/>
          <w:szCs w:val="24"/>
        </w:rPr>
      </w:pPr>
      <w:r>
        <w:rPr>
          <w:rFonts w:ascii="Times New Roman" w:hAnsi="Times New Roman" w:cs="Times New Roman"/>
          <w:sz w:val="24"/>
          <w:szCs w:val="24"/>
        </w:rPr>
        <w:t xml:space="preserve">Regionally growing season seagrass coverage has significantly </w:t>
      </w:r>
      <w:r w:rsidR="00DD19EE">
        <w:rPr>
          <w:rFonts w:ascii="Times New Roman" w:hAnsi="Times New Roman" w:cs="Times New Roman"/>
          <w:sz w:val="24"/>
          <w:szCs w:val="24"/>
        </w:rPr>
        <w:t>declined during</w:t>
      </w:r>
      <w:r>
        <w:rPr>
          <w:rFonts w:ascii="Times New Roman" w:hAnsi="Times New Roman" w:cs="Times New Roman"/>
          <w:sz w:val="24"/>
          <w:szCs w:val="24"/>
        </w:rPr>
        <w:t xml:space="preserve"> the eight year monitoring period (</w:t>
      </w:r>
      <w:r w:rsidR="001B498F" w:rsidRPr="001B498F">
        <w:rPr>
          <w:rFonts w:ascii="Times New Roman" w:hAnsi="Times New Roman" w:cs="Times New Roman"/>
          <w:sz w:val="24"/>
          <w:szCs w:val="24"/>
        </w:rPr>
        <w:fldChar w:fldCharType="begin"/>
      </w:r>
      <w:r w:rsidR="001B498F" w:rsidRPr="001B498F">
        <w:rPr>
          <w:rFonts w:ascii="Times New Roman" w:hAnsi="Times New Roman" w:cs="Times New Roman"/>
          <w:sz w:val="24"/>
          <w:szCs w:val="24"/>
        </w:rPr>
        <w:instrText xml:space="preserve"> REF _Ref418588136 \h  \* MERGEFORMAT </w:instrText>
      </w:r>
      <w:r w:rsidR="001B498F" w:rsidRPr="001B498F">
        <w:rPr>
          <w:rFonts w:ascii="Times New Roman" w:hAnsi="Times New Roman" w:cs="Times New Roman"/>
          <w:sz w:val="24"/>
          <w:szCs w:val="24"/>
        </w:rPr>
      </w:r>
      <w:r w:rsidR="001B498F" w:rsidRPr="001B498F">
        <w:rPr>
          <w:rFonts w:ascii="Times New Roman" w:hAnsi="Times New Roman" w:cs="Times New Roman"/>
          <w:sz w:val="24"/>
          <w:szCs w:val="24"/>
        </w:rPr>
        <w:fldChar w:fldCharType="separate"/>
      </w:r>
      <w:r w:rsidR="001B498F" w:rsidRPr="001B498F">
        <w:rPr>
          <w:rFonts w:ascii="Times New Roman" w:hAnsi="Times New Roman" w:cs="Times New Roman"/>
          <w:sz w:val="24"/>
          <w:szCs w:val="24"/>
        </w:rPr>
        <w:t xml:space="preserve">Figure </w:t>
      </w:r>
      <w:r w:rsidR="001B498F" w:rsidRPr="001B498F">
        <w:rPr>
          <w:rFonts w:ascii="Times New Roman" w:hAnsi="Times New Roman" w:cs="Times New Roman"/>
          <w:noProof/>
          <w:sz w:val="24"/>
          <w:szCs w:val="24"/>
        </w:rPr>
        <w:t>3</w:t>
      </w:r>
      <w:r w:rsidR="001B498F" w:rsidRPr="001B498F">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sym w:font="Symbol" w:char="F074"/>
      </w:r>
      <w:r>
        <w:rPr>
          <w:rFonts w:ascii="Times New Roman" w:hAnsi="Times New Roman" w:cs="Times New Roman"/>
          <w:sz w:val="24"/>
          <w:szCs w:val="24"/>
        </w:rPr>
        <w:t xml:space="preserve"> = -0.64, N = 8, </w:t>
      </w:r>
      <w:r>
        <w:rPr>
          <w:rFonts w:ascii="Times New Roman" w:hAnsi="Times New Roman" w:cs="Times New Roman"/>
          <w:sz w:val="24"/>
          <w:szCs w:val="24"/>
        </w:rPr>
        <w:sym w:font="Symbol" w:char="F072"/>
      </w:r>
      <w:r>
        <w:rPr>
          <w:rFonts w:ascii="Times New Roman" w:hAnsi="Times New Roman" w:cs="Times New Roman"/>
          <w:sz w:val="24"/>
          <w:szCs w:val="24"/>
        </w:rPr>
        <w:t>&lt;0.05).</w:t>
      </w:r>
      <w:r w:rsidR="00CA2D0F">
        <w:rPr>
          <w:rFonts w:ascii="Times New Roman" w:hAnsi="Times New Roman" w:cs="Times New Roman"/>
          <w:sz w:val="24"/>
          <w:szCs w:val="24"/>
        </w:rPr>
        <w:t xml:space="preserve"> However this</w:t>
      </w:r>
      <w:r w:rsidR="00F30D49">
        <w:rPr>
          <w:rFonts w:ascii="Times New Roman" w:hAnsi="Times New Roman" w:cs="Times New Roman"/>
          <w:sz w:val="24"/>
          <w:szCs w:val="24"/>
        </w:rPr>
        <w:t xml:space="preserve"> regional </w:t>
      </w:r>
      <w:r w:rsidR="00CA2D0F">
        <w:rPr>
          <w:rFonts w:ascii="Times New Roman" w:hAnsi="Times New Roman" w:cs="Times New Roman"/>
          <w:sz w:val="24"/>
          <w:szCs w:val="24"/>
        </w:rPr>
        <w:t xml:space="preserve">trend is not consistent station by station. </w:t>
      </w:r>
      <w:r w:rsidR="00F30D49">
        <w:rPr>
          <w:rFonts w:ascii="Times New Roman" w:hAnsi="Times New Roman" w:cs="Times New Roman"/>
          <w:sz w:val="24"/>
          <w:szCs w:val="24"/>
        </w:rPr>
        <w:t>S</w:t>
      </w:r>
      <w:r w:rsidR="00CA2D0F">
        <w:rPr>
          <w:rFonts w:ascii="Times New Roman" w:hAnsi="Times New Roman" w:cs="Times New Roman"/>
          <w:sz w:val="24"/>
          <w:szCs w:val="24"/>
        </w:rPr>
        <w:t xml:space="preserve">tations </w:t>
      </w:r>
      <w:r w:rsidR="00F30D49">
        <w:rPr>
          <w:rFonts w:ascii="Times New Roman" w:hAnsi="Times New Roman" w:cs="Times New Roman"/>
          <w:sz w:val="24"/>
          <w:szCs w:val="24"/>
        </w:rPr>
        <w:t xml:space="preserve">EB03 and EB04 </w:t>
      </w:r>
      <w:r w:rsidR="00CA2D0F">
        <w:rPr>
          <w:rFonts w:ascii="Times New Roman" w:hAnsi="Times New Roman" w:cs="Times New Roman"/>
          <w:sz w:val="24"/>
          <w:szCs w:val="24"/>
        </w:rPr>
        <w:t>experienced significant declining trends in seagrass coverage</w:t>
      </w:r>
      <w:r w:rsidR="00F30D49">
        <w:rPr>
          <w:rFonts w:ascii="Times New Roman" w:hAnsi="Times New Roman" w:cs="Times New Roman"/>
          <w:sz w:val="24"/>
          <w:szCs w:val="24"/>
        </w:rPr>
        <w:t xml:space="preserve"> while the remaining stations did not experienced statistically significant trends (</w:t>
      </w:r>
      <w:r w:rsidR="00F30D49" w:rsidRPr="00F30D49">
        <w:rPr>
          <w:rFonts w:ascii="Times New Roman" w:hAnsi="Times New Roman" w:cs="Times New Roman"/>
          <w:sz w:val="24"/>
          <w:szCs w:val="24"/>
        </w:rPr>
        <w:fldChar w:fldCharType="begin"/>
      </w:r>
      <w:r w:rsidR="00F30D49" w:rsidRPr="00F30D49">
        <w:rPr>
          <w:rFonts w:ascii="Times New Roman" w:hAnsi="Times New Roman" w:cs="Times New Roman"/>
          <w:sz w:val="24"/>
          <w:szCs w:val="24"/>
        </w:rPr>
        <w:instrText xml:space="preserve"> REF _Ref418591909 \h  \* MERGEFORMAT </w:instrText>
      </w:r>
      <w:r w:rsidR="00F30D49" w:rsidRPr="00F30D49">
        <w:rPr>
          <w:rFonts w:ascii="Times New Roman" w:hAnsi="Times New Roman" w:cs="Times New Roman"/>
          <w:sz w:val="24"/>
          <w:szCs w:val="24"/>
        </w:rPr>
      </w:r>
      <w:r w:rsidR="00F30D49" w:rsidRPr="00F30D49">
        <w:rPr>
          <w:rFonts w:ascii="Times New Roman" w:hAnsi="Times New Roman" w:cs="Times New Roman"/>
          <w:sz w:val="24"/>
          <w:szCs w:val="24"/>
        </w:rPr>
        <w:fldChar w:fldCharType="separate"/>
      </w:r>
      <w:r w:rsidR="00F30D49" w:rsidRPr="00F30D49">
        <w:rPr>
          <w:rFonts w:ascii="Times New Roman" w:hAnsi="Times New Roman" w:cs="Times New Roman"/>
          <w:sz w:val="24"/>
          <w:szCs w:val="24"/>
        </w:rPr>
        <w:t xml:space="preserve">Figure </w:t>
      </w:r>
      <w:r w:rsidR="00F30D49" w:rsidRPr="00F30D49">
        <w:rPr>
          <w:rFonts w:ascii="Times New Roman" w:hAnsi="Times New Roman" w:cs="Times New Roman"/>
          <w:noProof/>
          <w:sz w:val="24"/>
          <w:szCs w:val="24"/>
        </w:rPr>
        <w:t>4</w:t>
      </w:r>
      <w:r w:rsidR="00F30D49" w:rsidRPr="00F30D49">
        <w:rPr>
          <w:rFonts w:ascii="Times New Roman" w:hAnsi="Times New Roman" w:cs="Times New Roman"/>
          <w:sz w:val="24"/>
          <w:szCs w:val="24"/>
        </w:rPr>
        <w:fldChar w:fldCharType="end"/>
      </w:r>
      <w:r w:rsidR="00F30D49">
        <w:rPr>
          <w:rFonts w:ascii="Times New Roman" w:hAnsi="Times New Roman" w:cs="Times New Roman"/>
          <w:sz w:val="24"/>
          <w:szCs w:val="24"/>
        </w:rPr>
        <w:t xml:space="preserve"> and </w:t>
      </w:r>
      <w:r w:rsidR="00F30D49">
        <w:rPr>
          <w:rFonts w:ascii="Times New Roman" w:hAnsi="Times New Roman" w:cs="Times New Roman"/>
          <w:sz w:val="24"/>
          <w:szCs w:val="24"/>
        </w:rPr>
        <w:fldChar w:fldCharType="begin"/>
      </w:r>
      <w:r w:rsidR="00F30D49">
        <w:rPr>
          <w:rFonts w:ascii="Times New Roman" w:hAnsi="Times New Roman" w:cs="Times New Roman"/>
          <w:sz w:val="24"/>
          <w:szCs w:val="24"/>
        </w:rPr>
        <w:instrText xml:space="preserve"> REF _Ref418591915 \h </w:instrText>
      </w:r>
      <w:r w:rsidR="00F30D49">
        <w:rPr>
          <w:rFonts w:ascii="Times New Roman" w:hAnsi="Times New Roman" w:cs="Times New Roman"/>
          <w:sz w:val="24"/>
          <w:szCs w:val="24"/>
        </w:rPr>
      </w:r>
      <w:r w:rsidR="00F30D49">
        <w:rPr>
          <w:rFonts w:ascii="Times New Roman" w:hAnsi="Times New Roman" w:cs="Times New Roman"/>
          <w:sz w:val="24"/>
          <w:szCs w:val="24"/>
        </w:rPr>
        <w:fldChar w:fldCharType="separate"/>
      </w:r>
      <w:r w:rsidR="00F30D49" w:rsidRPr="00F30D49">
        <w:rPr>
          <w:rFonts w:ascii="Times New Roman" w:hAnsi="Times New Roman" w:cs="Times New Roman"/>
          <w:sz w:val="24"/>
          <w:szCs w:val="24"/>
        </w:rPr>
        <w:t xml:space="preserve">Table </w:t>
      </w:r>
      <w:r w:rsidR="00F30D49" w:rsidRPr="00F30D49">
        <w:rPr>
          <w:rFonts w:ascii="Times New Roman" w:hAnsi="Times New Roman" w:cs="Times New Roman"/>
          <w:noProof/>
          <w:sz w:val="24"/>
          <w:szCs w:val="24"/>
        </w:rPr>
        <w:t>1</w:t>
      </w:r>
      <w:r w:rsidR="00F30D49">
        <w:rPr>
          <w:rFonts w:ascii="Times New Roman" w:hAnsi="Times New Roman" w:cs="Times New Roman"/>
          <w:sz w:val="24"/>
          <w:szCs w:val="24"/>
        </w:rPr>
        <w:fldChar w:fldCharType="end"/>
      </w:r>
      <w:r w:rsidR="00F30D49">
        <w:rPr>
          <w:rFonts w:ascii="Times New Roman" w:hAnsi="Times New Roman" w:cs="Times New Roman"/>
          <w:sz w:val="24"/>
          <w:szCs w:val="24"/>
        </w:rPr>
        <w:t xml:space="preserve">). Furthermore station EB04 experienced relatively low BB scores with little year-to-year variability. </w:t>
      </w:r>
      <w:r w:rsidR="009E30DE">
        <w:rPr>
          <w:rFonts w:ascii="Times New Roman" w:hAnsi="Times New Roman" w:cs="Times New Roman"/>
          <w:sz w:val="24"/>
          <w:szCs w:val="24"/>
        </w:rPr>
        <w:t>Unlike the mean BB Score spatial distribution (</w:t>
      </w:r>
      <w:r w:rsidR="009E30DE" w:rsidRPr="00942997">
        <w:rPr>
          <w:rFonts w:ascii="Times New Roman" w:hAnsi="Times New Roman" w:cs="Times New Roman"/>
          <w:sz w:val="24"/>
          <w:szCs w:val="24"/>
        </w:rPr>
        <w:fldChar w:fldCharType="begin"/>
      </w:r>
      <w:r w:rsidR="009E30DE" w:rsidRPr="00942997">
        <w:rPr>
          <w:rFonts w:ascii="Times New Roman" w:hAnsi="Times New Roman" w:cs="Times New Roman"/>
          <w:sz w:val="24"/>
          <w:szCs w:val="24"/>
        </w:rPr>
        <w:instrText xml:space="preserve"> REF _Ref418585967 \h  \* MERGEFORMAT </w:instrText>
      </w:r>
      <w:r w:rsidR="009E30DE" w:rsidRPr="00942997">
        <w:rPr>
          <w:rFonts w:ascii="Times New Roman" w:hAnsi="Times New Roman" w:cs="Times New Roman"/>
          <w:sz w:val="24"/>
          <w:szCs w:val="24"/>
        </w:rPr>
      </w:r>
      <w:r w:rsidR="009E30DE" w:rsidRPr="00942997">
        <w:rPr>
          <w:rFonts w:ascii="Times New Roman" w:hAnsi="Times New Roman" w:cs="Times New Roman"/>
          <w:sz w:val="24"/>
          <w:szCs w:val="24"/>
        </w:rPr>
        <w:fldChar w:fldCharType="separate"/>
      </w:r>
      <w:r w:rsidR="009E30DE" w:rsidRPr="00942997">
        <w:rPr>
          <w:rFonts w:ascii="Times New Roman" w:hAnsi="Times New Roman" w:cs="Times New Roman"/>
          <w:sz w:val="24"/>
          <w:szCs w:val="24"/>
        </w:rPr>
        <w:t xml:space="preserve">Figure </w:t>
      </w:r>
      <w:r w:rsidR="009E30DE" w:rsidRPr="00942997">
        <w:rPr>
          <w:rFonts w:ascii="Times New Roman" w:hAnsi="Times New Roman" w:cs="Times New Roman"/>
          <w:noProof/>
          <w:sz w:val="24"/>
          <w:szCs w:val="24"/>
        </w:rPr>
        <w:t>2</w:t>
      </w:r>
      <w:r w:rsidR="009E30DE" w:rsidRPr="00942997">
        <w:rPr>
          <w:rFonts w:ascii="Times New Roman" w:hAnsi="Times New Roman" w:cs="Times New Roman"/>
          <w:sz w:val="24"/>
          <w:szCs w:val="24"/>
        </w:rPr>
        <w:fldChar w:fldCharType="end"/>
      </w:r>
      <w:r w:rsidR="009E30DE">
        <w:rPr>
          <w:rFonts w:ascii="Times New Roman" w:hAnsi="Times New Roman" w:cs="Times New Roman"/>
          <w:sz w:val="24"/>
          <w:szCs w:val="24"/>
        </w:rPr>
        <w:t>), trends are not spatially clustered</w:t>
      </w:r>
      <w:r w:rsidR="009E30DE" w:rsidRPr="009E30DE">
        <w:rPr>
          <w:rFonts w:ascii="Times New Roman" w:hAnsi="Times New Roman" w:cs="Times New Roman"/>
          <w:sz w:val="24"/>
          <w:szCs w:val="24"/>
        </w:rPr>
        <w:t xml:space="preserve"> (</w:t>
      </w:r>
      <w:r w:rsidR="009E30DE" w:rsidRPr="009E30DE">
        <w:rPr>
          <w:rFonts w:ascii="Times New Roman" w:hAnsi="Times New Roman" w:cs="Times New Roman"/>
          <w:sz w:val="24"/>
          <w:szCs w:val="24"/>
        </w:rPr>
        <w:fldChar w:fldCharType="begin"/>
      </w:r>
      <w:r w:rsidR="009E30DE" w:rsidRPr="009E30DE">
        <w:rPr>
          <w:rFonts w:ascii="Times New Roman" w:hAnsi="Times New Roman" w:cs="Times New Roman"/>
          <w:sz w:val="24"/>
          <w:szCs w:val="24"/>
        </w:rPr>
        <w:instrText xml:space="preserve"> REF _Ref418592666 \h  \* MERGEFORMAT </w:instrText>
      </w:r>
      <w:r w:rsidR="009E30DE" w:rsidRPr="009E30DE">
        <w:rPr>
          <w:rFonts w:ascii="Times New Roman" w:hAnsi="Times New Roman" w:cs="Times New Roman"/>
          <w:sz w:val="24"/>
          <w:szCs w:val="24"/>
        </w:rPr>
      </w:r>
      <w:r w:rsidR="009E30DE" w:rsidRPr="009E30DE">
        <w:rPr>
          <w:rFonts w:ascii="Times New Roman" w:hAnsi="Times New Roman" w:cs="Times New Roman"/>
          <w:sz w:val="24"/>
          <w:szCs w:val="24"/>
        </w:rPr>
        <w:fldChar w:fldCharType="separate"/>
      </w:r>
      <w:r w:rsidR="009E30DE" w:rsidRPr="009E30DE">
        <w:rPr>
          <w:rFonts w:ascii="Times New Roman" w:hAnsi="Times New Roman" w:cs="Times New Roman"/>
          <w:sz w:val="24"/>
          <w:szCs w:val="24"/>
        </w:rPr>
        <w:t xml:space="preserve">Figure </w:t>
      </w:r>
      <w:r w:rsidR="009E30DE" w:rsidRPr="009E30DE">
        <w:rPr>
          <w:rFonts w:ascii="Times New Roman" w:hAnsi="Times New Roman" w:cs="Times New Roman"/>
          <w:noProof/>
          <w:sz w:val="24"/>
          <w:szCs w:val="24"/>
        </w:rPr>
        <w:t>5</w:t>
      </w:r>
      <w:r w:rsidR="009E30DE" w:rsidRPr="009E30DE">
        <w:rPr>
          <w:rFonts w:ascii="Times New Roman" w:hAnsi="Times New Roman" w:cs="Times New Roman"/>
          <w:sz w:val="24"/>
          <w:szCs w:val="24"/>
        </w:rPr>
        <w:fldChar w:fldCharType="end"/>
      </w:r>
      <w:r w:rsidR="009E30DE" w:rsidRPr="009E30DE">
        <w:rPr>
          <w:rFonts w:ascii="Times New Roman" w:hAnsi="Times New Roman" w:cs="Times New Roman"/>
          <w:sz w:val="24"/>
          <w:szCs w:val="24"/>
        </w:rPr>
        <w:t>)</w:t>
      </w:r>
      <w:r w:rsidR="009E30DE">
        <w:rPr>
          <w:rFonts w:ascii="Times New Roman" w:hAnsi="Times New Roman" w:cs="Times New Roman"/>
          <w:sz w:val="24"/>
          <w:szCs w:val="24"/>
        </w:rPr>
        <w:t xml:space="preserve"> presumably due internal or external driving forcing including but not limited to watershed influences, boat traffic, circulation, hydrodynamics, herbivory and/or water quality conditions. </w:t>
      </w:r>
    </w:p>
    <w:p w14:paraId="4E10AC87" w14:textId="77777777" w:rsidR="00F436BF" w:rsidRPr="00A36C4B" w:rsidRDefault="00A36C4B" w:rsidP="00A36C4B">
      <w:pPr>
        <w:jc w:val="center"/>
        <w:rPr>
          <w:rFonts w:ascii="Times New Roman" w:hAnsi="Times New Roman" w:cs="Times New Roman"/>
          <w:sz w:val="24"/>
          <w:szCs w:val="24"/>
        </w:rPr>
      </w:pPr>
      <w:r w:rsidRPr="00A36C4B">
        <w:rPr>
          <w:rFonts w:ascii="Times New Roman" w:hAnsi="Times New Roman" w:cs="Times New Roman"/>
          <w:noProof/>
          <w:sz w:val="24"/>
          <w:szCs w:val="24"/>
        </w:rPr>
        <w:lastRenderedPageBreak/>
        <w:drawing>
          <wp:inline distT="0" distB="0" distL="0" distR="0" wp14:anchorId="5E9BE670" wp14:editId="1DE4316E">
            <wp:extent cx="4321629" cy="378142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teBBMoasic2.tif"/>
                    <pic:cNvPicPr/>
                  </pic:nvPicPr>
                  <pic:blipFill>
                    <a:blip r:embed="rId7">
                      <a:extLst>
                        <a:ext uri="{28A0092B-C50C-407E-A947-70E740481C1C}">
                          <a14:useLocalDpi xmlns:a14="http://schemas.microsoft.com/office/drawing/2010/main" val="0"/>
                        </a:ext>
                      </a:extLst>
                    </a:blip>
                    <a:stretch>
                      <a:fillRect/>
                    </a:stretch>
                  </pic:blipFill>
                  <pic:spPr>
                    <a:xfrm>
                      <a:off x="0" y="0"/>
                      <a:ext cx="4323093" cy="3782706"/>
                    </a:xfrm>
                    <a:prstGeom prst="rect">
                      <a:avLst/>
                    </a:prstGeom>
                  </pic:spPr>
                </pic:pic>
              </a:graphicData>
            </a:graphic>
          </wp:inline>
        </w:drawing>
      </w:r>
    </w:p>
    <w:p w14:paraId="70B7A76F" w14:textId="77777777" w:rsidR="0045508C" w:rsidRDefault="00A36C4B" w:rsidP="00942997">
      <w:pPr>
        <w:pStyle w:val="Caption"/>
        <w:jc w:val="both"/>
        <w:rPr>
          <w:rFonts w:ascii="Times New Roman" w:hAnsi="Times New Roman" w:cs="Times New Roman"/>
          <w:i w:val="0"/>
          <w:color w:val="auto"/>
          <w:sz w:val="24"/>
          <w:szCs w:val="24"/>
        </w:rPr>
      </w:pPr>
      <w:bookmarkStart w:id="2" w:name="_Ref418534630"/>
      <w:r w:rsidRPr="00A36C4B">
        <w:rPr>
          <w:rFonts w:ascii="Times New Roman" w:hAnsi="Times New Roman" w:cs="Times New Roman"/>
          <w:i w:val="0"/>
          <w:color w:val="auto"/>
          <w:sz w:val="24"/>
          <w:szCs w:val="24"/>
        </w:rPr>
        <w:t xml:space="preserve">Figure </w:t>
      </w:r>
      <w:r w:rsidRPr="00A36C4B">
        <w:rPr>
          <w:rFonts w:ascii="Times New Roman" w:hAnsi="Times New Roman" w:cs="Times New Roman"/>
          <w:i w:val="0"/>
          <w:color w:val="auto"/>
          <w:sz w:val="24"/>
          <w:szCs w:val="24"/>
        </w:rPr>
        <w:fldChar w:fldCharType="begin"/>
      </w:r>
      <w:r w:rsidRPr="00A36C4B">
        <w:rPr>
          <w:rFonts w:ascii="Times New Roman" w:hAnsi="Times New Roman" w:cs="Times New Roman"/>
          <w:i w:val="0"/>
          <w:color w:val="auto"/>
          <w:sz w:val="24"/>
          <w:szCs w:val="24"/>
        </w:rPr>
        <w:instrText xml:space="preserve"> SEQ Figure \* ARABIC </w:instrText>
      </w:r>
      <w:r w:rsidRPr="00A36C4B">
        <w:rPr>
          <w:rFonts w:ascii="Times New Roman" w:hAnsi="Times New Roman" w:cs="Times New Roman"/>
          <w:i w:val="0"/>
          <w:color w:val="auto"/>
          <w:sz w:val="24"/>
          <w:szCs w:val="24"/>
        </w:rPr>
        <w:fldChar w:fldCharType="separate"/>
      </w:r>
      <w:r w:rsidR="00CA2D0F">
        <w:rPr>
          <w:rFonts w:ascii="Times New Roman" w:hAnsi="Times New Roman" w:cs="Times New Roman"/>
          <w:i w:val="0"/>
          <w:noProof/>
          <w:color w:val="auto"/>
          <w:sz w:val="24"/>
          <w:szCs w:val="24"/>
        </w:rPr>
        <w:t>1</w:t>
      </w:r>
      <w:r w:rsidRPr="00A36C4B">
        <w:rPr>
          <w:rFonts w:ascii="Times New Roman" w:hAnsi="Times New Roman" w:cs="Times New Roman"/>
          <w:i w:val="0"/>
          <w:color w:val="auto"/>
          <w:sz w:val="24"/>
          <w:szCs w:val="24"/>
        </w:rPr>
        <w:fldChar w:fldCharType="end"/>
      </w:r>
      <w:bookmarkEnd w:id="2"/>
      <w:r w:rsidRPr="00A36C4B">
        <w:rPr>
          <w:rFonts w:ascii="Times New Roman" w:hAnsi="Times New Roman" w:cs="Times New Roman"/>
          <w:i w:val="0"/>
          <w:color w:val="auto"/>
          <w:sz w:val="24"/>
          <w:szCs w:val="24"/>
        </w:rPr>
        <w:t xml:space="preserve">. Mosaic plot of </w:t>
      </w:r>
      <w:r>
        <w:rPr>
          <w:rFonts w:ascii="Times New Roman" w:hAnsi="Times New Roman" w:cs="Times New Roman"/>
          <w:i w:val="0"/>
          <w:color w:val="auto"/>
          <w:sz w:val="24"/>
          <w:szCs w:val="24"/>
        </w:rPr>
        <w:t>growing season (</w:t>
      </w:r>
      <w:commentRangeStart w:id="3"/>
      <w:r w:rsidRPr="00A36C4B">
        <w:rPr>
          <w:rFonts w:ascii="Times New Roman" w:hAnsi="Times New Roman" w:cs="Times New Roman"/>
          <w:i w:val="0"/>
          <w:color w:val="auto"/>
          <w:sz w:val="24"/>
          <w:szCs w:val="24"/>
          <w:highlight w:val="yellow"/>
        </w:rPr>
        <w:t>Month – Month</w:t>
      </w:r>
      <w:commentRangeEnd w:id="3"/>
      <w:r w:rsidR="006D66B3">
        <w:rPr>
          <w:rStyle w:val="CommentReference"/>
          <w:i w:val="0"/>
          <w:iCs w:val="0"/>
          <w:color w:val="auto"/>
        </w:rPr>
        <w:commentReference w:id="3"/>
      </w:r>
      <w:r w:rsidRPr="00A36C4B">
        <w:rPr>
          <w:rFonts w:ascii="Times New Roman" w:hAnsi="Times New Roman" w:cs="Times New Roman"/>
          <w:i w:val="0"/>
          <w:color w:val="auto"/>
          <w:sz w:val="24"/>
          <w:szCs w:val="24"/>
        </w:rPr>
        <w:t>) total submerged aquatic vegetation (SAV) abundance Braun-Blanquet (BB) score for each monitoring location from 2006 to 2013.</w:t>
      </w:r>
    </w:p>
    <w:p w14:paraId="509F38D8" w14:textId="77777777" w:rsidR="00942997" w:rsidRDefault="00CA2D0F" w:rsidP="00942997">
      <w:pPr>
        <w:jc w:val="center"/>
      </w:pPr>
      <w:r>
        <w:rPr>
          <w:noProof/>
        </w:rPr>
        <w:drawing>
          <wp:inline distT="0" distB="0" distL="0" distR="0" wp14:anchorId="5648FB29" wp14:editId="48D8488F">
            <wp:extent cx="5239512" cy="67848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BAP_SeagrassBB_Map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39512" cy="6784848"/>
                    </a:xfrm>
                    <a:prstGeom prst="rect">
                      <a:avLst/>
                    </a:prstGeom>
                  </pic:spPr>
                </pic:pic>
              </a:graphicData>
            </a:graphic>
          </wp:inline>
        </w:drawing>
      </w:r>
    </w:p>
    <w:p w14:paraId="0754A97D" w14:textId="77777777" w:rsidR="00942997" w:rsidRPr="00942997" w:rsidRDefault="00942997" w:rsidP="00942997">
      <w:pPr>
        <w:pStyle w:val="Caption"/>
        <w:jc w:val="both"/>
        <w:rPr>
          <w:rFonts w:ascii="Times New Roman" w:hAnsi="Times New Roman" w:cs="Times New Roman"/>
          <w:i w:val="0"/>
          <w:color w:val="auto"/>
          <w:sz w:val="24"/>
          <w:szCs w:val="24"/>
        </w:rPr>
      </w:pPr>
      <w:bookmarkStart w:id="4" w:name="_Ref418585967"/>
      <w:r w:rsidRPr="00942997">
        <w:rPr>
          <w:rFonts w:ascii="Times New Roman" w:hAnsi="Times New Roman" w:cs="Times New Roman"/>
          <w:i w:val="0"/>
          <w:color w:val="auto"/>
          <w:sz w:val="24"/>
          <w:szCs w:val="24"/>
        </w:rPr>
        <w:t xml:space="preserve">Figure </w:t>
      </w:r>
      <w:r w:rsidRPr="00942997">
        <w:rPr>
          <w:rFonts w:ascii="Times New Roman" w:hAnsi="Times New Roman" w:cs="Times New Roman"/>
          <w:i w:val="0"/>
          <w:color w:val="auto"/>
          <w:sz w:val="24"/>
          <w:szCs w:val="24"/>
        </w:rPr>
        <w:fldChar w:fldCharType="begin"/>
      </w:r>
      <w:r w:rsidRPr="00942997">
        <w:rPr>
          <w:rFonts w:ascii="Times New Roman" w:hAnsi="Times New Roman" w:cs="Times New Roman"/>
          <w:i w:val="0"/>
          <w:color w:val="auto"/>
          <w:sz w:val="24"/>
          <w:szCs w:val="24"/>
        </w:rPr>
        <w:instrText xml:space="preserve"> SEQ Figure \* ARABIC </w:instrText>
      </w:r>
      <w:r w:rsidRPr="00942997">
        <w:rPr>
          <w:rFonts w:ascii="Times New Roman" w:hAnsi="Times New Roman" w:cs="Times New Roman"/>
          <w:i w:val="0"/>
          <w:color w:val="auto"/>
          <w:sz w:val="24"/>
          <w:szCs w:val="24"/>
        </w:rPr>
        <w:fldChar w:fldCharType="separate"/>
      </w:r>
      <w:r w:rsidR="00CA2D0F">
        <w:rPr>
          <w:rFonts w:ascii="Times New Roman" w:hAnsi="Times New Roman" w:cs="Times New Roman"/>
          <w:i w:val="0"/>
          <w:noProof/>
          <w:color w:val="auto"/>
          <w:sz w:val="24"/>
          <w:szCs w:val="24"/>
        </w:rPr>
        <w:t>2</w:t>
      </w:r>
      <w:r w:rsidRPr="00942997">
        <w:rPr>
          <w:rFonts w:ascii="Times New Roman" w:hAnsi="Times New Roman" w:cs="Times New Roman"/>
          <w:i w:val="0"/>
          <w:color w:val="auto"/>
          <w:sz w:val="24"/>
          <w:szCs w:val="24"/>
        </w:rPr>
        <w:fldChar w:fldCharType="end"/>
      </w:r>
      <w:bookmarkEnd w:id="4"/>
      <w:r w:rsidRPr="00942997">
        <w:rPr>
          <w:rFonts w:ascii="Times New Roman" w:hAnsi="Times New Roman" w:cs="Times New Roman"/>
          <w:i w:val="0"/>
          <w:color w:val="auto"/>
          <w:sz w:val="24"/>
          <w:szCs w:val="24"/>
        </w:rPr>
        <w:t xml:space="preserve">. Estero Bay Aquatic Preserve seagrass monitoring locations with </w:t>
      </w:r>
      <w:r w:rsidR="001B498F">
        <w:rPr>
          <w:rFonts w:ascii="Times New Roman" w:hAnsi="Times New Roman" w:cs="Times New Roman"/>
          <w:i w:val="0"/>
          <w:color w:val="auto"/>
          <w:sz w:val="24"/>
          <w:szCs w:val="24"/>
        </w:rPr>
        <w:t xml:space="preserve">growing season </w:t>
      </w:r>
      <w:r w:rsidRPr="00942997">
        <w:rPr>
          <w:rFonts w:ascii="Times New Roman" w:hAnsi="Times New Roman" w:cs="Times New Roman"/>
          <w:i w:val="0"/>
          <w:color w:val="auto"/>
          <w:sz w:val="24"/>
          <w:szCs w:val="24"/>
        </w:rPr>
        <w:t xml:space="preserve">mean (standard error) total submerged aquatic vegetation abundance Braun-Blanquet score for each monitoring location from 2006 to 2013. </w:t>
      </w:r>
    </w:p>
    <w:p w14:paraId="55F6CCEB" w14:textId="77777777" w:rsidR="00942997" w:rsidRDefault="00942997" w:rsidP="00942997"/>
    <w:p w14:paraId="78202929" w14:textId="77777777" w:rsidR="00CF0236" w:rsidRDefault="00CF0236" w:rsidP="00F30D49">
      <w:pPr>
        <w:jc w:val="center"/>
      </w:pPr>
      <w:r>
        <w:rPr>
          <w:noProof/>
        </w:rPr>
        <w:drawing>
          <wp:inline distT="0" distB="0" distL="0" distR="0" wp14:anchorId="2C6468AC" wp14:editId="23105658">
            <wp:extent cx="5715000" cy="476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anAnnualBB.tif"/>
                    <pic:cNvPicPr/>
                  </pic:nvPicPr>
                  <pic:blipFill>
                    <a:blip r:embed="rId9">
                      <a:extLst>
                        <a:ext uri="{28A0092B-C50C-407E-A947-70E740481C1C}">
                          <a14:useLocalDpi xmlns:a14="http://schemas.microsoft.com/office/drawing/2010/main" val="0"/>
                        </a:ext>
                      </a:extLst>
                    </a:blip>
                    <a:stretch>
                      <a:fillRect/>
                    </a:stretch>
                  </pic:blipFill>
                  <pic:spPr>
                    <a:xfrm>
                      <a:off x="0" y="0"/>
                      <a:ext cx="5715000" cy="4762500"/>
                    </a:xfrm>
                    <a:prstGeom prst="rect">
                      <a:avLst/>
                    </a:prstGeom>
                  </pic:spPr>
                </pic:pic>
              </a:graphicData>
            </a:graphic>
          </wp:inline>
        </w:drawing>
      </w:r>
    </w:p>
    <w:p w14:paraId="04D80947" w14:textId="77777777" w:rsidR="00CF0236" w:rsidRDefault="001B498F" w:rsidP="00F30D49">
      <w:pPr>
        <w:pStyle w:val="Caption"/>
        <w:jc w:val="both"/>
        <w:rPr>
          <w:rFonts w:ascii="Times New Roman" w:hAnsi="Times New Roman" w:cs="Times New Roman"/>
          <w:i w:val="0"/>
          <w:color w:val="auto"/>
          <w:sz w:val="24"/>
          <w:szCs w:val="24"/>
        </w:rPr>
      </w:pPr>
      <w:bookmarkStart w:id="5" w:name="_Ref418588136"/>
      <w:r w:rsidRPr="001B498F">
        <w:rPr>
          <w:rFonts w:ascii="Times New Roman" w:hAnsi="Times New Roman" w:cs="Times New Roman"/>
          <w:i w:val="0"/>
          <w:color w:val="auto"/>
          <w:sz w:val="24"/>
          <w:szCs w:val="24"/>
        </w:rPr>
        <w:t xml:space="preserve">Figure </w:t>
      </w:r>
      <w:r w:rsidRPr="001B498F">
        <w:rPr>
          <w:rFonts w:ascii="Times New Roman" w:hAnsi="Times New Roman" w:cs="Times New Roman"/>
          <w:i w:val="0"/>
          <w:color w:val="auto"/>
          <w:sz w:val="24"/>
          <w:szCs w:val="24"/>
        </w:rPr>
        <w:fldChar w:fldCharType="begin"/>
      </w:r>
      <w:r w:rsidRPr="001B498F">
        <w:rPr>
          <w:rFonts w:ascii="Times New Roman" w:hAnsi="Times New Roman" w:cs="Times New Roman"/>
          <w:i w:val="0"/>
          <w:color w:val="auto"/>
          <w:sz w:val="24"/>
          <w:szCs w:val="24"/>
        </w:rPr>
        <w:instrText xml:space="preserve"> SEQ Figure \* ARABIC </w:instrText>
      </w:r>
      <w:r w:rsidRPr="001B498F">
        <w:rPr>
          <w:rFonts w:ascii="Times New Roman" w:hAnsi="Times New Roman" w:cs="Times New Roman"/>
          <w:i w:val="0"/>
          <w:color w:val="auto"/>
          <w:sz w:val="24"/>
          <w:szCs w:val="24"/>
        </w:rPr>
        <w:fldChar w:fldCharType="separate"/>
      </w:r>
      <w:r w:rsidR="00CA2D0F">
        <w:rPr>
          <w:rFonts w:ascii="Times New Roman" w:hAnsi="Times New Roman" w:cs="Times New Roman"/>
          <w:i w:val="0"/>
          <w:noProof/>
          <w:color w:val="auto"/>
          <w:sz w:val="24"/>
          <w:szCs w:val="24"/>
        </w:rPr>
        <w:t>3</w:t>
      </w:r>
      <w:r w:rsidRPr="001B498F">
        <w:rPr>
          <w:rFonts w:ascii="Times New Roman" w:hAnsi="Times New Roman" w:cs="Times New Roman"/>
          <w:i w:val="0"/>
          <w:color w:val="auto"/>
          <w:sz w:val="24"/>
          <w:szCs w:val="24"/>
        </w:rPr>
        <w:fldChar w:fldCharType="end"/>
      </w:r>
      <w:bookmarkEnd w:id="5"/>
      <w:r w:rsidRPr="001B498F">
        <w:rPr>
          <w:rFonts w:ascii="Times New Roman" w:hAnsi="Times New Roman" w:cs="Times New Roman"/>
          <w:i w:val="0"/>
          <w:color w:val="auto"/>
          <w:sz w:val="24"/>
          <w:szCs w:val="24"/>
        </w:rPr>
        <w:t>. Regional growing season mean total submerged aquatic vegetation abundance Braun-Blanquet score from 2006 to 2013. Points indicate mean ± standard error of the five station monitoring network within Estero Bay. The blue-dashed line indicate</w:t>
      </w:r>
      <w:r w:rsidR="00CA2D0F">
        <w:rPr>
          <w:rFonts w:ascii="Times New Roman" w:hAnsi="Times New Roman" w:cs="Times New Roman"/>
          <w:i w:val="0"/>
          <w:color w:val="auto"/>
          <w:sz w:val="24"/>
          <w:szCs w:val="24"/>
        </w:rPr>
        <w:t>s</w:t>
      </w:r>
      <w:r w:rsidRPr="001B498F">
        <w:rPr>
          <w:rFonts w:ascii="Times New Roman" w:hAnsi="Times New Roman" w:cs="Times New Roman"/>
          <w:i w:val="0"/>
          <w:color w:val="auto"/>
          <w:sz w:val="24"/>
          <w:szCs w:val="24"/>
        </w:rPr>
        <w:t xml:space="preserve"> the locally weighted scatterplot smoothing (LOWESS) line representing the general trend in the data.</w:t>
      </w:r>
    </w:p>
    <w:p w14:paraId="6EE8942D" w14:textId="77777777" w:rsidR="00CA2D0F" w:rsidRDefault="00CA2D0F" w:rsidP="00CA2D0F">
      <w:pPr>
        <w:jc w:val="center"/>
      </w:pPr>
      <w:r>
        <w:rPr>
          <w:noProof/>
        </w:rPr>
        <w:drawing>
          <wp:inline distT="0" distB="0" distL="0" distR="0" wp14:anchorId="44CD28DD" wp14:editId="0DA57749">
            <wp:extent cx="3912394" cy="7086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teBB_trend.tif"/>
                    <pic:cNvPicPr/>
                  </pic:nvPicPr>
                  <pic:blipFill>
                    <a:blip r:embed="rId10">
                      <a:extLst>
                        <a:ext uri="{28A0092B-C50C-407E-A947-70E740481C1C}">
                          <a14:useLocalDpi xmlns:a14="http://schemas.microsoft.com/office/drawing/2010/main" val="0"/>
                        </a:ext>
                      </a:extLst>
                    </a:blip>
                    <a:stretch>
                      <a:fillRect/>
                    </a:stretch>
                  </pic:blipFill>
                  <pic:spPr>
                    <a:xfrm>
                      <a:off x="0" y="0"/>
                      <a:ext cx="3913925" cy="7089373"/>
                    </a:xfrm>
                    <a:prstGeom prst="rect">
                      <a:avLst/>
                    </a:prstGeom>
                  </pic:spPr>
                </pic:pic>
              </a:graphicData>
            </a:graphic>
          </wp:inline>
        </w:drawing>
      </w:r>
    </w:p>
    <w:p w14:paraId="6B8962B4" w14:textId="77777777" w:rsidR="00F30D49" w:rsidRDefault="00CA2D0F" w:rsidP="00F30D49">
      <w:pPr>
        <w:pStyle w:val="Caption"/>
        <w:jc w:val="both"/>
        <w:rPr>
          <w:rFonts w:ascii="Times New Roman" w:hAnsi="Times New Roman" w:cs="Times New Roman"/>
          <w:i w:val="0"/>
          <w:color w:val="auto"/>
          <w:sz w:val="24"/>
          <w:szCs w:val="24"/>
        </w:rPr>
      </w:pPr>
      <w:bookmarkStart w:id="6" w:name="_Ref418591909"/>
      <w:r w:rsidRPr="00CA2D0F">
        <w:rPr>
          <w:rFonts w:ascii="Times New Roman" w:hAnsi="Times New Roman" w:cs="Times New Roman"/>
          <w:i w:val="0"/>
          <w:color w:val="auto"/>
          <w:sz w:val="24"/>
          <w:szCs w:val="24"/>
        </w:rPr>
        <w:t xml:space="preserve">Figure </w:t>
      </w:r>
      <w:r w:rsidRPr="00CA2D0F">
        <w:rPr>
          <w:rFonts w:ascii="Times New Roman" w:hAnsi="Times New Roman" w:cs="Times New Roman"/>
          <w:i w:val="0"/>
          <w:color w:val="auto"/>
          <w:sz w:val="24"/>
          <w:szCs w:val="24"/>
        </w:rPr>
        <w:fldChar w:fldCharType="begin"/>
      </w:r>
      <w:r w:rsidRPr="00CA2D0F">
        <w:rPr>
          <w:rFonts w:ascii="Times New Roman" w:hAnsi="Times New Roman" w:cs="Times New Roman"/>
          <w:i w:val="0"/>
          <w:color w:val="auto"/>
          <w:sz w:val="24"/>
          <w:szCs w:val="24"/>
        </w:rPr>
        <w:instrText xml:space="preserve"> SEQ Figure \* ARABIC </w:instrText>
      </w:r>
      <w:r w:rsidRPr="00CA2D0F">
        <w:rPr>
          <w:rFonts w:ascii="Times New Roman" w:hAnsi="Times New Roman" w:cs="Times New Roman"/>
          <w:i w:val="0"/>
          <w:color w:val="auto"/>
          <w:sz w:val="24"/>
          <w:szCs w:val="24"/>
        </w:rPr>
        <w:fldChar w:fldCharType="separate"/>
      </w:r>
      <w:r w:rsidR="00F30D49">
        <w:rPr>
          <w:rFonts w:ascii="Times New Roman" w:hAnsi="Times New Roman" w:cs="Times New Roman"/>
          <w:i w:val="0"/>
          <w:noProof/>
          <w:color w:val="auto"/>
          <w:sz w:val="24"/>
          <w:szCs w:val="24"/>
        </w:rPr>
        <w:t>4</w:t>
      </w:r>
      <w:r w:rsidRPr="00CA2D0F">
        <w:rPr>
          <w:rFonts w:ascii="Times New Roman" w:hAnsi="Times New Roman" w:cs="Times New Roman"/>
          <w:i w:val="0"/>
          <w:color w:val="auto"/>
          <w:sz w:val="24"/>
          <w:szCs w:val="24"/>
        </w:rPr>
        <w:fldChar w:fldCharType="end"/>
      </w:r>
      <w:bookmarkEnd w:id="6"/>
      <w:r w:rsidRPr="00CA2D0F">
        <w:rPr>
          <w:rFonts w:ascii="Times New Roman" w:hAnsi="Times New Roman" w:cs="Times New Roman"/>
          <w:i w:val="0"/>
          <w:color w:val="auto"/>
          <w:sz w:val="24"/>
          <w:szCs w:val="24"/>
        </w:rPr>
        <w:t>. Stations specific growing season mean total submerged aquatic vegetation abundance Braun-Blanquet score from 2006 to 2013. The red line indicates the locally weighted scatterplot smoothing (LOWESS) line representing the general trend in the data.</w:t>
      </w:r>
      <w:r>
        <w:rPr>
          <w:rFonts w:ascii="Times New Roman" w:hAnsi="Times New Roman" w:cs="Times New Roman"/>
          <w:i w:val="0"/>
          <w:color w:val="auto"/>
          <w:sz w:val="24"/>
          <w:szCs w:val="24"/>
        </w:rPr>
        <w:t xml:space="preserve"> * indicate statistically significant trends based on Kendall tau correlation analysis. </w:t>
      </w:r>
    </w:p>
    <w:p w14:paraId="109C8403" w14:textId="77777777" w:rsidR="00CA2D0F" w:rsidRDefault="00F30D49" w:rsidP="00F30D49">
      <w:pPr>
        <w:pStyle w:val="Caption"/>
        <w:jc w:val="center"/>
        <w:rPr>
          <w:rFonts w:ascii="Times New Roman" w:hAnsi="Times New Roman" w:cs="Times New Roman"/>
          <w:i w:val="0"/>
          <w:color w:val="auto"/>
          <w:sz w:val="24"/>
          <w:szCs w:val="24"/>
        </w:rPr>
      </w:pPr>
      <w:r w:rsidRPr="00F30D49">
        <w:rPr>
          <w:i w:val="0"/>
          <w:noProof/>
        </w:rPr>
        <w:drawing>
          <wp:inline distT="0" distB="0" distL="0" distR="0" wp14:anchorId="1FDDEC8F" wp14:editId="1FC8F6E7">
            <wp:extent cx="5239512" cy="67848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BAP_SeagrassTrendMa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39512" cy="6784848"/>
                    </a:xfrm>
                    <a:prstGeom prst="rect">
                      <a:avLst/>
                    </a:prstGeom>
                  </pic:spPr>
                </pic:pic>
              </a:graphicData>
            </a:graphic>
          </wp:inline>
        </w:drawing>
      </w:r>
    </w:p>
    <w:p w14:paraId="5F811ADD" w14:textId="77777777" w:rsidR="00F30D49" w:rsidRPr="00CA2D0F" w:rsidRDefault="00F30D49" w:rsidP="00F30D49">
      <w:pPr>
        <w:pStyle w:val="Caption"/>
        <w:jc w:val="both"/>
        <w:rPr>
          <w:rFonts w:ascii="Times New Roman" w:hAnsi="Times New Roman" w:cs="Times New Roman"/>
          <w:i w:val="0"/>
          <w:color w:val="auto"/>
          <w:sz w:val="24"/>
          <w:szCs w:val="24"/>
        </w:rPr>
      </w:pPr>
      <w:bookmarkStart w:id="7" w:name="_Ref418592666"/>
      <w:bookmarkStart w:id="8" w:name="_Ref418592660"/>
      <w:r w:rsidRPr="00CA2D0F">
        <w:rPr>
          <w:rFonts w:ascii="Times New Roman" w:hAnsi="Times New Roman" w:cs="Times New Roman"/>
          <w:i w:val="0"/>
          <w:color w:val="auto"/>
          <w:sz w:val="24"/>
          <w:szCs w:val="24"/>
        </w:rPr>
        <w:t xml:space="preserve">Figure </w:t>
      </w:r>
      <w:r w:rsidRPr="00CA2D0F">
        <w:rPr>
          <w:rFonts w:ascii="Times New Roman" w:hAnsi="Times New Roman" w:cs="Times New Roman"/>
          <w:i w:val="0"/>
          <w:color w:val="auto"/>
          <w:sz w:val="24"/>
          <w:szCs w:val="24"/>
        </w:rPr>
        <w:fldChar w:fldCharType="begin"/>
      </w:r>
      <w:r w:rsidRPr="00CA2D0F">
        <w:rPr>
          <w:rFonts w:ascii="Times New Roman" w:hAnsi="Times New Roman" w:cs="Times New Roman"/>
          <w:i w:val="0"/>
          <w:color w:val="auto"/>
          <w:sz w:val="24"/>
          <w:szCs w:val="24"/>
        </w:rPr>
        <w:instrText xml:space="preserve"> SEQ Figure \* ARABIC </w:instrText>
      </w:r>
      <w:r w:rsidRPr="00CA2D0F">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5</w:t>
      </w:r>
      <w:r w:rsidRPr="00CA2D0F">
        <w:rPr>
          <w:rFonts w:ascii="Times New Roman" w:hAnsi="Times New Roman" w:cs="Times New Roman"/>
          <w:i w:val="0"/>
          <w:color w:val="auto"/>
          <w:sz w:val="24"/>
          <w:szCs w:val="24"/>
        </w:rPr>
        <w:fldChar w:fldCharType="end"/>
      </w:r>
      <w:bookmarkEnd w:id="7"/>
      <w:r w:rsidRPr="00CA2D0F">
        <w:rPr>
          <w:rFonts w:ascii="Times New Roman" w:hAnsi="Times New Roman" w:cs="Times New Roman"/>
          <w:i w:val="0"/>
          <w:color w:val="auto"/>
          <w:sz w:val="24"/>
          <w:szCs w:val="24"/>
        </w:rPr>
        <w:t xml:space="preserve">. Stations specific growing season mean total submerged aquatic vegetation abundance Braun-Blanquet score </w:t>
      </w:r>
      <w:r>
        <w:rPr>
          <w:rFonts w:ascii="Times New Roman" w:hAnsi="Times New Roman" w:cs="Times New Roman"/>
          <w:i w:val="0"/>
          <w:color w:val="auto"/>
          <w:sz w:val="24"/>
          <w:szCs w:val="24"/>
        </w:rPr>
        <w:t xml:space="preserve">Kendall </w:t>
      </w:r>
      <w:r w:rsidRPr="00CA2D0F">
        <w:rPr>
          <w:rFonts w:ascii="Times New Roman" w:hAnsi="Times New Roman" w:cs="Times New Roman"/>
          <w:i w:val="0"/>
          <w:color w:val="auto"/>
          <w:sz w:val="24"/>
          <w:szCs w:val="24"/>
        </w:rPr>
        <w:t xml:space="preserve">trend </w:t>
      </w:r>
      <w:r>
        <w:rPr>
          <w:rFonts w:ascii="Times New Roman" w:hAnsi="Times New Roman" w:cs="Times New Roman"/>
          <w:i w:val="0"/>
          <w:color w:val="auto"/>
          <w:sz w:val="24"/>
          <w:szCs w:val="24"/>
        </w:rPr>
        <w:t xml:space="preserve">analysis </w:t>
      </w:r>
      <w:r w:rsidRPr="00CA2D0F">
        <w:rPr>
          <w:rFonts w:ascii="Times New Roman" w:hAnsi="Times New Roman" w:cs="Times New Roman"/>
          <w:i w:val="0"/>
          <w:color w:val="auto"/>
          <w:sz w:val="24"/>
          <w:szCs w:val="24"/>
        </w:rPr>
        <w:t>result</w:t>
      </w:r>
      <w:r>
        <w:rPr>
          <w:rFonts w:ascii="Times New Roman" w:hAnsi="Times New Roman" w:cs="Times New Roman"/>
          <w:i w:val="0"/>
          <w:color w:val="auto"/>
          <w:sz w:val="24"/>
          <w:szCs w:val="24"/>
        </w:rPr>
        <w:t>s</w:t>
      </w:r>
      <w:r w:rsidRPr="00CA2D0F">
        <w:rPr>
          <w:rFonts w:ascii="Times New Roman" w:hAnsi="Times New Roman" w:cs="Times New Roman"/>
          <w:i w:val="0"/>
          <w:color w:val="auto"/>
          <w:sz w:val="24"/>
          <w:szCs w:val="24"/>
        </w:rPr>
        <w:t xml:space="preserve"> using data from 2006 to 2013.</w:t>
      </w:r>
      <w:bookmarkEnd w:id="8"/>
    </w:p>
    <w:p w14:paraId="76F07DD4" w14:textId="77777777" w:rsidR="00F30D49" w:rsidRDefault="00F30D49">
      <w:pPr>
        <w:rPr>
          <w:rFonts w:ascii="Times New Roman" w:hAnsi="Times New Roman" w:cs="Times New Roman"/>
          <w:sz w:val="24"/>
          <w:szCs w:val="24"/>
        </w:rPr>
      </w:pPr>
      <w:r>
        <w:rPr>
          <w:rFonts w:ascii="Times New Roman" w:hAnsi="Times New Roman" w:cs="Times New Roman"/>
          <w:sz w:val="24"/>
          <w:szCs w:val="24"/>
        </w:rPr>
        <w:br w:type="page"/>
      </w:r>
    </w:p>
    <w:p w14:paraId="03181D4A" w14:textId="77777777" w:rsidR="00CA2D0F" w:rsidRPr="00F30D49" w:rsidRDefault="00F30D49" w:rsidP="00F30D49">
      <w:pPr>
        <w:pStyle w:val="Caption"/>
        <w:jc w:val="both"/>
        <w:rPr>
          <w:rFonts w:ascii="Times New Roman" w:hAnsi="Times New Roman" w:cs="Times New Roman"/>
          <w:i w:val="0"/>
          <w:color w:val="auto"/>
          <w:sz w:val="24"/>
          <w:szCs w:val="24"/>
        </w:rPr>
      </w:pPr>
      <w:bookmarkStart w:id="9" w:name="_Ref418591915"/>
      <w:r w:rsidRPr="00F30D49">
        <w:rPr>
          <w:rFonts w:ascii="Times New Roman" w:hAnsi="Times New Roman" w:cs="Times New Roman"/>
          <w:i w:val="0"/>
          <w:color w:val="auto"/>
          <w:sz w:val="24"/>
          <w:szCs w:val="24"/>
        </w:rPr>
        <w:t xml:space="preserve">Table </w:t>
      </w:r>
      <w:r w:rsidRPr="00F30D49">
        <w:rPr>
          <w:rFonts w:ascii="Times New Roman" w:hAnsi="Times New Roman" w:cs="Times New Roman"/>
          <w:i w:val="0"/>
          <w:color w:val="auto"/>
          <w:sz w:val="24"/>
          <w:szCs w:val="24"/>
        </w:rPr>
        <w:fldChar w:fldCharType="begin"/>
      </w:r>
      <w:r w:rsidRPr="00F30D49">
        <w:rPr>
          <w:rFonts w:ascii="Times New Roman" w:hAnsi="Times New Roman" w:cs="Times New Roman"/>
          <w:i w:val="0"/>
          <w:color w:val="auto"/>
          <w:sz w:val="24"/>
          <w:szCs w:val="24"/>
        </w:rPr>
        <w:instrText xml:space="preserve"> SEQ Table \* ARABIC </w:instrText>
      </w:r>
      <w:r w:rsidRPr="00F30D49">
        <w:rPr>
          <w:rFonts w:ascii="Times New Roman" w:hAnsi="Times New Roman" w:cs="Times New Roman"/>
          <w:i w:val="0"/>
          <w:color w:val="auto"/>
          <w:sz w:val="24"/>
          <w:szCs w:val="24"/>
        </w:rPr>
        <w:fldChar w:fldCharType="separate"/>
      </w:r>
      <w:r w:rsidRPr="00F30D49">
        <w:rPr>
          <w:rFonts w:ascii="Times New Roman" w:hAnsi="Times New Roman" w:cs="Times New Roman"/>
          <w:i w:val="0"/>
          <w:noProof/>
          <w:color w:val="auto"/>
          <w:sz w:val="24"/>
          <w:szCs w:val="24"/>
        </w:rPr>
        <w:t>1</w:t>
      </w:r>
      <w:r w:rsidRPr="00F30D49">
        <w:rPr>
          <w:rFonts w:ascii="Times New Roman" w:hAnsi="Times New Roman" w:cs="Times New Roman"/>
          <w:i w:val="0"/>
          <w:color w:val="auto"/>
          <w:sz w:val="24"/>
          <w:szCs w:val="24"/>
        </w:rPr>
        <w:fldChar w:fldCharType="end"/>
      </w:r>
      <w:bookmarkEnd w:id="9"/>
      <w:r w:rsidRPr="00F30D49">
        <w:rPr>
          <w:rFonts w:ascii="Times New Roman" w:hAnsi="Times New Roman" w:cs="Times New Roman"/>
          <w:i w:val="0"/>
          <w:color w:val="auto"/>
          <w:sz w:val="24"/>
          <w:szCs w:val="24"/>
        </w:rPr>
        <w:t xml:space="preserve">. Kendall’s </w:t>
      </w:r>
      <w:r w:rsidRPr="00F30D49">
        <w:rPr>
          <w:rFonts w:ascii="Times New Roman" w:hAnsi="Times New Roman" w:cs="Times New Roman"/>
          <w:i w:val="0"/>
          <w:color w:val="auto"/>
          <w:sz w:val="24"/>
          <w:szCs w:val="24"/>
        </w:rPr>
        <w:sym w:font="Symbol" w:char="F074"/>
      </w:r>
      <w:r w:rsidRPr="00F30D49">
        <w:rPr>
          <w:rFonts w:ascii="Times New Roman" w:hAnsi="Times New Roman" w:cs="Times New Roman"/>
          <w:i w:val="0"/>
          <w:color w:val="auto"/>
          <w:sz w:val="24"/>
          <w:szCs w:val="24"/>
        </w:rPr>
        <w:t xml:space="preserve"> growing season mean total submerged aquatic vegetation abundance Braun-Blanquet score trend analysis for each station using data between 2006 and 2013. Statistically significant </w:t>
      </w:r>
      <w:r w:rsidRPr="00F30D49">
        <w:rPr>
          <w:rFonts w:ascii="Times New Roman" w:hAnsi="Times New Roman" w:cs="Times New Roman"/>
          <w:i w:val="0"/>
          <w:color w:val="auto"/>
          <w:sz w:val="24"/>
          <w:szCs w:val="24"/>
        </w:rPr>
        <w:sym w:font="Symbol" w:char="F072"/>
      </w:r>
      <w:r w:rsidRPr="00F30D49">
        <w:rPr>
          <w:rFonts w:ascii="Times New Roman" w:hAnsi="Times New Roman" w:cs="Times New Roman"/>
          <w:i w:val="0"/>
          <w:color w:val="auto"/>
          <w:sz w:val="24"/>
          <w:szCs w:val="24"/>
        </w:rPr>
        <w:t xml:space="preserve">-values are italicized. </w:t>
      </w:r>
    </w:p>
    <w:tbl>
      <w:tblPr>
        <w:tblW w:w="5346" w:type="dxa"/>
        <w:jc w:val="center"/>
        <w:tblLook w:val="04A0" w:firstRow="1" w:lastRow="0" w:firstColumn="1" w:lastColumn="0" w:noHBand="0" w:noVBand="1"/>
      </w:tblPr>
      <w:tblGrid>
        <w:gridCol w:w="1017"/>
        <w:gridCol w:w="1316"/>
        <w:gridCol w:w="1435"/>
        <w:gridCol w:w="510"/>
        <w:gridCol w:w="1068"/>
      </w:tblGrid>
      <w:tr w:rsidR="00F30D49" w:rsidRPr="00CA2D0F" w14:paraId="566DD9F6" w14:textId="77777777" w:rsidTr="00F30D49">
        <w:trPr>
          <w:trHeight w:val="300"/>
          <w:jc w:val="center"/>
        </w:trPr>
        <w:tc>
          <w:tcPr>
            <w:tcW w:w="1017" w:type="dxa"/>
            <w:tcBorders>
              <w:top w:val="single" w:sz="18" w:space="0" w:color="auto"/>
              <w:left w:val="nil"/>
              <w:bottom w:val="single" w:sz="18" w:space="0" w:color="auto"/>
              <w:right w:val="nil"/>
            </w:tcBorders>
            <w:shd w:val="clear" w:color="auto" w:fill="auto"/>
            <w:noWrap/>
            <w:vAlign w:val="center"/>
            <w:hideMark/>
          </w:tcPr>
          <w:p w14:paraId="4F284951" w14:textId="77777777" w:rsidR="00CA2D0F" w:rsidRPr="00CA2D0F" w:rsidRDefault="00CA2D0F" w:rsidP="00F30D49">
            <w:pPr>
              <w:spacing w:after="0" w:line="240" w:lineRule="auto"/>
              <w:jc w:val="center"/>
              <w:rPr>
                <w:rFonts w:ascii="Times New Roman" w:eastAsia="Times New Roman" w:hAnsi="Times New Roman" w:cs="Times New Roman"/>
                <w:b/>
                <w:color w:val="000000"/>
                <w:sz w:val="24"/>
                <w:szCs w:val="24"/>
              </w:rPr>
            </w:pPr>
            <w:r w:rsidRPr="00F30D49">
              <w:rPr>
                <w:rFonts w:ascii="Times New Roman" w:eastAsia="Times New Roman" w:hAnsi="Times New Roman" w:cs="Times New Roman"/>
                <w:b/>
                <w:color w:val="000000"/>
                <w:sz w:val="24"/>
                <w:szCs w:val="24"/>
              </w:rPr>
              <w:t>Station</w:t>
            </w:r>
          </w:p>
        </w:tc>
        <w:tc>
          <w:tcPr>
            <w:tcW w:w="1316" w:type="dxa"/>
            <w:tcBorders>
              <w:top w:val="single" w:sz="18" w:space="0" w:color="auto"/>
              <w:left w:val="nil"/>
              <w:bottom w:val="single" w:sz="18" w:space="0" w:color="auto"/>
              <w:right w:val="nil"/>
            </w:tcBorders>
            <w:shd w:val="clear" w:color="auto" w:fill="auto"/>
            <w:noWrap/>
            <w:vAlign w:val="center"/>
            <w:hideMark/>
          </w:tcPr>
          <w:p w14:paraId="5791936D" w14:textId="77777777" w:rsidR="00CA2D0F" w:rsidRPr="00CA2D0F" w:rsidRDefault="00CA2D0F" w:rsidP="00F30D49">
            <w:pPr>
              <w:spacing w:after="0" w:line="240" w:lineRule="auto"/>
              <w:jc w:val="center"/>
              <w:rPr>
                <w:rFonts w:ascii="Times New Roman" w:eastAsia="Times New Roman" w:hAnsi="Times New Roman" w:cs="Times New Roman"/>
                <w:b/>
                <w:color w:val="000000"/>
                <w:sz w:val="24"/>
                <w:szCs w:val="24"/>
              </w:rPr>
            </w:pPr>
            <w:r w:rsidRPr="00F30D49">
              <w:rPr>
                <w:rFonts w:ascii="Times New Roman" w:eastAsia="Times New Roman" w:hAnsi="Times New Roman" w:cs="Times New Roman"/>
                <w:b/>
                <w:color w:val="000000"/>
                <w:sz w:val="24"/>
                <w:szCs w:val="24"/>
              </w:rPr>
              <w:t>T S</w:t>
            </w:r>
            <w:r w:rsidRPr="00CA2D0F">
              <w:rPr>
                <w:rFonts w:ascii="Times New Roman" w:eastAsia="Times New Roman" w:hAnsi="Times New Roman" w:cs="Times New Roman"/>
                <w:b/>
                <w:color w:val="000000"/>
                <w:sz w:val="24"/>
                <w:szCs w:val="24"/>
              </w:rPr>
              <w:t>tatistic</w:t>
            </w:r>
          </w:p>
        </w:tc>
        <w:tc>
          <w:tcPr>
            <w:tcW w:w="1435" w:type="dxa"/>
            <w:tcBorders>
              <w:top w:val="single" w:sz="18" w:space="0" w:color="auto"/>
              <w:left w:val="nil"/>
              <w:bottom w:val="single" w:sz="18" w:space="0" w:color="auto"/>
              <w:right w:val="nil"/>
            </w:tcBorders>
            <w:shd w:val="clear" w:color="auto" w:fill="auto"/>
            <w:noWrap/>
            <w:vAlign w:val="center"/>
          </w:tcPr>
          <w:p w14:paraId="06D195C4" w14:textId="77777777" w:rsidR="00CA2D0F" w:rsidRPr="00CA2D0F" w:rsidRDefault="00CA2D0F" w:rsidP="00F30D49">
            <w:pPr>
              <w:spacing w:after="0" w:line="240" w:lineRule="auto"/>
              <w:jc w:val="center"/>
              <w:rPr>
                <w:rFonts w:ascii="Times New Roman" w:eastAsia="Times New Roman" w:hAnsi="Times New Roman" w:cs="Times New Roman"/>
                <w:b/>
                <w:color w:val="000000"/>
                <w:sz w:val="24"/>
                <w:szCs w:val="24"/>
              </w:rPr>
            </w:pPr>
            <w:r w:rsidRPr="00F30D49">
              <w:rPr>
                <w:rFonts w:ascii="Times New Roman" w:eastAsia="Times New Roman" w:hAnsi="Times New Roman" w:cs="Times New Roman"/>
                <w:b/>
                <w:color w:val="000000"/>
                <w:sz w:val="24"/>
                <w:szCs w:val="24"/>
              </w:rPr>
              <w:t xml:space="preserve">Kendall’s </w:t>
            </w:r>
            <w:r w:rsidRPr="00F30D49">
              <w:rPr>
                <w:rFonts w:ascii="Times New Roman" w:eastAsia="Times New Roman" w:hAnsi="Times New Roman" w:cs="Times New Roman"/>
                <w:b/>
                <w:color w:val="000000"/>
                <w:sz w:val="24"/>
                <w:szCs w:val="24"/>
              </w:rPr>
              <w:sym w:font="Symbol" w:char="F074"/>
            </w:r>
          </w:p>
        </w:tc>
        <w:tc>
          <w:tcPr>
            <w:tcW w:w="510" w:type="dxa"/>
            <w:tcBorders>
              <w:top w:val="single" w:sz="18" w:space="0" w:color="auto"/>
              <w:left w:val="nil"/>
              <w:bottom w:val="single" w:sz="18" w:space="0" w:color="auto"/>
              <w:right w:val="nil"/>
            </w:tcBorders>
            <w:shd w:val="clear" w:color="auto" w:fill="auto"/>
            <w:noWrap/>
            <w:vAlign w:val="center"/>
            <w:hideMark/>
          </w:tcPr>
          <w:p w14:paraId="316B3986" w14:textId="77777777" w:rsidR="00CA2D0F" w:rsidRPr="00CA2D0F" w:rsidRDefault="00CA2D0F" w:rsidP="00F30D49">
            <w:pPr>
              <w:spacing w:after="0" w:line="240" w:lineRule="auto"/>
              <w:jc w:val="center"/>
              <w:rPr>
                <w:rFonts w:ascii="Times New Roman" w:eastAsia="Times New Roman" w:hAnsi="Times New Roman" w:cs="Times New Roman"/>
                <w:b/>
                <w:color w:val="000000"/>
                <w:sz w:val="24"/>
                <w:szCs w:val="24"/>
              </w:rPr>
            </w:pPr>
            <w:r w:rsidRPr="00CA2D0F">
              <w:rPr>
                <w:rFonts w:ascii="Times New Roman" w:eastAsia="Times New Roman" w:hAnsi="Times New Roman" w:cs="Times New Roman"/>
                <w:b/>
                <w:color w:val="000000"/>
                <w:sz w:val="24"/>
                <w:szCs w:val="24"/>
              </w:rPr>
              <w:t>N</w:t>
            </w:r>
          </w:p>
        </w:tc>
        <w:tc>
          <w:tcPr>
            <w:tcW w:w="1068" w:type="dxa"/>
            <w:tcBorders>
              <w:top w:val="single" w:sz="18" w:space="0" w:color="auto"/>
              <w:left w:val="nil"/>
              <w:bottom w:val="single" w:sz="18" w:space="0" w:color="auto"/>
              <w:right w:val="nil"/>
            </w:tcBorders>
            <w:shd w:val="clear" w:color="auto" w:fill="auto"/>
            <w:noWrap/>
            <w:vAlign w:val="center"/>
            <w:hideMark/>
          </w:tcPr>
          <w:p w14:paraId="798AA1CB" w14:textId="77777777" w:rsidR="00CA2D0F" w:rsidRPr="00CA2D0F" w:rsidRDefault="00CA2D0F" w:rsidP="00F30D49">
            <w:pPr>
              <w:spacing w:after="0" w:line="240" w:lineRule="auto"/>
              <w:jc w:val="center"/>
              <w:rPr>
                <w:rFonts w:ascii="Times New Roman" w:eastAsia="Times New Roman" w:hAnsi="Times New Roman" w:cs="Times New Roman"/>
                <w:b/>
                <w:color w:val="000000"/>
                <w:sz w:val="24"/>
                <w:szCs w:val="24"/>
              </w:rPr>
            </w:pPr>
            <w:r w:rsidRPr="00F30D49">
              <w:rPr>
                <w:rFonts w:ascii="Times New Roman" w:eastAsia="Times New Roman" w:hAnsi="Times New Roman" w:cs="Times New Roman"/>
                <w:b/>
                <w:color w:val="000000"/>
                <w:sz w:val="24"/>
                <w:szCs w:val="24"/>
              </w:rPr>
              <w:sym w:font="Symbol" w:char="F072"/>
            </w:r>
            <w:r w:rsidRPr="00F30D49">
              <w:rPr>
                <w:rFonts w:ascii="Times New Roman" w:eastAsia="Times New Roman" w:hAnsi="Times New Roman" w:cs="Times New Roman"/>
                <w:b/>
                <w:color w:val="000000"/>
                <w:sz w:val="24"/>
                <w:szCs w:val="24"/>
              </w:rPr>
              <w:t>-</w:t>
            </w:r>
            <w:r w:rsidRPr="00CA2D0F">
              <w:rPr>
                <w:rFonts w:ascii="Times New Roman" w:eastAsia="Times New Roman" w:hAnsi="Times New Roman" w:cs="Times New Roman"/>
                <w:b/>
                <w:color w:val="000000"/>
                <w:sz w:val="24"/>
                <w:szCs w:val="24"/>
              </w:rPr>
              <w:t>value</w:t>
            </w:r>
          </w:p>
        </w:tc>
      </w:tr>
      <w:tr w:rsidR="00CA2D0F" w:rsidRPr="00CA2D0F" w14:paraId="34435BFE" w14:textId="77777777" w:rsidTr="00F30D49">
        <w:trPr>
          <w:trHeight w:val="300"/>
          <w:jc w:val="center"/>
        </w:trPr>
        <w:tc>
          <w:tcPr>
            <w:tcW w:w="1017" w:type="dxa"/>
            <w:tcBorders>
              <w:top w:val="single" w:sz="18" w:space="0" w:color="auto"/>
              <w:left w:val="nil"/>
              <w:bottom w:val="single" w:sz="8" w:space="0" w:color="auto"/>
              <w:right w:val="nil"/>
            </w:tcBorders>
            <w:shd w:val="clear" w:color="auto" w:fill="auto"/>
            <w:noWrap/>
            <w:vAlign w:val="bottom"/>
            <w:hideMark/>
          </w:tcPr>
          <w:p w14:paraId="4F4F9DE4"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EB01</w:t>
            </w:r>
          </w:p>
        </w:tc>
        <w:tc>
          <w:tcPr>
            <w:tcW w:w="1316" w:type="dxa"/>
            <w:tcBorders>
              <w:top w:val="single" w:sz="18" w:space="0" w:color="auto"/>
              <w:left w:val="nil"/>
              <w:bottom w:val="single" w:sz="8" w:space="0" w:color="auto"/>
              <w:right w:val="nil"/>
            </w:tcBorders>
            <w:shd w:val="clear" w:color="auto" w:fill="auto"/>
            <w:noWrap/>
            <w:vAlign w:val="bottom"/>
            <w:hideMark/>
          </w:tcPr>
          <w:p w14:paraId="3C690068"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-0.89</w:t>
            </w:r>
          </w:p>
        </w:tc>
        <w:tc>
          <w:tcPr>
            <w:tcW w:w="1435" w:type="dxa"/>
            <w:tcBorders>
              <w:top w:val="single" w:sz="18" w:space="0" w:color="auto"/>
              <w:left w:val="nil"/>
              <w:bottom w:val="single" w:sz="8" w:space="0" w:color="auto"/>
              <w:right w:val="nil"/>
            </w:tcBorders>
            <w:shd w:val="clear" w:color="auto" w:fill="auto"/>
            <w:noWrap/>
            <w:vAlign w:val="bottom"/>
            <w:hideMark/>
          </w:tcPr>
          <w:p w14:paraId="234161B0"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-0.26</w:t>
            </w:r>
          </w:p>
        </w:tc>
        <w:tc>
          <w:tcPr>
            <w:tcW w:w="510" w:type="dxa"/>
            <w:tcBorders>
              <w:top w:val="single" w:sz="18" w:space="0" w:color="auto"/>
              <w:left w:val="nil"/>
              <w:bottom w:val="single" w:sz="8" w:space="0" w:color="auto"/>
              <w:right w:val="nil"/>
            </w:tcBorders>
            <w:shd w:val="clear" w:color="auto" w:fill="auto"/>
            <w:noWrap/>
            <w:vAlign w:val="bottom"/>
            <w:hideMark/>
          </w:tcPr>
          <w:p w14:paraId="1E4D507E"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8</w:t>
            </w:r>
          </w:p>
        </w:tc>
        <w:tc>
          <w:tcPr>
            <w:tcW w:w="1068" w:type="dxa"/>
            <w:tcBorders>
              <w:top w:val="single" w:sz="18" w:space="0" w:color="auto"/>
              <w:left w:val="nil"/>
              <w:bottom w:val="single" w:sz="8" w:space="0" w:color="auto"/>
              <w:right w:val="nil"/>
            </w:tcBorders>
            <w:shd w:val="clear" w:color="auto" w:fill="auto"/>
            <w:noWrap/>
            <w:vAlign w:val="bottom"/>
            <w:hideMark/>
          </w:tcPr>
          <w:p w14:paraId="1715A40E"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0.37</w:t>
            </w:r>
          </w:p>
        </w:tc>
      </w:tr>
      <w:tr w:rsidR="00CA2D0F" w:rsidRPr="00CA2D0F" w14:paraId="1BBAACE4" w14:textId="77777777" w:rsidTr="00F30D49">
        <w:trPr>
          <w:trHeight w:val="300"/>
          <w:jc w:val="center"/>
        </w:trPr>
        <w:tc>
          <w:tcPr>
            <w:tcW w:w="1017" w:type="dxa"/>
            <w:tcBorders>
              <w:top w:val="single" w:sz="8" w:space="0" w:color="auto"/>
              <w:left w:val="nil"/>
              <w:bottom w:val="single" w:sz="8" w:space="0" w:color="auto"/>
              <w:right w:val="nil"/>
            </w:tcBorders>
            <w:shd w:val="clear" w:color="auto" w:fill="auto"/>
            <w:noWrap/>
            <w:vAlign w:val="bottom"/>
            <w:hideMark/>
          </w:tcPr>
          <w:p w14:paraId="172CEDE0"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EB02</w:t>
            </w:r>
          </w:p>
        </w:tc>
        <w:tc>
          <w:tcPr>
            <w:tcW w:w="1316" w:type="dxa"/>
            <w:tcBorders>
              <w:top w:val="single" w:sz="8" w:space="0" w:color="auto"/>
              <w:left w:val="nil"/>
              <w:bottom w:val="single" w:sz="8" w:space="0" w:color="auto"/>
              <w:right w:val="nil"/>
            </w:tcBorders>
            <w:shd w:val="clear" w:color="auto" w:fill="auto"/>
            <w:noWrap/>
            <w:vAlign w:val="bottom"/>
            <w:hideMark/>
          </w:tcPr>
          <w:p w14:paraId="31AE729B"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6.00</w:t>
            </w:r>
          </w:p>
        </w:tc>
        <w:tc>
          <w:tcPr>
            <w:tcW w:w="1435" w:type="dxa"/>
            <w:tcBorders>
              <w:top w:val="single" w:sz="8" w:space="0" w:color="auto"/>
              <w:left w:val="nil"/>
              <w:bottom w:val="single" w:sz="8" w:space="0" w:color="auto"/>
              <w:right w:val="nil"/>
            </w:tcBorders>
            <w:shd w:val="clear" w:color="auto" w:fill="auto"/>
            <w:noWrap/>
            <w:vAlign w:val="bottom"/>
            <w:hideMark/>
          </w:tcPr>
          <w:p w14:paraId="0C6F820C"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-0.57</w:t>
            </w:r>
          </w:p>
        </w:tc>
        <w:tc>
          <w:tcPr>
            <w:tcW w:w="510" w:type="dxa"/>
            <w:tcBorders>
              <w:top w:val="single" w:sz="8" w:space="0" w:color="auto"/>
              <w:left w:val="nil"/>
              <w:bottom w:val="single" w:sz="8" w:space="0" w:color="auto"/>
              <w:right w:val="nil"/>
            </w:tcBorders>
            <w:shd w:val="clear" w:color="auto" w:fill="auto"/>
            <w:noWrap/>
            <w:vAlign w:val="bottom"/>
            <w:hideMark/>
          </w:tcPr>
          <w:p w14:paraId="2CDCC2C1"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8</w:t>
            </w:r>
          </w:p>
        </w:tc>
        <w:tc>
          <w:tcPr>
            <w:tcW w:w="1068" w:type="dxa"/>
            <w:tcBorders>
              <w:top w:val="single" w:sz="8" w:space="0" w:color="auto"/>
              <w:left w:val="nil"/>
              <w:bottom w:val="single" w:sz="8" w:space="0" w:color="auto"/>
              <w:right w:val="nil"/>
            </w:tcBorders>
            <w:shd w:val="clear" w:color="auto" w:fill="auto"/>
            <w:noWrap/>
            <w:vAlign w:val="bottom"/>
            <w:hideMark/>
          </w:tcPr>
          <w:p w14:paraId="2C282907"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0.06</w:t>
            </w:r>
          </w:p>
        </w:tc>
      </w:tr>
      <w:tr w:rsidR="00CA2D0F" w:rsidRPr="00CA2D0F" w14:paraId="3A3D05F4" w14:textId="77777777" w:rsidTr="00F30D49">
        <w:trPr>
          <w:trHeight w:val="300"/>
          <w:jc w:val="center"/>
        </w:trPr>
        <w:tc>
          <w:tcPr>
            <w:tcW w:w="1017" w:type="dxa"/>
            <w:tcBorders>
              <w:top w:val="single" w:sz="8" w:space="0" w:color="auto"/>
              <w:left w:val="nil"/>
              <w:bottom w:val="single" w:sz="8" w:space="0" w:color="auto"/>
              <w:right w:val="nil"/>
            </w:tcBorders>
            <w:shd w:val="clear" w:color="auto" w:fill="auto"/>
            <w:noWrap/>
            <w:vAlign w:val="bottom"/>
            <w:hideMark/>
          </w:tcPr>
          <w:p w14:paraId="638754E8"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EB03</w:t>
            </w:r>
          </w:p>
        </w:tc>
        <w:tc>
          <w:tcPr>
            <w:tcW w:w="1316" w:type="dxa"/>
            <w:tcBorders>
              <w:top w:val="single" w:sz="8" w:space="0" w:color="auto"/>
              <w:left w:val="nil"/>
              <w:bottom w:val="single" w:sz="8" w:space="0" w:color="auto"/>
              <w:right w:val="nil"/>
            </w:tcBorders>
            <w:shd w:val="clear" w:color="auto" w:fill="auto"/>
            <w:noWrap/>
            <w:vAlign w:val="bottom"/>
            <w:hideMark/>
          </w:tcPr>
          <w:p w14:paraId="59D13D51"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-2.87</w:t>
            </w:r>
          </w:p>
        </w:tc>
        <w:tc>
          <w:tcPr>
            <w:tcW w:w="1435" w:type="dxa"/>
            <w:tcBorders>
              <w:top w:val="single" w:sz="8" w:space="0" w:color="auto"/>
              <w:left w:val="nil"/>
              <w:bottom w:val="single" w:sz="8" w:space="0" w:color="auto"/>
              <w:right w:val="nil"/>
            </w:tcBorders>
            <w:shd w:val="clear" w:color="auto" w:fill="auto"/>
            <w:noWrap/>
            <w:vAlign w:val="bottom"/>
            <w:hideMark/>
          </w:tcPr>
          <w:p w14:paraId="4B2A41FD"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-0.84</w:t>
            </w:r>
          </w:p>
        </w:tc>
        <w:tc>
          <w:tcPr>
            <w:tcW w:w="510" w:type="dxa"/>
            <w:tcBorders>
              <w:top w:val="single" w:sz="8" w:space="0" w:color="auto"/>
              <w:left w:val="nil"/>
              <w:bottom w:val="single" w:sz="8" w:space="0" w:color="auto"/>
              <w:right w:val="nil"/>
            </w:tcBorders>
            <w:shd w:val="clear" w:color="auto" w:fill="auto"/>
            <w:noWrap/>
            <w:vAlign w:val="bottom"/>
            <w:hideMark/>
          </w:tcPr>
          <w:p w14:paraId="2F326087"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8</w:t>
            </w:r>
          </w:p>
        </w:tc>
        <w:tc>
          <w:tcPr>
            <w:tcW w:w="1068" w:type="dxa"/>
            <w:tcBorders>
              <w:top w:val="single" w:sz="8" w:space="0" w:color="auto"/>
              <w:left w:val="nil"/>
              <w:bottom w:val="single" w:sz="8" w:space="0" w:color="auto"/>
              <w:right w:val="nil"/>
            </w:tcBorders>
            <w:shd w:val="clear" w:color="auto" w:fill="auto"/>
            <w:noWrap/>
            <w:vAlign w:val="bottom"/>
            <w:hideMark/>
          </w:tcPr>
          <w:p w14:paraId="3AADD7CF" w14:textId="77777777" w:rsidR="00CA2D0F" w:rsidRPr="00CA2D0F" w:rsidRDefault="00CA2D0F" w:rsidP="00F30D49">
            <w:pPr>
              <w:spacing w:after="0" w:line="240" w:lineRule="auto"/>
              <w:jc w:val="center"/>
              <w:rPr>
                <w:rFonts w:ascii="Times New Roman" w:eastAsia="Times New Roman" w:hAnsi="Times New Roman" w:cs="Times New Roman"/>
                <w:i/>
                <w:color w:val="000000"/>
                <w:sz w:val="24"/>
                <w:szCs w:val="24"/>
              </w:rPr>
            </w:pPr>
            <w:r w:rsidRPr="00F30D49">
              <w:rPr>
                <w:rFonts w:ascii="Times New Roman" w:eastAsia="Times New Roman" w:hAnsi="Times New Roman" w:cs="Times New Roman"/>
                <w:i/>
                <w:color w:val="000000"/>
                <w:sz w:val="24"/>
                <w:szCs w:val="24"/>
              </w:rPr>
              <w:t>&lt;0.01</w:t>
            </w:r>
          </w:p>
        </w:tc>
      </w:tr>
      <w:tr w:rsidR="00CA2D0F" w:rsidRPr="00CA2D0F" w14:paraId="3804EBC8" w14:textId="77777777" w:rsidTr="00F30D49">
        <w:trPr>
          <w:trHeight w:val="300"/>
          <w:jc w:val="center"/>
        </w:trPr>
        <w:tc>
          <w:tcPr>
            <w:tcW w:w="1017" w:type="dxa"/>
            <w:tcBorders>
              <w:top w:val="single" w:sz="8" w:space="0" w:color="auto"/>
              <w:left w:val="nil"/>
              <w:bottom w:val="single" w:sz="8" w:space="0" w:color="auto"/>
              <w:right w:val="nil"/>
            </w:tcBorders>
            <w:shd w:val="clear" w:color="auto" w:fill="auto"/>
            <w:noWrap/>
            <w:vAlign w:val="bottom"/>
            <w:hideMark/>
          </w:tcPr>
          <w:p w14:paraId="521A2EBE"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EB04</w:t>
            </w:r>
          </w:p>
        </w:tc>
        <w:tc>
          <w:tcPr>
            <w:tcW w:w="1316" w:type="dxa"/>
            <w:tcBorders>
              <w:top w:val="single" w:sz="8" w:space="0" w:color="auto"/>
              <w:left w:val="nil"/>
              <w:bottom w:val="single" w:sz="8" w:space="0" w:color="auto"/>
              <w:right w:val="nil"/>
            </w:tcBorders>
            <w:shd w:val="clear" w:color="auto" w:fill="auto"/>
            <w:noWrap/>
            <w:vAlign w:val="bottom"/>
            <w:hideMark/>
          </w:tcPr>
          <w:p w14:paraId="51800557"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11.00</w:t>
            </w:r>
          </w:p>
        </w:tc>
        <w:tc>
          <w:tcPr>
            <w:tcW w:w="1435" w:type="dxa"/>
            <w:tcBorders>
              <w:top w:val="single" w:sz="8" w:space="0" w:color="auto"/>
              <w:left w:val="nil"/>
              <w:bottom w:val="single" w:sz="8" w:space="0" w:color="auto"/>
              <w:right w:val="nil"/>
            </w:tcBorders>
            <w:shd w:val="clear" w:color="auto" w:fill="auto"/>
            <w:noWrap/>
            <w:vAlign w:val="bottom"/>
            <w:hideMark/>
          </w:tcPr>
          <w:p w14:paraId="3759BE09"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-0.21</w:t>
            </w:r>
          </w:p>
        </w:tc>
        <w:tc>
          <w:tcPr>
            <w:tcW w:w="510" w:type="dxa"/>
            <w:tcBorders>
              <w:top w:val="single" w:sz="8" w:space="0" w:color="auto"/>
              <w:left w:val="nil"/>
              <w:bottom w:val="single" w:sz="8" w:space="0" w:color="auto"/>
              <w:right w:val="nil"/>
            </w:tcBorders>
            <w:shd w:val="clear" w:color="auto" w:fill="auto"/>
            <w:noWrap/>
            <w:vAlign w:val="bottom"/>
            <w:hideMark/>
          </w:tcPr>
          <w:p w14:paraId="08DC3A89"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8</w:t>
            </w:r>
          </w:p>
        </w:tc>
        <w:tc>
          <w:tcPr>
            <w:tcW w:w="1068" w:type="dxa"/>
            <w:tcBorders>
              <w:top w:val="single" w:sz="8" w:space="0" w:color="auto"/>
              <w:left w:val="nil"/>
              <w:bottom w:val="single" w:sz="8" w:space="0" w:color="auto"/>
              <w:right w:val="nil"/>
            </w:tcBorders>
            <w:shd w:val="clear" w:color="auto" w:fill="auto"/>
            <w:noWrap/>
            <w:vAlign w:val="bottom"/>
            <w:hideMark/>
          </w:tcPr>
          <w:p w14:paraId="03BE5664"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0.55</w:t>
            </w:r>
          </w:p>
        </w:tc>
      </w:tr>
      <w:tr w:rsidR="00CA2D0F" w:rsidRPr="00CA2D0F" w14:paraId="5E5B5D31" w14:textId="77777777" w:rsidTr="00F30D49">
        <w:trPr>
          <w:trHeight w:val="300"/>
          <w:jc w:val="center"/>
        </w:trPr>
        <w:tc>
          <w:tcPr>
            <w:tcW w:w="1017" w:type="dxa"/>
            <w:tcBorders>
              <w:top w:val="single" w:sz="8" w:space="0" w:color="auto"/>
              <w:left w:val="nil"/>
              <w:bottom w:val="single" w:sz="8" w:space="0" w:color="auto"/>
              <w:right w:val="nil"/>
            </w:tcBorders>
            <w:shd w:val="clear" w:color="auto" w:fill="auto"/>
            <w:noWrap/>
            <w:vAlign w:val="bottom"/>
            <w:hideMark/>
          </w:tcPr>
          <w:p w14:paraId="2FD62D00"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EB05</w:t>
            </w:r>
          </w:p>
        </w:tc>
        <w:tc>
          <w:tcPr>
            <w:tcW w:w="1316" w:type="dxa"/>
            <w:tcBorders>
              <w:top w:val="single" w:sz="8" w:space="0" w:color="auto"/>
              <w:left w:val="nil"/>
              <w:bottom w:val="single" w:sz="8" w:space="0" w:color="auto"/>
              <w:right w:val="nil"/>
            </w:tcBorders>
            <w:shd w:val="clear" w:color="auto" w:fill="auto"/>
            <w:noWrap/>
            <w:vAlign w:val="bottom"/>
            <w:hideMark/>
          </w:tcPr>
          <w:p w14:paraId="46892E91"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-2.37</w:t>
            </w:r>
          </w:p>
        </w:tc>
        <w:tc>
          <w:tcPr>
            <w:tcW w:w="1435" w:type="dxa"/>
            <w:tcBorders>
              <w:top w:val="single" w:sz="8" w:space="0" w:color="auto"/>
              <w:left w:val="nil"/>
              <w:bottom w:val="single" w:sz="8" w:space="0" w:color="auto"/>
              <w:right w:val="nil"/>
            </w:tcBorders>
            <w:shd w:val="clear" w:color="auto" w:fill="auto"/>
            <w:noWrap/>
            <w:vAlign w:val="bottom"/>
            <w:hideMark/>
          </w:tcPr>
          <w:p w14:paraId="17CC5B27"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-0.70</w:t>
            </w:r>
          </w:p>
        </w:tc>
        <w:tc>
          <w:tcPr>
            <w:tcW w:w="510" w:type="dxa"/>
            <w:tcBorders>
              <w:top w:val="single" w:sz="8" w:space="0" w:color="auto"/>
              <w:left w:val="nil"/>
              <w:bottom w:val="single" w:sz="8" w:space="0" w:color="auto"/>
              <w:right w:val="nil"/>
            </w:tcBorders>
            <w:shd w:val="clear" w:color="auto" w:fill="auto"/>
            <w:noWrap/>
            <w:vAlign w:val="bottom"/>
            <w:hideMark/>
          </w:tcPr>
          <w:p w14:paraId="15D19EEB" w14:textId="77777777" w:rsidR="00CA2D0F" w:rsidRPr="00CA2D0F" w:rsidRDefault="00CA2D0F" w:rsidP="00F30D49">
            <w:pPr>
              <w:spacing w:after="0" w:line="240" w:lineRule="auto"/>
              <w:jc w:val="center"/>
              <w:rPr>
                <w:rFonts w:ascii="Times New Roman" w:eastAsia="Times New Roman" w:hAnsi="Times New Roman" w:cs="Times New Roman"/>
                <w:color w:val="000000"/>
                <w:sz w:val="24"/>
                <w:szCs w:val="24"/>
              </w:rPr>
            </w:pPr>
            <w:r w:rsidRPr="00CA2D0F">
              <w:rPr>
                <w:rFonts w:ascii="Times New Roman" w:eastAsia="Times New Roman" w:hAnsi="Times New Roman" w:cs="Times New Roman"/>
                <w:color w:val="000000"/>
                <w:sz w:val="24"/>
                <w:szCs w:val="24"/>
              </w:rPr>
              <w:t>8</w:t>
            </w:r>
          </w:p>
        </w:tc>
        <w:tc>
          <w:tcPr>
            <w:tcW w:w="1068" w:type="dxa"/>
            <w:tcBorders>
              <w:top w:val="single" w:sz="8" w:space="0" w:color="auto"/>
              <w:left w:val="nil"/>
              <w:bottom w:val="single" w:sz="8" w:space="0" w:color="auto"/>
              <w:right w:val="nil"/>
            </w:tcBorders>
            <w:shd w:val="clear" w:color="auto" w:fill="auto"/>
            <w:noWrap/>
            <w:vAlign w:val="bottom"/>
            <w:hideMark/>
          </w:tcPr>
          <w:p w14:paraId="25CA563E" w14:textId="77777777" w:rsidR="00CA2D0F" w:rsidRPr="00CA2D0F" w:rsidRDefault="00CA2D0F" w:rsidP="00F30D49">
            <w:pPr>
              <w:spacing w:after="0" w:line="240" w:lineRule="auto"/>
              <w:jc w:val="center"/>
              <w:rPr>
                <w:rFonts w:ascii="Times New Roman" w:eastAsia="Times New Roman" w:hAnsi="Times New Roman" w:cs="Times New Roman"/>
                <w:i/>
                <w:color w:val="000000"/>
                <w:sz w:val="24"/>
                <w:szCs w:val="24"/>
              </w:rPr>
            </w:pPr>
            <w:r w:rsidRPr="00F30D49">
              <w:rPr>
                <w:rFonts w:ascii="Times New Roman" w:eastAsia="Times New Roman" w:hAnsi="Times New Roman" w:cs="Times New Roman"/>
                <w:i/>
                <w:color w:val="000000"/>
                <w:sz w:val="24"/>
                <w:szCs w:val="24"/>
              </w:rPr>
              <w:t>&lt;</w:t>
            </w:r>
            <w:r w:rsidRPr="00CA2D0F">
              <w:rPr>
                <w:rFonts w:ascii="Times New Roman" w:eastAsia="Times New Roman" w:hAnsi="Times New Roman" w:cs="Times New Roman"/>
                <w:i/>
                <w:color w:val="000000"/>
                <w:sz w:val="24"/>
                <w:szCs w:val="24"/>
              </w:rPr>
              <w:t>0.0</w:t>
            </w:r>
            <w:r w:rsidRPr="00F30D49">
              <w:rPr>
                <w:rFonts w:ascii="Times New Roman" w:eastAsia="Times New Roman" w:hAnsi="Times New Roman" w:cs="Times New Roman"/>
                <w:i/>
                <w:color w:val="000000"/>
                <w:sz w:val="24"/>
                <w:szCs w:val="24"/>
              </w:rPr>
              <w:t>5</w:t>
            </w:r>
          </w:p>
        </w:tc>
      </w:tr>
    </w:tbl>
    <w:p w14:paraId="72130461" w14:textId="77777777" w:rsidR="00CA2D0F" w:rsidRPr="00CA2D0F" w:rsidRDefault="00CA2D0F" w:rsidP="00CA2D0F"/>
    <w:sectPr w:rsidR="00CA2D0F" w:rsidRPr="00CA2D0F" w:rsidSect="00CF0236">
      <w:pgSz w:w="12240" w:h="15840"/>
      <w:pgMar w:top="1440" w:right="1440" w:bottom="1440" w:left="1440" w:header="720" w:footer="720" w:gutter="0"/>
      <w:lnNumType w:countBy="1" w:restart="continuou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Julian, Paul" w:date="2015-05-05T12:42:00Z" w:initials="JP">
    <w:p w14:paraId="60DB8348" w14:textId="77777777" w:rsidR="006D66B3" w:rsidRDefault="006D66B3">
      <w:pPr>
        <w:pStyle w:val="CommentText"/>
      </w:pPr>
      <w:r>
        <w:rPr>
          <w:rStyle w:val="CommentReference"/>
        </w:rPr>
        <w:annotationRef/>
      </w:r>
      <w:r>
        <w:t>Wasn’t sure about this info</w:t>
      </w:r>
    </w:p>
  </w:comment>
  <w:comment w:id="3" w:author="Julian, Paul" w:date="2015-05-05T12:42:00Z" w:initials="JP">
    <w:p w14:paraId="60483BBE" w14:textId="77777777" w:rsidR="006D66B3" w:rsidRDefault="006D66B3">
      <w:pPr>
        <w:pStyle w:val="CommentText"/>
      </w:pPr>
      <w:r>
        <w:rPr>
          <w:rStyle w:val="CommentReference"/>
        </w:rPr>
        <w:annotationRef/>
      </w:r>
      <w:r>
        <w:t>Need months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0DB8348" w15:done="0"/>
  <w15:commentEx w15:paraId="60483BB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n, Paul">
    <w15:presenceInfo w15:providerId="AD" w15:userId="S-1-5-21-1004336348-1214440339-1801674531-76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93"/>
    <w:rsid w:val="00146653"/>
    <w:rsid w:val="001B498F"/>
    <w:rsid w:val="0037623E"/>
    <w:rsid w:val="0045508C"/>
    <w:rsid w:val="005952DD"/>
    <w:rsid w:val="005A493E"/>
    <w:rsid w:val="00614AD2"/>
    <w:rsid w:val="006D66B3"/>
    <w:rsid w:val="008D7EAC"/>
    <w:rsid w:val="00942997"/>
    <w:rsid w:val="009E30DE"/>
    <w:rsid w:val="00A36C4B"/>
    <w:rsid w:val="00A92191"/>
    <w:rsid w:val="00AF52F2"/>
    <w:rsid w:val="00B459DF"/>
    <w:rsid w:val="00C83F9A"/>
    <w:rsid w:val="00CA2D0F"/>
    <w:rsid w:val="00CF0236"/>
    <w:rsid w:val="00D16E2D"/>
    <w:rsid w:val="00DD19EE"/>
    <w:rsid w:val="00F30D49"/>
    <w:rsid w:val="00F436BF"/>
    <w:rsid w:val="00FC1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5BC9B"/>
  <w15:chartTrackingRefBased/>
  <w15:docId w15:val="{5C6320A8-F4B5-482E-BAC5-B7B01F5EA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36C4B"/>
    <w:pPr>
      <w:spacing w:after="200" w:line="240" w:lineRule="auto"/>
    </w:pPr>
    <w:rPr>
      <w:i/>
      <w:iCs/>
      <w:color w:val="44546A" w:themeColor="text2"/>
      <w:sz w:val="18"/>
      <w:szCs w:val="18"/>
    </w:rPr>
  </w:style>
  <w:style w:type="character" w:styleId="LineNumber">
    <w:name w:val="line number"/>
    <w:basedOn w:val="DefaultParagraphFont"/>
    <w:uiPriority w:val="99"/>
    <w:semiHidden/>
    <w:unhideWhenUsed/>
    <w:rsid w:val="00CF0236"/>
  </w:style>
  <w:style w:type="character" w:styleId="CommentReference">
    <w:name w:val="annotation reference"/>
    <w:basedOn w:val="DefaultParagraphFont"/>
    <w:uiPriority w:val="99"/>
    <w:semiHidden/>
    <w:unhideWhenUsed/>
    <w:rsid w:val="006D66B3"/>
    <w:rPr>
      <w:sz w:val="16"/>
      <w:szCs w:val="16"/>
    </w:rPr>
  </w:style>
  <w:style w:type="paragraph" w:styleId="CommentText">
    <w:name w:val="annotation text"/>
    <w:basedOn w:val="Normal"/>
    <w:link w:val="CommentTextChar"/>
    <w:uiPriority w:val="99"/>
    <w:semiHidden/>
    <w:unhideWhenUsed/>
    <w:rsid w:val="006D66B3"/>
    <w:pPr>
      <w:spacing w:line="240" w:lineRule="auto"/>
    </w:pPr>
    <w:rPr>
      <w:sz w:val="20"/>
      <w:szCs w:val="20"/>
    </w:rPr>
  </w:style>
  <w:style w:type="character" w:customStyle="1" w:styleId="CommentTextChar">
    <w:name w:val="Comment Text Char"/>
    <w:basedOn w:val="DefaultParagraphFont"/>
    <w:link w:val="CommentText"/>
    <w:uiPriority w:val="99"/>
    <w:semiHidden/>
    <w:rsid w:val="006D66B3"/>
    <w:rPr>
      <w:sz w:val="20"/>
      <w:szCs w:val="20"/>
    </w:rPr>
  </w:style>
  <w:style w:type="paragraph" w:styleId="CommentSubject">
    <w:name w:val="annotation subject"/>
    <w:basedOn w:val="CommentText"/>
    <w:next w:val="CommentText"/>
    <w:link w:val="CommentSubjectChar"/>
    <w:uiPriority w:val="99"/>
    <w:semiHidden/>
    <w:unhideWhenUsed/>
    <w:rsid w:val="006D66B3"/>
    <w:rPr>
      <w:b/>
      <w:bCs/>
    </w:rPr>
  </w:style>
  <w:style w:type="character" w:customStyle="1" w:styleId="CommentSubjectChar">
    <w:name w:val="Comment Subject Char"/>
    <w:basedOn w:val="CommentTextChar"/>
    <w:link w:val="CommentSubject"/>
    <w:uiPriority w:val="99"/>
    <w:semiHidden/>
    <w:rsid w:val="006D66B3"/>
    <w:rPr>
      <w:b/>
      <w:bCs/>
      <w:sz w:val="20"/>
      <w:szCs w:val="20"/>
    </w:rPr>
  </w:style>
  <w:style w:type="paragraph" w:styleId="BalloonText">
    <w:name w:val="Balloon Text"/>
    <w:basedOn w:val="Normal"/>
    <w:link w:val="BalloonTextChar"/>
    <w:uiPriority w:val="99"/>
    <w:semiHidden/>
    <w:unhideWhenUsed/>
    <w:rsid w:val="006D66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6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80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image" Target="media/image5.jpeg"/><Relationship Id="rId5" Type="http://schemas.openxmlformats.org/officeDocument/2006/relationships/comments" Target="comments.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9C8BF-7EC8-4F1B-A13E-4DE234095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687</Words>
  <Characters>3922</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Paul</dc:creator>
  <cp:keywords/>
  <dc:description/>
  <cp:lastModifiedBy>Barnard, Meredith</cp:lastModifiedBy>
  <cp:revision>2</cp:revision>
  <dcterms:created xsi:type="dcterms:W3CDTF">2015-05-06T12:02:00Z</dcterms:created>
  <dcterms:modified xsi:type="dcterms:W3CDTF">2015-05-06T12:02:00Z</dcterms:modified>
</cp:coreProperties>
</file>